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80" w:right="1740" w:hanging="372"/>
        <w:spacing w:after="0" w:line="282"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March 31, 2023</w:t>
      </w:r>
    </w:p>
    <w:p>
      <w:pPr>
        <w:spacing w:after="0" w:line="162" w:lineRule="exact"/>
        <w:rPr>
          <w:sz w:val="24"/>
          <w:szCs w:val="24"/>
          <w:color w:val="auto"/>
        </w:rPr>
      </w:pPr>
    </w:p>
    <w:p>
      <w:pPr>
        <w:ind w:left="380" w:right="1740" w:hanging="372"/>
        <w:spacing w:after="0" w:line="282" w:lineRule="auto"/>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_______ to _______</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w:t>
      </w:r>
      <w:r>
        <w:rPr>
          <w:rFonts w:ascii="Arial" w:cs="Arial" w:eastAsia="Arial" w:hAnsi="Arial"/>
          <w:sz w:val="18"/>
          <w:szCs w:val="18"/>
          <w:b w:val="1"/>
          <w:bCs w:val="1"/>
          <w:u w:val="single" w:color="auto"/>
          <w:color w:val="auto"/>
        </w:rPr>
        <w:t>001-33660</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CLEARONE, INC.</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92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91"/>
              </w:rPr>
              <w:t>Delaware</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gridSpan w:val="3"/>
          </w:tcPr>
          <w:p>
            <w:pPr>
              <w:jc w:val="right"/>
              <w:ind w:right="2230"/>
              <w:spacing w:after="0"/>
              <w:rPr>
                <w:sz w:val="20"/>
                <w:szCs w:val="20"/>
                <w:color w:val="auto"/>
              </w:rPr>
            </w:pPr>
            <w:r>
              <w:rPr>
                <w:rFonts w:ascii="Arial" w:cs="Arial" w:eastAsia="Arial" w:hAnsi="Arial"/>
                <w:sz w:val="18"/>
                <w:szCs w:val="18"/>
                <w:b w:val="1"/>
                <w:bCs w:val="1"/>
                <w:color w:val="auto"/>
              </w:rPr>
              <w:t>87-0398877</w:t>
            </w:r>
          </w:p>
        </w:tc>
      </w:tr>
      <w:tr>
        <w:trPr>
          <w:trHeight w:val="230"/>
        </w:trPr>
        <w:tc>
          <w:tcPr>
            <w:tcW w:w="4920" w:type="dxa"/>
            <w:vAlign w:val="bottom"/>
            <w:gridSpan w:val="4"/>
          </w:tcPr>
          <w:p>
            <w:pPr>
              <w:jc w:val="center"/>
              <w:ind w:left="5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540" w:type="dxa"/>
            <w:vAlign w:val="bottom"/>
            <w:gridSpan w:val="3"/>
          </w:tcPr>
          <w:p>
            <w:pPr>
              <w:jc w:val="center"/>
              <w:ind w:right="870"/>
              <w:spacing w:after="0"/>
              <w:rPr>
                <w:sz w:val="20"/>
                <w:szCs w:val="20"/>
                <w:color w:val="auto"/>
              </w:rPr>
            </w:pPr>
            <w:r>
              <w:rPr>
                <w:rFonts w:ascii="Arial" w:cs="Arial" w:eastAsia="Arial" w:hAnsi="Arial"/>
                <w:sz w:val="18"/>
                <w:szCs w:val="18"/>
                <w:color w:val="auto"/>
                <w:w w:val="93"/>
              </w:rPr>
              <w:t>(I.R.S. employer identification number)</w:t>
            </w:r>
          </w:p>
        </w:tc>
      </w:tr>
      <w:tr>
        <w:trPr>
          <w:trHeight w:val="438"/>
        </w:trPr>
        <w:tc>
          <w:tcPr>
            <w:tcW w:w="492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90"/>
              </w:rPr>
              <w:t>5225 Wiley Post Way, Suite 500, Salt Lake City, Utah</w:t>
            </w:r>
          </w:p>
        </w:tc>
        <w:tc>
          <w:tcPr>
            <w:tcW w:w="6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3"/>
          </w:tcPr>
          <w:p>
            <w:pPr>
              <w:jc w:val="right"/>
              <w:ind w:right="2450"/>
              <w:spacing w:after="0"/>
              <w:rPr>
                <w:sz w:val="20"/>
                <w:szCs w:val="20"/>
                <w:color w:val="auto"/>
              </w:rPr>
            </w:pPr>
            <w:r>
              <w:rPr>
                <w:rFonts w:ascii="Arial" w:cs="Arial" w:eastAsia="Arial" w:hAnsi="Arial"/>
                <w:sz w:val="18"/>
                <w:szCs w:val="18"/>
                <w:b w:val="1"/>
                <w:bCs w:val="1"/>
                <w:color w:val="auto"/>
              </w:rPr>
              <w:t>84116</w:t>
            </w:r>
          </w:p>
        </w:tc>
      </w:tr>
      <w:tr>
        <w:trPr>
          <w:trHeight w:val="230"/>
        </w:trPr>
        <w:tc>
          <w:tcPr>
            <w:tcW w:w="4920" w:type="dxa"/>
            <w:vAlign w:val="bottom"/>
            <w:gridSpan w:val="4"/>
          </w:tcPr>
          <w:p>
            <w:pPr>
              <w:jc w:val="center"/>
              <w:ind w:left="510"/>
              <w:spacing w:after="0"/>
              <w:rPr>
                <w:sz w:val="20"/>
                <w:szCs w:val="20"/>
                <w:color w:val="auto"/>
              </w:rPr>
            </w:pPr>
            <w:r>
              <w:rPr>
                <w:rFonts w:ascii="Arial" w:cs="Arial" w:eastAsia="Arial" w:hAnsi="Arial"/>
                <w:sz w:val="18"/>
                <w:szCs w:val="18"/>
                <w:color w:val="auto"/>
                <w:w w:val="92"/>
              </w:rPr>
              <w:t>(Address of principal executive offices)</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Arial" w:cs="Arial" w:eastAsia="Arial" w:hAnsi="Arial"/>
                <w:sz w:val="18"/>
                <w:szCs w:val="18"/>
                <w:color w:val="auto"/>
                <w:w w:val="91"/>
              </w:rPr>
              <w:t>(Zip Code)</w:t>
            </w:r>
          </w:p>
        </w:tc>
      </w:tr>
      <w:tr>
        <w:trPr>
          <w:trHeight w:val="377"/>
        </w:trPr>
        <w:tc>
          <w:tcPr>
            <w:tcW w:w="6700" w:type="dxa"/>
            <w:vAlign w:val="bottom"/>
            <w:gridSpan w:val="7"/>
          </w:tcPr>
          <w:p>
            <w:pPr>
              <w:spacing w:after="0"/>
              <w:rPr>
                <w:sz w:val="20"/>
                <w:szCs w:val="20"/>
                <w:color w:val="auto"/>
              </w:rPr>
            </w:pPr>
            <w:r>
              <w:rPr>
                <w:rFonts w:ascii="Arial" w:cs="Arial" w:eastAsia="Arial" w:hAnsi="Arial"/>
                <w:sz w:val="18"/>
                <w:szCs w:val="18"/>
                <w:color w:val="auto"/>
              </w:rPr>
              <w:t>Registrant’s telephone number, including area code: (801) 975-7200</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
        </w:trPr>
        <w:tc>
          <w:tcPr>
            <w:tcW w:w="3800" w:type="dxa"/>
            <w:vAlign w:val="bottom"/>
            <w:gridSpan w:val="2"/>
          </w:tcPr>
          <w:p>
            <w:pPr>
              <w:spacing w:after="0" w:line="20" w:lineRule="exact"/>
              <w:rPr>
                <w:sz w:val="1"/>
                <w:szCs w:val="1"/>
                <w:color w:val="auto"/>
              </w:rPr>
            </w:pPr>
          </w:p>
        </w:tc>
        <w:tc>
          <w:tcPr>
            <w:tcW w:w="1120" w:type="dxa"/>
            <w:vAlign w:val="bottom"/>
            <w:tcBorders>
              <w:right w:val="single" w:sz="8" w:color="auto"/>
            </w:tcBorders>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53"/>
        </w:trPr>
        <w:tc>
          <w:tcPr>
            <w:tcW w:w="492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2"/>
        </w:trPr>
        <w:tc>
          <w:tcPr>
            <w:tcW w:w="4920" w:type="dxa"/>
            <w:vAlign w:val="bottom"/>
            <w:gridSpan w:val="4"/>
          </w:tcPr>
          <w:p>
            <w:pPr>
              <w:jc w:val="center"/>
              <w:ind w:right="1320"/>
              <w:spacing w:after="0"/>
              <w:rPr>
                <w:sz w:val="20"/>
                <w:szCs w:val="20"/>
                <w:color w:val="auto"/>
              </w:rPr>
            </w:pPr>
            <w:r>
              <w:rPr>
                <w:rFonts w:ascii="Arial" w:cs="Arial" w:eastAsia="Arial" w:hAnsi="Arial"/>
                <w:sz w:val="18"/>
                <w:szCs w:val="18"/>
                <w:b w:val="1"/>
                <w:bCs w:val="1"/>
                <w:color w:val="auto"/>
                <w:w w:val="87"/>
              </w:rPr>
              <w:t>Title of each class</w:t>
            </w:r>
          </w:p>
        </w:tc>
        <w:tc>
          <w:tcPr>
            <w:tcW w:w="17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Trading Symbol(s)</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gridSpan w:val="3"/>
          </w:tcPr>
          <w:p>
            <w:pPr>
              <w:jc w:val="center"/>
              <w:ind w:right="380"/>
              <w:spacing w:after="0"/>
              <w:rPr>
                <w:sz w:val="20"/>
                <w:szCs w:val="20"/>
                <w:color w:val="auto"/>
              </w:rPr>
            </w:pPr>
            <w:r>
              <w:rPr>
                <w:rFonts w:ascii="Arial" w:cs="Arial" w:eastAsia="Arial" w:hAnsi="Arial"/>
                <w:sz w:val="18"/>
                <w:szCs w:val="18"/>
                <w:color w:val="auto"/>
                <w:w w:val="95"/>
              </w:rPr>
              <w:t>CLRO</w:t>
            </w: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201"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76" w:lineRule="exact"/>
        <w:rPr>
          <w:sz w:val="24"/>
          <w:szCs w:val="24"/>
          <w:color w:val="auto"/>
        </w:rPr>
      </w:pPr>
    </w:p>
    <w:p>
      <w:pPr>
        <w:jc w:val="both"/>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220" w:right="339" w:bottom="1440" w:gutter="0" w:footer="0" w:header="0"/>
        </w:sectPr>
      </w:pPr>
    </w:p>
    <w:p>
      <w:pPr>
        <w:spacing w:after="0" w:line="13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Larger Accelerated Filer </w:t>
      </w:r>
      <w:r>
        <w:rPr>
          <w:rFonts w:ascii="MS PGothic" w:cs="MS PGothic" w:eastAsia="MS PGothic" w:hAnsi="MS PGothic"/>
          <w:sz w:val="16"/>
          <w:szCs w:val="16"/>
          <w:color w:val="auto"/>
        </w:rPr>
        <w:t>☐</w:t>
      </w:r>
    </w:p>
    <w:p>
      <w:pPr>
        <w:spacing w:after="0" w:line="10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8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900" w:space="720"/>
            <w:col w:w="5620"/>
          </w:cols>
          <w:pgMar w:left="320" w:top="220" w:right="339" w:bottom="1440" w:gutter="0" w:footer="0" w:header="0"/>
          <w:type w:val="continuous"/>
        </w:sectPr>
      </w:pPr>
    </w:p>
    <w:p>
      <w:pPr>
        <w:spacing w:after="0" w:line="46"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ClearOne common stock outstanding as of May 12, 2023 was 23,955,767.</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 FOR THE QUARTER ENDED MARCH 31, 2023</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0" w:type="dxa"/>
            <w:vAlign w:val="bottom"/>
            <w:shd w:val="clear" w:color="auto" w:fill="CCEEFF"/>
          </w:tcPr>
          <w:p>
            <w:pPr>
              <w:spacing w:after="0"/>
              <w:rPr>
                <w:sz w:val="19"/>
                <w:szCs w:val="19"/>
                <w:color w:val="auto"/>
              </w:rPr>
            </w:pPr>
          </w:p>
        </w:tc>
        <w:tc>
          <w:tcPr>
            <w:tcW w:w="9560" w:type="dxa"/>
            <w:vAlign w:val="bottom"/>
            <w:gridSpan w:val="18"/>
            <w:shd w:val="clear" w:color="auto" w:fill="CCEEFF"/>
          </w:tcPr>
          <w:p>
            <w:pPr>
              <w:ind w:left="120"/>
              <w:spacing w:after="0"/>
              <w:rPr>
                <w:sz w:val="20"/>
                <w:szCs w:val="20"/>
                <w:color w:val="auto"/>
              </w:rPr>
            </w:pPr>
            <w:r>
              <w:rPr>
                <w:rFonts w:ascii="Arial" w:cs="Arial" w:eastAsia="Arial" w:hAnsi="Arial"/>
                <w:sz w:val="18"/>
                <w:szCs w:val="18"/>
                <w:b w:val="1"/>
                <w:bCs w:val="1"/>
                <w:color w:val="0000EE"/>
              </w:rPr>
              <w:t>PART I - FINANCIAL INFORMATION</w:t>
            </w: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1.</w:t>
            </w:r>
          </w:p>
        </w:tc>
        <w:tc>
          <w:tcPr>
            <w:tcW w:w="9560" w:type="dxa"/>
            <w:vAlign w:val="bottom"/>
            <w:gridSpan w:val="18"/>
            <w:shd w:val="clear" w:color="auto" w:fill="CCEEFF"/>
          </w:tcPr>
          <w:p>
            <w:pPr>
              <w:ind w:left="120"/>
              <w:spacing w:after="0" w:line="189" w:lineRule="exact"/>
              <w:rPr>
                <w:sz w:val="20"/>
                <w:szCs w:val="20"/>
                <w:color w:val="auto"/>
              </w:rPr>
            </w:pPr>
            <w:r>
              <w:rPr>
                <w:rFonts w:ascii="Arial" w:cs="Arial" w:eastAsia="Arial" w:hAnsi="Arial"/>
                <w:sz w:val="18"/>
                <w:szCs w:val="18"/>
                <w:color w:val="0000EE"/>
              </w:rPr>
              <w:t>Financial Statements</w:t>
            </w: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29"/>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0" w:type="dxa"/>
            <w:vAlign w:val="bottom"/>
            <w:shd w:val="clear" w:color="auto" w:fill="CCEEFF"/>
          </w:tcPr>
          <w:p>
            <w:pPr>
              <w:spacing w:after="0"/>
              <w:rPr>
                <w:sz w:val="18"/>
                <w:szCs w:val="18"/>
                <w:color w:val="auto"/>
              </w:rPr>
            </w:pPr>
          </w:p>
        </w:tc>
        <w:tc>
          <w:tcPr>
            <w:tcW w:w="9560" w:type="dxa"/>
            <w:vAlign w:val="bottom"/>
            <w:gridSpan w:val="18"/>
            <w:shd w:val="clear" w:color="auto" w:fill="CCEEFF"/>
          </w:tcPr>
          <w:p>
            <w:pPr>
              <w:ind w:left="120"/>
              <w:spacing w:after="0" w:line="189" w:lineRule="exact"/>
              <w:rPr>
                <w:sz w:val="20"/>
                <w:szCs w:val="20"/>
                <w:color w:val="auto"/>
              </w:rPr>
            </w:pPr>
            <w:r>
              <w:rPr>
                <w:rFonts w:ascii="Arial" w:cs="Arial" w:eastAsia="Arial" w:hAnsi="Arial"/>
                <w:sz w:val="18"/>
                <w:szCs w:val="18"/>
                <w:color w:val="0000EE"/>
              </w:rPr>
              <w:t>Unaudited Condensed Consolidated Balance Sheets as of March 31, 2023 and December 31, 2022</w:t>
            </w: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30"/>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1660" w:type="dxa"/>
            <w:vAlign w:val="bottom"/>
            <w:tcBorders>
              <w:top w:val="single" w:sz="8" w:color="0000EE"/>
            </w:tcBorders>
          </w:tcPr>
          <w:p>
            <w:pPr>
              <w:spacing w:after="0"/>
              <w:rPr>
                <w:sz w:val="19"/>
                <w:szCs w:val="19"/>
                <w:color w:val="auto"/>
              </w:rPr>
            </w:pPr>
          </w:p>
        </w:tc>
        <w:tc>
          <w:tcPr>
            <w:tcW w:w="620" w:type="dxa"/>
            <w:vAlign w:val="bottom"/>
            <w:tcBorders>
              <w:top w:val="single" w:sz="8" w:color="0000EE"/>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4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w w:val="92"/>
              </w:rPr>
              <w:t>Unaudited Condensed Consolidated Statements of Operations and Comprehensive Loss for the three months ended March 31,</w:t>
            </w: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29"/>
        </w:trPr>
        <w:tc>
          <w:tcPr>
            <w:tcW w:w="7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vMerge w:val="restart"/>
            <w:shd w:val="clear" w:color="auto" w:fill="CCEEFF"/>
          </w:tcPr>
          <w:p>
            <w:pPr>
              <w:spacing w:after="0"/>
              <w:rPr>
                <w:sz w:val="11"/>
                <w:szCs w:val="11"/>
                <w:color w:val="auto"/>
              </w:rPr>
            </w:pPr>
          </w:p>
        </w:tc>
        <w:tc>
          <w:tcPr>
            <w:tcW w:w="9080" w:type="dxa"/>
            <w:vAlign w:val="bottom"/>
            <w:tcBorders>
              <w:top w:val="single" w:sz="8" w:color="0000EE"/>
            </w:tcBorders>
            <w:gridSpan w:val="16"/>
            <w:vMerge w:val="restart"/>
            <w:shd w:val="clear" w:color="auto" w:fill="CCEEFF"/>
          </w:tcPr>
          <w:p>
            <w:pPr>
              <w:spacing w:after="0" w:line="196" w:lineRule="exact"/>
              <w:rPr>
                <w:sz w:val="20"/>
                <w:szCs w:val="20"/>
                <w:color w:val="auto"/>
              </w:rPr>
            </w:pPr>
            <w:r>
              <w:rPr>
                <w:rFonts w:ascii="Arial" w:cs="Arial" w:eastAsia="Arial" w:hAnsi="Arial"/>
                <w:sz w:val="18"/>
                <w:szCs w:val="18"/>
                <w:color w:val="0000EE"/>
              </w:rPr>
              <w:t>2023 and 2022</w:t>
            </w:r>
          </w:p>
        </w:tc>
        <w:tc>
          <w:tcPr>
            <w:tcW w:w="360" w:type="dxa"/>
            <w:vAlign w:val="bottom"/>
            <w:tcBorders>
              <w:top w:val="single" w:sz="8" w:color="CCEEFF"/>
            </w:tcBorders>
            <w:vMerge w:val="restart"/>
            <w:shd w:val="clear" w:color="auto" w:fill="CCEEFF"/>
          </w:tcPr>
          <w:p>
            <w:pPr>
              <w:spacing w:after="0"/>
              <w:rPr>
                <w:sz w:val="11"/>
                <w:szCs w:val="11"/>
                <w:color w:val="auto"/>
              </w:rPr>
            </w:pPr>
          </w:p>
        </w:tc>
        <w:tc>
          <w:tcPr>
            <w:tcW w:w="900" w:type="dxa"/>
            <w:vAlign w:val="bottom"/>
            <w:tcBorders>
              <w:top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780" w:type="dxa"/>
            <w:vAlign w:val="bottom"/>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9080" w:type="dxa"/>
            <w:vAlign w:val="bottom"/>
            <w:gridSpan w:val="16"/>
            <w:vMerge w:val="continue"/>
            <w:shd w:val="clear" w:color="auto" w:fill="CCEEFF"/>
          </w:tcPr>
          <w:p>
            <w:pPr>
              <w:spacing w:after="0"/>
              <w:rPr>
                <w:sz w:val="7"/>
                <w:szCs w:val="7"/>
                <w:color w:val="auto"/>
              </w:rPr>
            </w:pPr>
          </w:p>
        </w:tc>
        <w:tc>
          <w:tcPr>
            <w:tcW w:w="360" w:type="dxa"/>
            <w:vAlign w:val="bottom"/>
            <w:vMerge w:val="continue"/>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0" w:type="dxa"/>
            <w:vAlign w:val="bottom"/>
            <w:shd w:val="clear" w:color="auto" w:fill="CCEEFF"/>
          </w:tcPr>
          <w:p>
            <w:pPr>
              <w:spacing w:after="0"/>
              <w:rPr>
                <w:sz w:val="18"/>
                <w:szCs w:val="18"/>
                <w:color w:val="auto"/>
              </w:rPr>
            </w:pPr>
          </w:p>
        </w:tc>
        <w:tc>
          <w:tcPr>
            <w:tcW w:w="9560" w:type="dxa"/>
            <w:vAlign w:val="bottom"/>
            <w:gridSpan w:val="18"/>
            <w:shd w:val="clear" w:color="auto" w:fill="CCEEFF"/>
          </w:tcPr>
          <w:p>
            <w:pPr>
              <w:ind w:left="120"/>
              <w:spacing w:after="0" w:line="189" w:lineRule="exact"/>
              <w:rPr>
                <w:sz w:val="20"/>
                <w:szCs w:val="20"/>
                <w:color w:val="auto"/>
              </w:rPr>
            </w:pPr>
            <w:r>
              <w:rPr>
                <w:rFonts w:ascii="Arial" w:cs="Arial" w:eastAsia="Arial" w:hAnsi="Arial"/>
                <w:sz w:val="18"/>
                <w:szCs w:val="18"/>
                <w:color w:val="0000EE"/>
              </w:rPr>
              <w:t>Unaudited Condensed Consolidated Statements of Cash Flows for the three months ended March 31, 2023 and 2022</w:t>
            </w: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29"/>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1660" w:type="dxa"/>
            <w:vAlign w:val="bottom"/>
            <w:tcBorders>
              <w:top w:val="single" w:sz="8" w:color="0000EE"/>
            </w:tcBorders>
          </w:tcPr>
          <w:p>
            <w:pPr>
              <w:spacing w:after="0"/>
              <w:rPr>
                <w:sz w:val="19"/>
                <w:szCs w:val="19"/>
                <w:color w:val="auto"/>
              </w:rPr>
            </w:pPr>
          </w:p>
        </w:tc>
        <w:tc>
          <w:tcPr>
            <w:tcW w:w="620" w:type="dxa"/>
            <w:vAlign w:val="bottom"/>
            <w:tcBorders>
              <w:top w:val="single" w:sz="8" w:color="0000EE"/>
            </w:tcBorders>
          </w:tcPr>
          <w:p>
            <w:pPr>
              <w:spacing w:after="0"/>
              <w:rPr>
                <w:sz w:val="19"/>
                <w:szCs w:val="19"/>
                <w:color w:val="auto"/>
              </w:rPr>
            </w:pPr>
          </w:p>
        </w:tc>
        <w:tc>
          <w:tcPr>
            <w:tcW w:w="1300" w:type="dxa"/>
            <w:vAlign w:val="bottom"/>
            <w:tcBorders>
              <w:top w:val="single" w:sz="8" w:color="0000EE"/>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rPr>
                <w:sz w:val="18"/>
                <w:szCs w:val="18"/>
                <w:color w:val="auto"/>
              </w:rPr>
            </w:pPr>
          </w:p>
        </w:tc>
        <w:tc>
          <w:tcPr>
            <w:tcW w:w="9560" w:type="dxa"/>
            <w:vAlign w:val="bottom"/>
            <w:gridSpan w:val="18"/>
            <w:shd w:val="clear" w:color="auto" w:fill="CCEEFF"/>
          </w:tcPr>
          <w:p>
            <w:pPr>
              <w:ind w:left="120"/>
              <w:spacing w:after="0" w:line="189" w:lineRule="exact"/>
              <w:rPr>
                <w:sz w:val="20"/>
                <w:szCs w:val="20"/>
                <w:color w:val="auto"/>
              </w:rPr>
            </w:pPr>
            <w:r>
              <w:rPr>
                <w:rFonts w:ascii="Arial" w:cs="Arial" w:eastAsia="Arial" w:hAnsi="Arial"/>
                <w:sz w:val="18"/>
                <w:szCs w:val="18"/>
                <w:color w:val="0000EE"/>
              </w:rPr>
              <w:t>Unaudited Notes to Condensed Consolidated Financial Statements</w:t>
            </w: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29"/>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2.</w:t>
            </w:r>
          </w:p>
        </w:tc>
        <w:tc>
          <w:tcPr>
            <w:tcW w:w="9560" w:type="dxa"/>
            <w:vAlign w:val="bottom"/>
            <w:gridSpan w:val="18"/>
            <w:shd w:val="clear" w:color="auto" w:fill="CCEEFF"/>
          </w:tcPr>
          <w:p>
            <w:pPr>
              <w:ind w:left="120"/>
              <w:spacing w:after="0" w:line="189"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29"/>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1660" w:type="dxa"/>
            <w:vAlign w:val="bottom"/>
            <w:tcBorders>
              <w:top w:val="single" w:sz="8" w:color="0000EE"/>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3.</w:t>
            </w:r>
          </w:p>
        </w:tc>
        <w:tc>
          <w:tcPr>
            <w:tcW w:w="9560" w:type="dxa"/>
            <w:vAlign w:val="bottom"/>
            <w:gridSpan w:val="18"/>
            <w:shd w:val="clear" w:color="auto" w:fill="CCEEFF"/>
          </w:tcPr>
          <w:p>
            <w:pPr>
              <w:ind w:left="120"/>
              <w:spacing w:after="0" w:line="189" w:lineRule="exact"/>
              <w:rPr>
                <w:sz w:val="20"/>
                <w:szCs w:val="20"/>
                <w:color w:val="auto"/>
              </w:rPr>
            </w:pPr>
            <w:r>
              <w:rPr>
                <w:rFonts w:ascii="Arial" w:cs="Arial" w:eastAsia="Arial" w:hAnsi="Arial"/>
                <w:sz w:val="18"/>
                <w:szCs w:val="18"/>
                <w:color w:val="0000EE"/>
              </w:rPr>
              <w:t>Quantitative and Qualitative Disclosures About Market Risk</w:t>
            </w: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30"/>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4.</w:t>
            </w:r>
          </w:p>
        </w:tc>
        <w:tc>
          <w:tcPr>
            <w:tcW w:w="9560" w:type="dxa"/>
            <w:vAlign w:val="bottom"/>
            <w:gridSpan w:val="18"/>
            <w:shd w:val="clear" w:color="auto" w:fill="CCEEFF"/>
          </w:tcPr>
          <w:p>
            <w:pPr>
              <w:ind w:left="120"/>
              <w:spacing w:after="0" w:line="189" w:lineRule="exact"/>
              <w:rPr>
                <w:sz w:val="20"/>
                <w:szCs w:val="20"/>
                <w:color w:val="auto"/>
              </w:rPr>
            </w:pPr>
            <w:r>
              <w:rPr>
                <w:rFonts w:ascii="Arial" w:cs="Arial" w:eastAsia="Arial" w:hAnsi="Arial"/>
                <w:sz w:val="18"/>
                <w:szCs w:val="18"/>
                <w:color w:val="0000EE"/>
              </w:rPr>
              <w:t>Controls and Procedures</w:t>
            </w: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30"/>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0" w:type="dxa"/>
            <w:vAlign w:val="bottom"/>
            <w:shd w:val="clear" w:color="auto" w:fill="CCEEFF"/>
          </w:tcPr>
          <w:p>
            <w:pPr>
              <w:spacing w:after="0"/>
              <w:rPr>
                <w:sz w:val="18"/>
                <w:szCs w:val="18"/>
                <w:color w:val="auto"/>
              </w:rPr>
            </w:pPr>
          </w:p>
        </w:tc>
        <w:tc>
          <w:tcPr>
            <w:tcW w:w="9560" w:type="dxa"/>
            <w:vAlign w:val="bottom"/>
            <w:gridSpan w:val="18"/>
            <w:shd w:val="clear" w:color="auto" w:fill="CCEEFF"/>
          </w:tcPr>
          <w:p>
            <w:pPr>
              <w:ind w:left="120"/>
              <w:spacing w:after="0" w:line="189" w:lineRule="exact"/>
              <w:rPr>
                <w:sz w:val="20"/>
                <w:szCs w:val="20"/>
                <w:color w:val="auto"/>
              </w:rPr>
            </w:pPr>
            <w:r>
              <w:rPr>
                <w:rFonts w:ascii="Arial" w:cs="Arial" w:eastAsia="Arial" w:hAnsi="Arial"/>
                <w:sz w:val="18"/>
                <w:szCs w:val="18"/>
                <w:b w:val="1"/>
                <w:bCs w:val="1"/>
                <w:color w:val="0000EE"/>
              </w:rPr>
              <w:t>PART II - OTHER INFORMATION</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1.</w:t>
            </w:r>
          </w:p>
        </w:tc>
        <w:tc>
          <w:tcPr>
            <w:tcW w:w="9560" w:type="dxa"/>
            <w:vAlign w:val="bottom"/>
            <w:gridSpan w:val="18"/>
            <w:shd w:val="clear" w:color="auto" w:fill="CCEEFF"/>
          </w:tcPr>
          <w:p>
            <w:pPr>
              <w:ind w:left="120"/>
              <w:spacing w:after="0" w:line="189" w:lineRule="exact"/>
              <w:rPr>
                <w:sz w:val="20"/>
                <w:szCs w:val="20"/>
                <w:color w:val="auto"/>
              </w:rPr>
            </w:pPr>
            <w:r>
              <w:rPr>
                <w:rFonts w:ascii="Arial" w:cs="Arial" w:eastAsia="Arial" w:hAnsi="Arial"/>
                <w:sz w:val="18"/>
                <w:szCs w:val="18"/>
                <w:color w:val="0000EE"/>
              </w:rPr>
              <w:t>Legal Proceedings</w:t>
            </w: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29"/>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1A.</w:t>
            </w:r>
          </w:p>
        </w:tc>
        <w:tc>
          <w:tcPr>
            <w:tcW w:w="9560" w:type="dxa"/>
            <w:vAlign w:val="bottom"/>
            <w:gridSpan w:val="18"/>
            <w:shd w:val="clear" w:color="auto" w:fill="CCEEFF"/>
          </w:tcPr>
          <w:p>
            <w:pPr>
              <w:ind w:left="120"/>
              <w:spacing w:after="0" w:line="189" w:lineRule="exact"/>
              <w:rPr>
                <w:sz w:val="20"/>
                <w:szCs w:val="20"/>
                <w:color w:val="auto"/>
              </w:rPr>
            </w:pPr>
            <w:r>
              <w:rPr>
                <w:rFonts w:ascii="Arial" w:cs="Arial" w:eastAsia="Arial" w:hAnsi="Arial"/>
                <w:sz w:val="18"/>
                <w:szCs w:val="18"/>
                <w:color w:val="0000EE"/>
              </w:rPr>
              <w:t>Risk Factors</w:t>
            </w: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30"/>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2.</w:t>
            </w:r>
          </w:p>
        </w:tc>
        <w:tc>
          <w:tcPr>
            <w:tcW w:w="9560" w:type="dxa"/>
            <w:vAlign w:val="bottom"/>
            <w:gridSpan w:val="18"/>
            <w:shd w:val="clear" w:color="auto" w:fill="CCEEFF"/>
          </w:tcPr>
          <w:p>
            <w:pPr>
              <w:ind w:left="120"/>
              <w:spacing w:after="0" w:line="189" w:lineRule="exact"/>
              <w:rPr>
                <w:sz w:val="20"/>
                <w:szCs w:val="20"/>
                <w:color w:val="auto"/>
              </w:rPr>
            </w:pPr>
            <w:r>
              <w:rPr>
                <w:rFonts w:ascii="Arial" w:cs="Arial" w:eastAsia="Arial" w:hAnsi="Arial"/>
                <w:sz w:val="18"/>
                <w:szCs w:val="18"/>
                <w:color w:val="0000EE"/>
              </w:rPr>
              <w:t>Unregistered Sales of Equity Securities and Use of Proceeds</w:t>
            </w: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29"/>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3.</w:t>
            </w:r>
          </w:p>
        </w:tc>
        <w:tc>
          <w:tcPr>
            <w:tcW w:w="9560" w:type="dxa"/>
            <w:vAlign w:val="bottom"/>
            <w:gridSpan w:val="18"/>
            <w:shd w:val="clear" w:color="auto" w:fill="CCEEFF"/>
          </w:tcPr>
          <w:p>
            <w:pPr>
              <w:ind w:left="120"/>
              <w:spacing w:after="0" w:line="189" w:lineRule="exact"/>
              <w:rPr>
                <w:sz w:val="20"/>
                <w:szCs w:val="20"/>
                <w:color w:val="auto"/>
              </w:rPr>
            </w:pPr>
            <w:r>
              <w:rPr>
                <w:rFonts w:ascii="Arial" w:cs="Arial" w:eastAsia="Arial" w:hAnsi="Arial"/>
                <w:sz w:val="18"/>
                <w:szCs w:val="18"/>
                <w:color w:val="0000EE"/>
              </w:rPr>
              <w:t>Defaults Upon Senior Securities</w:t>
            </w: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30"/>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4.</w:t>
            </w:r>
          </w:p>
        </w:tc>
        <w:tc>
          <w:tcPr>
            <w:tcW w:w="9560" w:type="dxa"/>
            <w:vAlign w:val="bottom"/>
            <w:gridSpan w:val="18"/>
            <w:shd w:val="clear" w:color="auto" w:fill="CCEEFF"/>
          </w:tcPr>
          <w:p>
            <w:pPr>
              <w:ind w:left="120"/>
              <w:spacing w:after="0" w:line="189" w:lineRule="exact"/>
              <w:rPr>
                <w:sz w:val="20"/>
                <w:szCs w:val="20"/>
                <w:color w:val="auto"/>
              </w:rPr>
            </w:pPr>
            <w:r>
              <w:rPr>
                <w:rFonts w:ascii="Arial" w:cs="Arial" w:eastAsia="Arial" w:hAnsi="Arial"/>
                <w:sz w:val="18"/>
                <w:szCs w:val="18"/>
                <w:color w:val="0000EE"/>
              </w:rPr>
              <w:t>Mine Safety Disclosures</w:t>
            </w: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30"/>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5.</w:t>
            </w:r>
          </w:p>
        </w:tc>
        <w:tc>
          <w:tcPr>
            <w:tcW w:w="9560" w:type="dxa"/>
            <w:vAlign w:val="bottom"/>
            <w:gridSpan w:val="18"/>
            <w:shd w:val="clear" w:color="auto" w:fill="CCEEFF"/>
          </w:tcPr>
          <w:p>
            <w:pPr>
              <w:ind w:left="120"/>
              <w:spacing w:after="0" w:line="189" w:lineRule="exact"/>
              <w:rPr>
                <w:sz w:val="20"/>
                <w:szCs w:val="20"/>
                <w:color w:val="auto"/>
              </w:rPr>
            </w:pPr>
            <w:r>
              <w:rPr>
                <w:rFonts w:ascii="Arial" w:cs="Arial" w:eastAsia="Arial" w:hAnsi="Arial"/>
                <w:sz w:val="18"/>
                <w:szCs w:val="18"/>
                <w:color w:val="0000EE"/>
              </w:rPr>
              <w:t>Other Information</w:t>
            </w: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30"/>
        </w:trPr>
        <w:tc>
          <w:tcPr>
            <w:tcW w:w="7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 6.</w:t>
            </w:r>
          </w:p>
        </w:tc>
        <w:tc>
          <w:tcPr>
            <w:tcW w:w="120" w:type="dxa"/>
            <w:vAlign w:val="bottom"/>
            <w:shd w:val="clear" w:color="auto" w:fill="CCEEFF"/>
          </w:tcPr>
          <w:p>
            <w:pPr>
              <w:spacing w:after="0"/>
              <w:rPr>
                <w:sz w:val="18"/>
                <w:szCs w:val="18"/>
                <w:color w:val="auto"/>
              </w:rPr>
            </w:pPr>
          </w:p>
        </w:tc>
        <w:tc>
          <w:tcPr>
            <w:tcW w:w="9440" w:type="dxa"/>
            <w:vAlign w:val="bottom"/>
            <w:gridSpan w:val="17"/>
            <w:shd w:val="clear" w:color="auto" w:fill="CCEEFF"/>
          </w:tcPr>
          <w:p>
            <w:pPr>
              <w:spacing w:after="0" w:line="189" w:lineRule="exact"/>
              <w:rPr>
                <w:sz w:val="20"/>
                <w:szCs w:val="20"/>
                <w:color w:val="auto"/>
              </w:rPr>
            </w:pPr>
            <w:r>
              <w:rPr>
                <w:rFonts w:ascii="Arial" w:cs="Arial" w:eastAsia="Arial" w:hAnsi="Arial"/>
                <w:sz w:val="18"/>
                <w:szCs w:val="18"/>
                <w:color w:val="0000EE"/>
              </w:rPr>
              <w:t>Exhibits</w:t>
            </w: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459"/>
        </w:trPr>
        <w:tc>
          <w:tcPr>
            <w:tcW w:w="7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200" w:type="dxa"/>
            <w:vAlign w:val="bottom"/>
            <w:tcBorders>
              <w:top w:val="single" w:sz="8" w:color="CCEEFF"/>
            </w:tcBorders>
            <w:gridSpan w:val="11"/>
          </w:tcPr>
          <w:p>
            <w:pPr>
              <w:jc w:val="right"/>
              <w:ind w:right="40"/>
              <w:spacing w:after="0"/>
              <w:rPr>
                <w:sz w:val="20"/>
                <w:szCs w:val="20"/>
                <w:color w:val="auto"/>
              </w:rPr>
            </w:pPr>
            <w:r>
              <w:rPr>
                <w:rFonts w:ascii="Arial" w:cs="Arial" w:eastAsia="Arial" w:hAnsi="Arial"/>
                <w:sz w:val="18"/>
                <w:szCs w:val="18"/>
                <w:color w:val="auto"/>
              </w:rPr>
              <w:t>2</w:t>
            </w:r>
          </w:p>
        </w:tc>
        <w:tc>
          <w:tcPr>
            <w:tcW w:w="166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130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par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8440" w:type="dxa"/>
            <w:vAlign w:val="bottom"/>
          </w:tcPr>
          <w:p>
            <w:pPr>
              <w:spacing w:after="0"/>
              <w:rPr>
                <w:sz w:val="20"/>
                <w:szCs w:val="20"/>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 2023</w:t>
            </w:r>
          </w:p>
        </w:tc>
        <w:tc>
          <w:tcPr>
            <w:tcW w:w="10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23"/>
        </w:trPr>
        <w:tc>
          <w:tcPr>
            <w:tcW w:w="8440" w:type="dxa"/>
            <w:vAlign w:val="bottom"/>
            <w:shd w:val="clear" w:color="auto" w:fill="CCEEFF"/>
          </w:tcPr>
          <w:p>
            <w:pPr>
              <w:ind w:left="3820"/>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CEEFF"/>
          </w:tcPr>
          <w:p>
            <w:pPr>
              <w:spacing w:after="0"/>
              <w:rPr>
                <w:sz w:val="19"/>
                <w:szCs w:val="19"/>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Legal settlement receivable</w:t>
            </w:r>
          </w:p>
        </w:tc>
        <w:tc>
          <w:tcPr>
            <w:tcW w:w="4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55,000</w:t>
            </w:r>
          </w:p>
        </w:tc>
        <w:tc>
          <w:tcPr>
            <w:tcW w:w="100" w:type="dxa"/>
            <w:vAlign w:val="bottom"/>
          </w:tcPr>
          <w:p>
            <w:pPr>
              <w:spacing w:after="0"/>
              <w:rPr>
                <w:sz w:val="19"/>
                <w:szCs w:val="19"/>
                <w:color w:val="auto"/>
              </w:rPr>
            </w:pP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 of allowance of $326</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w:t>
            </w:r>
          </w:p>
        </w:tc>
        <w:tc>
          <w:tcPr>
            <w:tcW w:w="100" w:type="dxa"/>
            <w:vAlign w:val="bottom"/>
            <w:shd w:val="clear" w:color="auto" w:fill="CCEEFF"/>
          </w:tcPr>
          <w:p>
            <w:pPr>
              <w:spacing w:after="0"/>
              <w:rPr>
                <w:sz w:val="19"/>
                <w:szCs w:val="19"/>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Inventories, net</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8,395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8,961</w:t>
            </w:r>
          </w:p>
        </w:tc>
        <w:tc>
          <w:tcPr>
            <w:tcW w:w="100" w:type="dxa"/>
            <w:vAlign w:val="bottom"/>
          </w:tcPr>
          <w:p>
            <w:pPr>
              <w:spacing w:after="0"/>
              <w:rPr>
                <w:sz w:val="19"/>
                <w:szCs w:val="19"/>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00" w:type="dxa"/>
            <w:vAlign w:val="bottom"/>
            <w:shd w:val="clear" w:color="auto" w:fill="CCEEFF"/>
          </w:tcPr>
          <w:p>
            <w:pPr>
              <w:spacing w:after="0"/>
              <w:rPr>
                <w:sz w:val="18"/>
                <w:szCs w:val="18"/>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7,808</w:t>
            </w:r>
          </w:p>
        </w:tc>
        <w:tc>
          <w:tcPr>
            <w:tcW w:w="100" w:type="dxa"/>
            <w:vAlign w:val="bottom"/>
          </w:tcPr>
          <w:p>
            <w:pPr>
              <w:spacing w:after="0"/>
              <w:rPr>
                <w:sz w:val="19"/>
                <w:szCs w:val="19"/>
                <w:color w:val="auto"/>
              </w:rPr>
            </w:pPr>
          </w:p>
        </w:tc>
      </w:tr>
      <w:tr>
        <w:trPr>
          <w:trHeight w:val="223"/>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74,577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77,427</w:t>
            </w:r>
          </w:p>
        </w:tc>
        <w:tc>
          <w:tcPr>
            <w:tcW w:w="100" w:type="dxa"/>
            <w:vAlign w:val="bottom"/>
            <w:shd w:val="clear" w:color="auto" w:fill="CCEEFF"/>
          </w:tcPr>
          <w:p>
            <w:pPr>
              <w:spacing w:after="0"/>
              <w:rPr>
                <w:sz w:val="19"/>
                <w:szCs w:val="19"/>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Long-term inventories, net</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2,885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2,707</w:t>
            </w:r>
          </w:p>
        </w:tc>
        <w:tc>
          <w:tcPr>
            <w:tcW w:w="100" w:type="dxa"/>
            <w:vAlign w:val="bottom"/>
          </w:tcPr>
          <w:p>
            <w:pPr>
              <w:spacing w:after="0"/>
              <w:rPr>
                <w:sz w:val="19"/>
                <w:szCs w:val="19"/>
                <w:color w:val="auto"/>
              </w:rPr>
            </w:pP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Operating lease - right of use assets, net</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19"/>
                <w:szCs w:val="19"/>
                <w:color w:val="auto"/>
              </w:rPr>
            </w:pP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100" w:type="dxa"/>
            <w:vAlign w:val="bottom"/>
            <w:shd w:val="clear" w:color="auto" w:fill="CCEEFF"/>
          </w:tcPr>
          <w:p>
            <w:pPr>
              <w:spacing w:after="0"/>
              <w:rPr>
                <w:sz w:val="19"/>
                <w:szCs w:val="19"/>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r>
      <w:tr>
        <w:trPr>
          <w:trHeight w:val="263"/>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81,184</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83,750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7"/>
        </w:trPr>
        <w:tc>
          <w:tcPr>
            <w:tcW w:w="8440" w:type="dxa"/>
            <w:vAlign w:val="bottom"/>
          </w:tcPr>
          <w:p>
            <w:pPr>
              <w:ind w:left="222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1,820</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19"/>
                <w:szCs w:val="19"/>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100" w:type="dxa"/>
            <w:vAlign w:val="bottom"/>
            <w:shd w:val="clear" w:color="auto" w:fill="CCEEFF"/>
          </w:tcPr>
          <w:p>
            <w:pPr>
              <w:spacing w:after="0"/>
              <w:rPr>
                <w:sz w:val="19"/>
                <w:szCs w:val="19"/>
                <w:color w:val="auto"/>
              </w:rPr>
            </w:pPr>
          </w:p>
        </w:tc>
      </w:tr>
      <w:tr>
        <w:trPr>
          <w:trHeight w:val="243"/>
        </w:trPr>
        <w:tc>
          <w:tcPr>
            <w:tcW w:w="844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100" w:type="dxa"/>
            <w:vAlign w:val="bottom"/>
            <w:shd w:val="clear" w:color="auto" w:fill="CCEEFF"/>
          </w:tcPr>
          <w:p>
            <w:pPr>
              <w:spacing w:after="0"/>
              <w:rPr>
                <w:sz w:val="19"/>
                <w:szCs w:val="19"/>
                <w:color w:val="auto"/>
              </w:rPr>
            </w:pPr>
          </w:p>
        </w:tc>
      </w:tr>
      <w:tr>
        <w:trPr>
          <w:trHeight w:val="210"/>
        </w:trPr>
        <w:tc>
          <w:tcPr>
            <w:tcW w:w="844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8,120</w:t>
            </w:r>
          </w:p>
        </w:tc>
        <w:tc>
          <w:tcPr>
            <w:tcW w:w="100" w:type="dxa"/>
            <w:vAlign w:val="bottom"/>
          </w:tcPr>
          <w:p>
            <w:pPr>
              <w:spacing w:after="0"/>
              <w:rPr>
                <w:sz w:val="18"/>
                <w:szCs w:val="18"/>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net of current</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9"/>
                <w:szCs w:val="19"/>
                <w:color w:val="auto"/>
              </w:rPr>
            </w:pPr>
          </w:p>
        </w:tc>
      </w:tr>
      <w:tr>
        <w:trPr>
          <w:trHeight w:val="243"/>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tcPr>
          <w:p>
            <w:pPr>
              <w:spacing w:after="0"/>
              <w:rPr>
                <w:sz w:val="21"/>
                <w:szCs w:val="21"/>
                <w:color w:val="auto"/>
              </w:rPr>
            </w:pPr>
          </w:p>
        </w:tc>
      </w:tr>
      <w:tr>
        <w:trPr>
          <w:trHeight w:val="223"/>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7,858</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9,620</w:t>
            </w:r>
          </w:p>
        </w:tc>
        <w:tc>
          <w:tcPr>
            <w:tcW w:w="100" w:type="dxa"/>
            <w:vAlign w:val="bottom"/>
            <w:shd w:val="clear" w:color="auto" w:fill="CCEEFF"/>
          </w:tcPr>
          <w:p>
            <w:pPr>
              <w:spacing w:after="0"/>
              <w:rPr>
                <w:sz w:val="19"/>
                <w:szCs w:val="19"/>
                <w:color w:val="auto"/>
              </w:rPr>
            </w:pPr>
          </w:p>
        </w:tc>
      </w:tr>
      <w:tr>
        <w:trPr>
          <w:trHeight w:val="210"/>
        </w:trPr>
        <w:tc>
          <w:tcPr>
            <w:tcW w:w="8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w w:val="97"/>
              </w:rPr>
              <w:t>Common stock, par value $0.001, 50,000,000 shares authorized, 23,955,767 shares issued and outstanding</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74,933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74,910</w:t>
            </w:r>
          </w:p>
        </w:tc>
        <w:tc>
          <w:tcPr>
            <w:tcW w:w="100" w:type="dxa"/>
            <w:vAlign w:val="bottom"/>
            <w:shd w:val="clear" w:color="auto" w:fill="CCEEFF"/>
          </w:tcPr>
          <w:p>
            <w:pPr>
              <w:spacing w:after="0"/>
              <w:rPr>
                <w:sz w:val="19"/>
                <w:szCs w:val="19"/>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4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(288)</w:t>
            </w:r>
          </w:p>
        </w:tc>
      </w:tr>
      <w:tr>
        <w:trPr>
          <w:trHeight w:val="243"/>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(516)</w:t>
            </w:r>
          </w:p>
        </w:tc>
      </w:tr>
      <w:tr>
        <w:trPr>
          <w:trHeight w:val="223"/>
        </w:trPr>
        <w:tc>
          <w:tcPr>
            <w:tcW w:w="8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shareholders' equity</w:t>
            </w:r>
          </w:p>
        </w:tc>
        <w:tc>
          <w:tcPr>
            <w:tcW w:w="4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73,326</w:t>
            </w:r>
          </w:p>
        </w:tc>
        <w:tc>
          <w:tcPr>
            <w:tcW w:w="2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74,130</w:t>
            </w:r>
          </w:p>
        </w:tc>
        <w:tc>
          <w:tcPr>
            <w:tcW w:w="100" w:type="dxa"/>
            <w:vAlign w:val="bottom"/>
            <w:tcBorders>
              <w:bottom w:val="single" w:sz="8" w:color="CCEEFF"/>
            </w:tcBorders>
          </w:tcPr>
          <w:p>
            <w:pPr>
              <w:spacing w:after="0"/>
              <w:rPr>
                <w:sz w:val="19"/>
                <w:szCs w:val="19"/>
                <w:color w:val="auto"/>
              </w:rPr>
            </w:pPr>
          </w:p>
        </w:tc>
      </w:tr>
      <w:tr>
        <w:trPr>
          <w:trHeight w:val="223"/>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81,184</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83,750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5"/>
          </w:tcPr>
          <w:p>
            <w:pPr>
              <w:jc w:val="right"/>
              <w:ind w:right="221"/>
              <w:spacing w:after="0"/>
              <w:rPr>
                <w:sz w:val="20"/>
                <w:szCs w:val="20"/>
                <w:color w:val="auto"/>
              </w:rPr>
            </w:pPr>
            <w:r>
              <w:rPr>
                <w:rFonts w:ascii="Arial" w:cs="Arial" w:eastAsia="Arial" w:hAnsi="Arial"/>
                <w:sz w:val="18"/>
                <w:szCs w:val="18"/>
                <w:b w:val="1"/>
                <w:bCs w:val="1"/>
                <w:color w:val="auto"/>
                <w:w w:val="91"/>
              </w:rPr>
              <w:t>Three months ended March 31,</w:t>
            </w:r>
          </w:p>
        </w:tc>
      </w:tr>
      <w:tr>
        <w:trPr>
          <w:trHeight w:val="209"/>
        </w:trPr>
        <w:tc>
          <w:tcPr>
            <w:tcW w:w="8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23"/>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7,545</w:t>
            </w:r>
          </w:p>
        </w:tc>
        <w:tc>
          <w:tcPr>
            <w:tcW w:w="100" w:type="dxa"/>
            <w:vAlign w:val="bottom"/>
            <w:shd w:val="clear" w:color="auto" w:fill="CCEEFF"/>
          </w:tcPr>
          <w:p>
            <w:pPr>
              <w:spacing w:after="0"/>
              <w:rPr>
                <w:sz w:val="19"/>
                <w:szCs w:val="19"/>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4,729</w:t>
            </w:r>
          </w:p>
        </w:tc>
        <w:tc>
          <w:tcPr>
            <w:tcW w:w="100" w:type="dxa"/>
            <w:vAlign w:val="bottom"/>
          </w:tcPr>
          <w:p>
            <w:pPr>
              <w:spacing w:after="0"/>
              <w:rPr>
                <w:sz w:val="19"/>
                <w:szCs w:val="19"/>
                <w:color w:val="auto"/>
              </w:rPr>
            </w:pPr>
          </w:p>
        </w:tc>
      </w:tr>
      <w:tr>
        <w:trPr>
          <w:trHeight w:val="210"/>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3"/>
        </w:trPr>
        <w:tc>
          <w:tcPr>
            <w:tcW w:w="8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19"/>
                <w:szCs w:val="19"/>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00" w:type="dxa"/>
            <w:vAlign w:val="bottom"/>
            <w:shd w:val="clear" w:color="auto" w:fill="CCEEFF"/>
          </w:tcPr>
          <w:p>
            <w:pPr>
              <w:spacing w:after="0"/>
              <w:rPr>
                <w:sz w:val="19"/>
                <w:szCs w:val="19"/>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w:t>
            </w:r>
          </w:p>
        </w:tc>
        <w:tc>
          <w:tcPr>
            <w:tcW w:w="100" w:type="dxa"/>
            <w:vAlign w:val="bottom"/>
          </w:tcPr>
          <w:p>
            <w:pPr>
              <w:spacing w:after="0"/>
              <w:rPr>
                <w:sz w:val="19"/>
                <w:szCs w:val="19"/>
                <w:color w:val="auto"/>
              </w:rPr>
            </w:pPr>
          </w:p>
        </w:tc>
      </w:tr>
      <w:tr>
        <w:trPr>
          <w:trHeight w:val="223"/>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(2,189)</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(1,853)</w:t>
            </w:r>
          </w:p>
        </w:tc>
      </w:tr>
      <w:tr>
        <w:trPr>
          <w:trHeight w:val="229"/>
        </w:trPr>
        <w:tc>
          <w:tcPr>
            <w:tcW w:w="8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(292)</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(101)</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Other income, net</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23"/>
        </w:trPr>
        <w:tc>
          <w:tcPr>
            <w:tcW w:w="8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tcPr>
          <w:p>
            <w:pPr>
              <w:spacing w:after="0"/>
              <w:rPr>
                <w:sz w:val="19"/>
                <w:szCs w:val="19"/>
                <w:color w:val="auto"/>
              </w:rPr>
            </w:pP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(815)</w:t>
            </w:r>
          </w:p>
        </w:tc>
        <w:tc>
          <w:tcPr>
            <w:tcW w:w="26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(1,951)</w:t>
            </w:r>
          </w:p>
        </w:tc>
      </w:tr>
      <w:tr>
        <w:trPr>
          <w:trHeight w:val="229"/>
        </w:trPr>
        <w:tc>
          <w:tcPr>
            <w:tcW w:w="8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r>
      <w:tr>
        <w:trPr>
          <w:trHeight w:val="229"/>
        </w:trPr>
        <w:tc>
          <w:tcPr>
            <w:tcW w:w="8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(832)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(1,967)</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6"/>
        </w:trPr>
        <w:tc>
          <w:tcPr>
            <w:tcW w:w="8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23,955,767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23,897,305</w:t>
            </w:r>
          </w:p>
        </w:tc>
        <w:tc>
          <w:tcPr>
            <w:tcW w:w="100" w:type="dxa"/>
            <w:vAlign w:val="bottom"/>
          </w:tcPr>
          <w:p>
            <w:pPr>
              <w:spacing w:after="0"/>
              <w:rPr>
                <w:sz w:val="19"/>
                <w:szCs w:val="19"/>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23,955,767</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23,897,305</w:t>
            </w:r>
          </w:p>
        </w:tc>
        <w:tc>
          <w:tcPr>
            <w:tcW w:w="100" w:type="dxa"/>
            <w:vAlign w:val="bottom"/>
            <w:shd w:val="clear" w:color="auto" w:fill="CCEEFF"/>
          </w:tcPr>
          <w:p>
            <w:pPr>
              <w:spacing w:after="0"/>
              <w:rPr>
                <w:sz w:val="19"/>
                <w:szCs w:val="19"/>
                <w:color w:val="auto"/>
              </w:rPr>
            </w:pPr>
          </w:p>
        </w:tc>
      </w:tr>
      <w:tr>
        <w:trPr>
          <w:trHeight w:val="230"/>
        </w:trPr>
        <w:tc>
          <w:tcPr>
            <w:tcW w:w="8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(0.03)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(0.08)</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Diluted loss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(0.03)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(0.08)</w:t>
            </w:r>
          </w:p>
        </w:tc>
      </w:tr>
      <w:tr>
        <w:trPr>
          <w:trHeight w:val="230"/>
        </w:trPr>
        <w:tc>
          <w:tcPr>
            <w:tcW w:w="8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Comprehensive loss:</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(832)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(1,967)</w:t>
            </w:r>
          </w:p>
        </w:tc>
      </w:tr>
      <w:tr>
        <w:trPr>
          <w:trHeight w:val="229"/>
        </w:trPr>
        <w:tc>
          <w:tcPr>
            <w:tcW w:w="8440" w:type="dxa"/>
            <w:vAlign w:val="bottom"/>
          </w:tcPr>
          <w:p>
            <w:pPr>
              <w:ind w:left="180"/>
              <w:spacing w:after="0"/>
              <w:rPr>
                <w:sz w:val="20"/>
                <w:szCs w:val="20"/>
                <w:color w:val="auto"/>
              </w:rPr>
            </w:pPr>
            <w:r>
              <w:rPr>
                <w:rFonts w:ascii="Arial" w:cs="Arial" w:eastAsia="Arial" w:hAnsi="Arial"/>
                <w:sz w:val="18"/>
                <w:szCs w:val="18"/>
                <w:color w:val="auto"/>
              </w:rPr>
              <w:t>Unrealized loss on available-for-sale securities, net of tax</w:t>
            </w:r>
          </w:p>
        </w:tc>
        <w:tc>
          <w:tcPr>
            <w:tcW w:w="100" w:type="dxa"/>
            <w:vAlign w:val="bottom"/>
          </w:tcPr>
          <w:p>
            <w:pPr>
              <w:spacing w:after="0"/>
              <w:rPr>
                <w:sz w:val="19"/>
                <w:szCs w:val="19"/>
                <w:color w:val="auto"/>
              </w:rPr>
            </w:pPr>
          </w:p>
        </w:tc>
        <w:tc>
          <w:tcPr>
            <w:tcW w:w="13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(28)</w:t>
            </w:r>
          </w:p>
        </w:tc>
      </w:tr>
      <w:tr>
        <w:trPr>
          <w:trHeight w:val="230"/>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foreign currency translation adjustment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w:t>
            </w:r>
          </w:p>
        </w:tc>
      </w:tr>
      <w:tr>
        <w:trPr>
          <w:trHeight w:val="210"/>
        </w:trPr>
        <w:tc>
          <w:tcPr>
            <w:tcW w:w="8440" w:type="dxa"/>
            <w:vAlign w:val="bottom"/>
          </w:tcPr>
          <w:p>
            <w:pPr>
              <w:spacing w:after="0"/>
              <w:rPr>
                <w:sz w:val="20"/>
                <w:szCs w:val="20"/>
                <w:color w:val="auto"/>
              </w:rPr>
            </w:pPr>
            <w:r>
              <w:rPr>
                <w:rFonts w:ascii="Arial" w:cs="Arial" w:eastAsia="Arial" w:hAnsi="Arial"/>
                <w:sz w:val="18"/>
                <w:szCs w:val="18"/>
                <w:color w:val="auto"/>
              </w:rPr>
              <w:t>Comprehensive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200" w:type="dxa"/>
            <w:vAlign w:val="bottom"/>
          </w:tcPr>
          <w:p>
            <w:pPr>
              <w:jc w:val="right"/>
              <w:ind w:right="121"/>
              <w:spacing w:after="0"/>
              <w:rPr>
                <w:sz w:val="20"/>
                <w:szCs w:val="20"/>
                <w:color w:val="auto"/>
              </w:rPr>
            </w:pPr>
            <w:r>
              <w:rPr>
                <w:rFonts w:ascii="Arial" w:cs="Arial" w:eastAsia="Arial" w:hAnsi="Arial"/>
                <w:sz w:val="8"/>
                <w:szCs w:val="8"/>
                <w:color w:val="auto"/>
                <w:w w:val="73"/>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r>
      <w:tr>
        <w:trPr>
          <w:trHeight w:val="20"/>
        </w:trPr>
        <w:tc>
          <w:tcPr>
            <w:tcW w:w="8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09"/>
        </w:trPr>
        <w:tc>
          <w:tcPr>
            <w:tcW w:w="80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r>
      <w:tr>
        <w:trPr>
          <w:trHeight w:val="223"/>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29"/>
        </w:trPr>
        <w:tc>
          <w:tcPr>
            <w:tcW w:w="804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(832)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(1,967)</w:t>
            </w:r>
          </w:p>
        </w:tc>
      </w:tr>
      <w:tr>
        <w:trPr>
          <w:trHeight w:val="230"/>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29"/>
        </w:trPr>
        <w:tc>
          <w:tcPr>
            <w:tcW w:w="8040" w:type="dxa"/>
            <w:vAlign w:val="bottom"/>
          </w:tcPr>
          <w:p>
            <w:pPr>
              <w:ind w:left="180"/>
              <w:spacing w:after="0"/>
              <w:rPr>
                <w:sz w:val="20"/>
                <w:szCs w:val="20"/>
                <w:color w:val="auto"/>
              </w:rPr>
            </w:pPr>
            <w:r>
              <w:rPr>
                <w:rFonts w:ascii="Arial" w:cs="Arial" w:eastAsia="Arial" w:hAnsi="Arial"/>
                <w:sz w:val="18"/>
                <w:szCs w:val="18"/>
                <w:color w:val="auto"/>
              </w:rPr>
              <w:t>Depreciation and amortization expense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794</w:t>
            </w:r>
          </w:p>
        </w:tc>
        <w:tc>
          <w:tcPr>
            <w:tcW w:w="200" w:type="dxa"/>
            <w:vAlign w:val="bottom"/>
          </w:tcPr>
          <w:p>
            <w:pPr>
              <w:spacing w:after="0"/>
              <w:rPr>
                <w:sz w:val="19"/>
                <w:szCs w:val="19"/>
                <w:color w:val="auto"/>
              </w:rPr>
            </w:pPr>
          </w:p>
        </w:tc>
      </w:tr>
      <w:tr>
        <w:trPr>
          <w:trHeight w:val="230"/>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right-of-use assets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spacing w:after="0"/>
              <w:rPr>
                <w:sz w:val="19"/>
                <w:szCs w:val="19"/>
                <w:color w:val="auto"/>
              </w:rPr>
            </w:pPr>
          </w:p>
        </w:tc>
      </w:tr>
      <w:tr>
        <w:trPr>
          <w:trHeight w:val="229"/>
        </w:trPr>
        <w:tc>
          <w:tcPr>
            <w:tcW w:w="804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r>
      <w:tr>
        <w:trPr>
          <w:trHeight w:val="229"/>
        </w:trPr>
        <w:tc>
          <w:tcPr>
            <w:tcW w:w="8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Change of inventory to net realizable value</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8040" w:type="dxa"/>
            <w:vAlign w:val="bottom"/>
          </w:tcPr>
          <w:p>
            <w:pPr>
              <w:ind w:left="180"/>
              <w:spacing w:after="0"/>
              <w:rPr>
                <w:sz w:val="20"/>
                <w:szCs w:val="20"/>
                <w:color w:val="auto"/>
              </w:rPr>
            </w:pPr>
            <w:r>
              <w:rPr>
                <w:rFonts w:ascii="Arial" w:cs="Arial" w:eastAsia="Arial" w:hAnsi="Arial"/>
                <w:sz w:val="18"/>
                <w:szCs w:val="18"/>
                <w:color w:val="auto"/>
              </w:rPr>
              <w:t>Gain from disposal of assets</w:t>
            </w:r>
          </w:p>
        </w:tc>
        <w:tc>
          <w:tcPr>
            <w:tcW w:w="20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29"/>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30"/>
        </w:trPr>
        <w:tc>
          <w:tcPr>
            <w:tcW w:w="8040" w:type="dxa"/>
            <w:vAlign w:val="bottom"/>
          </w:tcPr>
          <w:p>
            <w:pPr>
              <w:ind w:left="180"/>
              <w:spacing w:after="0"/>
              <w:rPr>
                <w:sz w:val="20"/>
                <w:szCs w:val="20"/>
                <w:color w:val="auto"/>
              </w:rPr>
            </w:pPr>
            <w:r>
              <w:rPr>
                <w:rFonts w:ascii="Arial" w:cs="Arial" w:eastAsia="Arial" w:hAnsi="Arial"/>
                <w:sz w:val="18"/>
                <w:szCs w:val="18"/>
                <w:color w:val="auto"/>
              </w:rPr>
              <w:t>Receivables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r>
      <w:tr>
        <w:trPr>
          <w:trHeight w:val="216"/>
        </w:trPr>
        <w:tc>
          <w:tcPr>
            <w:tcW w:w="8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Legal settlement receivable</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55,000</w:t>
            </w: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r>
      <w:tr>
        <w:trPr>
          <w:trHeight w:val="229"/>
        </w:trPr>
        <w:tc>
          <w:tcPr>
            <w:tcW w:w="80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365</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525</w:t>
            </w:r>
          </w:p>
        </w:tc>
        <w:tc>
          <w:tcPr>
            <w:tcW w:w="200" w:type="dxa"/>
            <w:vAlign w:val="bottom"/>
          </w:tcPr>
          <w:p>
            <w:pPr>
              <w:spacing w:after="0"/>
              <w:rPr>
                <w:sz w:val="19"/>
                <w:szCs w:val="19"/>
                <w:color w:val="auto"/>
              </w:rPr>
            </w:pPr>
          </w:p>
        </w:tc>
      </w:tr>
      <w:tr>
        <w:trPr>
          <w:trHeight w:val="230"/>
        </w:trPr>
        <w:tc>
          <w:tcPr>
            <w:tcW w:w="8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4,176</w:t>
            </w: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200" w:type="dxa"/>
            <w:vAlign w:val="bottom"/>
            <w:shd w:val="clear" w:color="auto" w:fill="CFF0FC"/>
          </w:tcPr>
          <w:p>
            <w:pPr>
              <w:spacing w:after="0"/>
              <w:rPr>
                <w:sz w:val="19"/>
                <w:szCs w:val="19"/>
                <w:color w:val="auto"/>
              </w:rPr>
            </w:pPr>
          </w:p>
        </w:tc>
      </w:tr>
      <w:tr>
        <w:trPr>
          <w:trHeight w:val="229"/>
        </w:trPr>
        <w:tc>
          <w:tcPr>
            <w:tcW w:w="80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536</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(1,263)</w:t>
            </w:r>
          </w:p>
        </w:tc>
      </w:tr>
      <w:tr>
        <w:trPr>
          <w:trHeight w:val="229"/>
        </w:trPr>
        <w:tc>
          <w:tcPr>
            <w:tcW w:w="8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(551)</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200" w:type="dxa"/>
            <w:vAlign w:val="bottom"/>
            <w:shd w:val="clear" w:color="auto" w:fill="CFF0FC"/>
          </w:tcPr>
          <w:p>
            <w:pPr>
              <w:spacing w:after="0"/>
              <w:rPr>
                <w:sz w:val="19"/>
                <w:szCs w:val="19"/>
                <w:color w:val="auto"/>
              </w:rPr>
            </w:pPr>
          </w:p>
        </w:tc>
      </w:tr>
      <w:tr>
        <w:trPr>
          <w:trHeight w:val="230"/>
        </w:trPr>
        <w:tc>
          <w:tcPr>
            <w:tcW w:w="8040" w:type="dxa"/>
            <w:vAlign w:val="bottom"/>
          </w:tcPr>
          <w:p>
            <w:pPr>
              <w:ind w:left="180"/>
              <w:spacing w:after="0"/>
              <w:rPr>
                <w:sz w:val="20"/>
                <w:szCs w:val="20"/>
                <w:color w:val="auto"/>
              </w:rPr>
            </w:pPr>
            <w:r>
              <w:rPr>
                <w:rFonts w:ascii="Arial" w:cs="Arial" w:eastAsia="Arial" w:hAnsi="Arial"/>
                <w:sz w:val="18"/>
                <w:szCs w:val="18"/>
                <w:color w:val="auto"/>
              </w:rPr>
              <w:t>Income taxes receivable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1,293</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r>
      <w:tr>
        <w:trPr>
          <w:trHeight w:val="229"/>
        </w:trPr>
        <w:tc>
          <w:tcPr>
            <w:tcW w:w="8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Deferred product revenue</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w:t>
            </w:r>
          </w:p>
        </w:tc>
      </w:tr>
      <w:tr>
        <w:trPr>
          <w:trHeight w:val="216"/>
        </w:trPr>
        <w:tc>
          <w:tcPr>
            <w:tcW w:w="804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r>
      <w:tr>
        <w:trPr>
          <w:trHeight w:val="20"/>
        </w:trPr>
        <w:tc>
          <w:tcPr>
            <w:tcW w:w="8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60,321</w:t>
            </w: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(1,043)</w:t>
            </w:r>
          </w:p>
        </w:tc>
      </w:tr>
      <w:tr>
        <w:trPr>
          <w:trHeight w:val="209"/>
        </w:trPr>
        <w:tc>
          <w:tcPr>
            <w:tcW w:w="80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0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r>
      <w:tr>
        <w:trPr>
          <w:trHeight w:val="230"/>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30"/>
        </w:trPr>
        <w:tc>
          <w:tcPr>
            <w:tcW w:w="804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20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r>
      <w:tr>
        <w:trPr>
          <w:trHeight w:val="243"/>
        </w:trPr>
        <w:tc>
          <w:tcPr>
            <w:tcW w:w="8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Purchase of intangibles</w:t>
            </w:r>
          </w:p>
        </w:tc>
        <w:tc>
          <w:tcPr>
            <w:tcW w:w="20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(70)</w:t>
            </w:r>
          </w:p>
        </w:tc>
      </w:tr>
      <w:tr>
        <w:trPr>
          <w:trHeight w:val="230"/>
        </w:trPr>
        <w:tc>
          <w:tcPr>
            <w:tcW w:w="8040" w:type="dxa"/>
            <w:vAlign w:val="bottom"/>
          </w:tcPr>
          <w:p>
            <w:pPr>
              <w:ind w:left="180"/>
              <w:spacing w:after="0"/>
              <w:rPr>
                <w:sz w:val="20"/>
                <w:szCs w:val="20"/>
                <w:color w:val="auto"/>
              </w:rPr>
            </w:pPr>
            <w:r>
              <w:rPr>
                <w:rFonts w:ascii="Arial" w:cs="Arial" w:eastAsia="Arial" w:hAnsi="Arial"/>
                <w:sz w:val="18"/>
                <w:szCs w:val="18"/>
                <w:color w:val="auto"/>
              </w:rPr>
              <w:t>Capitalized patent defense costs</w:t>
            </w:r>
          </w:p>
        </w:tc>
        <w:tc>
          <w:tcPr>
            <w:tcW w:w="200" w:type="dxa"/>
            <w:vAlign w:val="bottom"/>
          </w:tcPr>
          <w:p>
            <w:pPr>
              <w:spacing w:after="0"/>
              <w:rPr>
                <w:sz w:val="19"/>
                <w:szCs w:val="19"/>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(189)</w:t>
            </w:r>
          </w:p>
        </w:tc>
      </w:tr>
      <w:tr>
        <w:trPr>
          <w:trHeight w:val="230"/>
        </w:trPr>
        <w:tc>
          <w:tcPr>
            <w:tcW w:w="8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Proceeds from maturities and sales of marketable securities</w:t>
            </w: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2,042</w:t>
            </w:r>
          </w:p>
        </w:tc>
        <w:tc>
          <w:tcPr>
            <w:tcW w:w="200" w:type="dxa"/>
            <w:vAlign w:val="bottom"/>
            <w:shd w:val="clear" w:color="auto" w:fill="CFF0FC"/>
          </w:tcPr>
          <w:p>
            <w:pPr>
              <w:spacing w:after="0"/>
              <w:rPr>
                <w:sz w:val="19"/>
                <w:szCs w:val="19"/>
                <w:color w:val="auto"/>
              </w:rPr>
            </w:pPr>
          </w:p>
        </w:tc>
      </w:tr>
      <w:tr>
        <w:trPr>
          <w:trHeight w:val="210"/>
        </w:trPr>
        <w:tc>
          <w:tcPr>
            <w:tcW w:w="8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40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1,775</w:t>
            </w:r>
          </w:p>
        </w:tc>
        <w:tc>
          <w:tcPr>
            <w:tcW w:w="200" w:type="dxa"/>
            <w:vAlign w:val="bottom"/>
            <w:tcBorders>
              <w:bottom w:val="single" w:sz="8" w:color="CFF0FC"/>
            </w:tcBorders>
          </w:tcPr>
          <w:p>
            <w:pPr>
              <w:spacing w:after="0"/>
              <w:rPr>
                <w:sz w:val="18"/>
                <w:szCs w:val="18"/>
                <w:color w:val="auto"/>
              </w:rPr>
            </w:pPr>
          </w:p>
        </w:tc>
      </w:tr>
      <w:tr>
        <w:trPr>
          <w:trHeight w:val="210"/>
        </w:trPr>
        <w:tc>
          <w:tcPr>
            <w:tcW w:w="8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Net proceeds from equity-based compensation programs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Principal payments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left="300"/>
        <w:spacing w:after="0"/>
        <w:tabs>
          <w:tab w:leader="none" w:pos="2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w:t>
      </w:r>
    </w:p>
    <w:p>
      <w:pPr>
        <w:spacing w:after="0" w:line="23"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(2,225)</w:t>
      </w:r>
      <w:r>
        <w:rPr>
          <w:sz w:val="20"/>
          <w:szCs w:val="20"/>
          <w:color w:val="auto"/>
        </w:rPr>
        <w:tab/>
      </w:r>
      <w:r>
        <w:rPr>
          <w:rFonts w:ascii="Arial" w:cs="Arial" w:eastAsia="Arial" w:hAnsi="Arial"/>
          <w:sz w:val="17"/>
          <w:szCs w:val="17"/>
          <w:color w:val="auto"/>
        </w:rPr>
        <w:t>(370)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14605</wp:posOffset>
            </wp:positionV>
            <wp:extent cx="19030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6" w:lineRule="exact"/>
        <w:rPr>
          <w:sz w:val="20"/>
          <w:szCs w:val="20"/>
          <w:color w:val="auto"/>
        </w:rPr>
      </w:pPr>
    </w:p>
    <w:p>
      <w:pPr>
        <w:spacing w:after="0"/>
        <w:tabs>
          <w:tab w:leader="none" w:pos="1820" w:val="left"/>
        </w:tabs>
        <w:rPr>
          <w:sz w:val="20"/>
          <w:szCs w:val="20"/>
          <w:color w:val="auto"/>
        </w:rPr>
      </w:pPr>
      <w:r>
        <w:rPr>
          <w:rFonts w:ascii="Arial" w:cs="Arial" w:eastAsia="Arial" w:hAnsi="Arial"/>
          <w:sz w:val="17"/>
          <w:szCs w:val="17"/>
          <w:color w:val="auto"/>
        </w:rPr>
        <w:t>(2,225)</w:t>
      </w:r>
      <w:r>
        <w:rPr>
          <w:sz w:val="20"/>
          <w:szCs w:val="20"/>
          <w:color w:val="auto"/>
        </w:rPr>
        <w:tab/>
      </w:r>
      <w:r>
        <w:rPr>
          <w:rFonts w:ascii="Arial" w:cs="Arial" w:eastAsia="Arial" w:hAnsi="Arial"/>
          <w:sz w:val="17"/>
          <w:szCs w:val="17"/>
          <w:color w:val="auto"/>
        </w:rPr>
        <w:t>(368)</w:t>
      </w:r>
    </w:p>
    <w:p>
      <w:pPr>
        <w:spacing w:after="0" w:line="224" w:lineRule="exact"/>
        <w:rPr>
          <w:sz w:val="20"/>
          <w:szCs w:val="20"/>
          <w:color w:val="auto"/>
        </w:rPr>
      </w:pPr>
    </w:p>
    <w:p>
      <w:pPr>
        <w:sectPr>
          <w:pgSz w:w="11900" w:h="16838" w:orient="portrait"/>
          <w:cols w:equalWidth="0" w:num="2">
            <w:col w:w="8140" w:space="720"/>
            <w:col w:w="2380"/>
          </w:cols>
          <w:pgMar w:left="320" w:top="125" w:right="339" w:bottom="144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Effect of exchange rate changes on cash and cash equivalents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Net increase in cash and cash equivalents</w:t>
      </w:r>
    </w:p>
    <w:p>
      <w:pPr>
        <w:spacing w:after="0" w:line="23" w:lineRule="exact"/>
        <w:rPr>
          <w:sz w:val="20"/>
          <w:szCs w:val="20"/>
          <w:color w:val="auto"/>
        </w:rPr>
      </w:pPr>
    </w:p>
    <w:p>
      <w:pPr>
        <w:ind w:right="340"/>
        <w:spacing w:after="0" w:line="393" w:lineRule="auto"/>
        <w:rPr>
          <w:sz w:val="20"/>
          <w:szCs w:val="20"/>
          <w:color w:val="auto"/>
        </w:rPr>
      </w:pPr>
      <w:r>
        <w:rPr>
          <w:rFonts w:ascii="Arial" w:cs="Arial" w:eastAsia="Arial" w:hAnsi="Arial"/>
          <w:sz w:val="16"/>
          <w:szCs w:val="16"/>
          <w:color w:val="auto"/>
        </w:rPr>
        <w:t>Cash and cash equivalents at the beginning of the period Cash and cash equivalents at the end of the period</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1" w:lineRule="exact"/>
        <w:rPr>
          <w:sz w:val="1"/>
          <w:szCs w:val="1"/>
          <w:color w:val="auto"/>
        </w:rPr>
      </w:pPr>
    </w:p>
    <w:tbl>
      <w:tblPr>
        <w:tblLayout w:type="fixed"/>
        <w:tblInd w:w="330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445"/>
        </w:trPr>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58,031</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351</w:t>
            </w:r>
          </w:p>
        </w:tc>
        <w:tc>
          <w:tcPr>
            <w:tcW w:w="60" w:type="dxa"/>
            <w:vAlign w:val="bottom"/>
          </w:tcPr>
          <w:p>
            <w:pPr>
              <w:spacing w:after="0"/>
              <w:rPr>
                <w:sz w:val="24"/>
                <w:szCs w:val="24"/>
                <w:color w:val="auto"/>
              </w:rPr>
            </w:pPr>
          </w:p>
        </w:tc>
      </w:tr>
      <w:tr>
        <w:trPr>
          <w:trHeight w:val="230"/>
        </w:trPr>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w:t>
            </w:r>
          </w:p>
        </w:tc>
        <w:tc>
          <w:tcPr>
            <w:tcW w:w="4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60" w:type="dxa"/>
            <w:vAlign w:val="bottom"/>
          </w:tcPr>
          <w:p>
            <w:pPr>
              <w:spacing w:after="0"/>
              <w:rPr>
                <w:sz w:val="20"/>
                <w:szCs w:val="20"/>
                <w:color w:val="auto"/>
              </w:rPr>
            </w:pPr>
          </w:p>
        </w:tc>
      </w:tr>
      <w:tr>
        <w:trPr>
          <w:trHeight w:val="223"/>
        </w:trPr>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59,017</w:t>
            </w:r>
          </w:p>
        </w:tc>
        <w:tc>
          <w:tcPr>
            <w:tcW w:w="4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60" w:type="dxa"/>
            <w:vAlign w:val="bottom"/>
          </w:tcPr>
          <w:p>
            <w:pPr>
              <w:spacing w:after="0"/>
              <w:rPr>
                <w:sz w:val="19"/>
                <w:szCs w:val="19"/>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-462280</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-170815</wp:posOffset>
            </wp:positionV>
            <wp:extent cx="71323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2" w:lineRule="exact"/>
        <w:rPr>
          <w:sz w:val="20"/>
          <w:szCs w:val="20"/>
          <w:color w:val="auto"/>
        </w:rPr>
      </w:pPr>
    </w:p>
    <w:p>
      <w:pPr>
        <w:jc w:val="center"/>
        <w:ind w:right="4740"/>
        <w:spacing w:after="0"/>
        <w:rPr>
          <w:sz w:val="20"/>
          <w:szCs w:val="20"/>
          <w:color w:val="auto"/>
        </w:rPr>
      </w:pPr>
      <w:r>
        <w:rPr>
          <w:rFonts w:ascii="Arial" w:cs="Arial" w:eastAsia="Arial" w:hAnsi="Arial"/>
          <w:sz w:val="15"/>
          <w:szCs w:val="15"/>
          <w:i w:val="1"/>
          <w:iCs w:val="1"/>
          <w:color w:val="auto"/>
        </w:rPr>
        <w:t>See accompanying notes</w:t>
      </w:r>
    </w:p>
    <w:p>
      <w:pPr>
        <w:spacing w:after="0" w:line="28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420" w:space="320"/>
            <w:col w:w="6500"/>
          </w:cols>
          <w:pgMar w:left="320" w:top="125"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supplemental cash flow activities: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20" w:type="dxa"/>
            <w:vAlign w:val="bottom"/>
          </w:tcPr>
          <w:p>
            <w:pPr>
              <w:spacing w:after="0"/>
              <w:rPr>
                <w:sz w:val="20"/>
                <w:szCs w:val="20"/>
                <w:color w:val="auto"/>
              </w:rPr>
            </w:pPr>
          </w:p>
        </w:tc>
        <w:tc>
          <w:tcPr>
            <w:tcW w:w="2820" w:type="dxa"/>
            <w:vAlign w:val="bottom"/>
            <w:gridSpan w:val="6"/>
          </w:tcPr>
          <w:p>
            <w:pPr>
              <w:ind w:left="16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10"/>
        </w:trPr>
        <w:tc>
          <w:tcPr>
            <w:tcW w:w="84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23"/>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880" w:type="dxa"/>
            <w:vAlign w:val="bottom"/>
            <w:shd w:val="clear" w:color="auto" w:fill="CCEEFF"/>
          </w:tcPr>
          <w:p>
            <w:pPr>
              <w:jc w:val="right"/>
              <w:ind w:right="71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Cash paid for interest</w:t>
            </w:r>
          </w:p>
        </w:tc>
        <w:tc>
          <w:tcPr>
            <w:tcW w:w="8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UNAUIDTED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ClearOne, Inc., together with its subsidiaries (collectively, “ClearOne” or the “Company”), is a global market leader enabling conferencing, collaboration, and AV streaming solutions for voice and visual communications. The performance and simplicity of our advanced, comprehensive solutions offer unprecedented levels of functionality, reliability and scalability.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fiscal year for ClearOne is the twelve months ending on December 31. The condensed consolidated financial statements include the accounts of ClearOne and its subsidiaries. All significant inter-company accounts and transactions have been eliminated.</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These accompanying interim unaudited condensed consolidated financial statements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condensed consolidated financial statements contain all adjustments, consisting of normal recurring accruals, necessary for a fair presentation of our financial position as of March 31, 2023 and December 31, 2022, the results of operations for the three months ended March 31, 2023 and 2022, and the cash flows for the three months ended March 31, 2023 and 2022. The results of operations for the three months ended March 31, 2023 and 2022 are not necessarily indicative of the results for a full-year period. These interim unaudited condensed consolidated financial statements should be read in conjunction with the financial statements included in our Annual Report on Form 10-K for the year ended December 31, 2022 filed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significant accounting policies were described in Note 1 to the audited consolidated financial statements included in the Company’s annual report on Form 10-K for the year ended December 31, 2022. There have been no changes to these policies during the quarter ended March 31, 2023 that are of significance or potential significance to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June 2016, the Financial Accounting Standards Board (FASB) issued Accounting Standards Update (ASU) 2016-13, Financial Instruments - Credit Losses (Topic 326). The new standard amends guidance on reporting credit losses for assets held at amortized cost basis and available-for-sale debt securities. In February 2020, the FASB issued ASU 2020-02, Financial Instruments-Credit Losses (Topic 326) and Leases (Topic 842) - Amendments to SEC Paragraphs Pursuant to SEC Staff Accounting Bulletin No. 119 and Update to SEC Section on Effective Date Related to Accounting Standards Update No. 2016-02, Leases (Topic 842), which amends the effective date of the original pronouncement for smaller reporting companies. ASU 2016-13 and its amendments will be effective for the Company for interim and annual periods in fiscal years beginning after December 15, 2022. CECL estimates of expected credit losses on trade receivables over their life will be required to be recorded at inception, based on historical information, current conditions, and reasonable and supportable forecasts. The Company adopted the standard in its first quarter of 2023. There was no material impact on the results of operations.</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determined that recently issued accounting standards, other than the above discussed, will not have a material impact on its consolidated financial position, results of operations or cash flows.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March 31, 2023, our cash and cash equivalents were approximately $59,006 compared to $984 as of December 31, 2022. Our working capital was $68,676 as of March 31, 2023. Net cash provided by operating activities was $60,321 for the three months ended March 31, 2023, an increase of $61,364 compared to $1,043 of cash used in operating activities for the three months ended March 31, 2022. The company announced a special one-time cash dividend of $1.00 per share or eligible warrant (please see Note 10 - Subsequent events) which will be paid on May 31, 2023 and is expected to generate cash outflows of approximately $28,978. The Company also paid approximately $6,600 towards income taxes in April 2023. The Company believes that the Company's core strategies of product innovation and prudent cost management will bring the company back to profitability in the future. The Company believes, although there can be no assurance, that the current cash position and all of these measures and effective management of working capital, will provide the liquidity needed to meet our operating needs through at least May 15, 2024. The Company also believes that its strong portfolio of intellectual property and its solid brand equity in the market will enable it to raise additional capital if and when needed to meet its short and long-term financing needs; however, there can be no assurance that, if needed, the Company will be successful in obtaining the necessary funds through equity or debt financing. If the Company needs additional capital and is unable to secure financing, it may be required to further reduce expenses, or delay product development and enhancement.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r>
              <w:rPr>
                <w:rFonts w:ascii="Arial" w:cs="Arial" w:eastAsia="Arial" w:hAnsi="Arial"/>
                <w:sz w:val="18"/>
                <w:szCs w:val="18"/>
                <w:b w:val="1"/>
                <w:bCs w:val="1"/>
                <w:color w:val="auto"/>
              </w:rPr>
              <w:t>2. Revenue Information</w:t>
            </w: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40" w:type="dxa"/>
            <w:vAlign w:val="bottom"/>
          </w:tcPr>
          <w:p>
            <w:pPr>
              <w:spacing w:after="0"/>
              <w:rPr>
                <w:sz w:val="20"/>
                <w:szCs w:val="20"/>
                <w:color w:val="auto"/>
              </w:rPr>
            </w:pPr>
            <w:r>
              <w:rPr>
                <w:rFonts w:ascii="Arial" w:cs="Arial" w:eastAsia="Arial" w:hAnsi="Arial"/>
                <w:sz w:val="18"/>
                <w:szCs w:val="18"/>
                <w:color w:val="auto"/>
              </w:rPr>
              <w:t>The following table disaggregates the Company’s revenue into primary product groups:</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40" w:type="dxa"/>
            <w:vAlign w:val="bottom"/>
          </w:tcPr>
          <w:p>
            <w:pPr>
              <w:spacing w:after="0"/>
              <w:rPr>
                <w:sz w:val="24"/>
                <w:szCs w:val="24"/>
                <w:color w:val="auto"/>
              </w:rPr>
            </w:pPr>
          </w:p>
        </w:tc>
        <w:tc>
          <w:tcPr>
            <w:tcW w:w="2800" w:type="dxa"/>
            <w:vAlign w:val="bottom"/>
            <w:gridSpan w:val="6"/>
          </w:tcPr>
          <w:p>
            <w:pPr>
              <w:ind w:left="140"/>
              <w:spacing w:after="0"/>
              <w:rPr>
                <w:sz w:val="20"/>
                <w:szCs w:val="20"/>
                <w:color w:val="auto"/>
              </w:rPr>
            </w:pPr>
            <w:r>
              <w:rPr>
                <w:rFonts w:ascii="Arial" w:cs="Arial" w:eastAsia="Arial" w:hAnsi="Arial"/>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09"/>
        </w:trPr>
        <w:tc>
          <w:tcPr>
            <w:tcW w:w="84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Audio conferencing</w:t>
            </w:r>
          </w:p>
        </w:tc>
        <w:tc>
          <w:tcPr>
            <w:tcW w:w="800" w:type="dxa"/>
            <w:vAlign w:val="bottom"/>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2,329</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Microphones</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1,195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Video products</w:t>
            </w: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tcPr>
          <w:p>
            <w:pPr>
              <w:spacing w:after="0"/>
              <w:rPr>
                <w:sz w:val="19"/>
                <w:szCs w:val="19"/>
                <w:color w:val="auto"/>
              </w:rPr>
            </w:pPr>
          </w:p>
        </w:tc>
        <w:tc>
          <w:tcPr>
            <w:tcW w:w="800" w:type="dxa"/>
            <w:vAlign w:val="bottom"/>
          </w:tcPr>
          <w:p>
            <w:pPr>
              <w:jc w:val="right"/>
              <w:ind w:right="638"/>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4,178</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color w:val="auto"/>
              </w:rPr>
              <w:t>The following table disaggregates the Company’s revenue into major regions: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40" w:type="dxa"/>
            <w:vAlign w:val="bottom"/>
          </w:tcPr>
          <w:p>
            <w:pPr>
              <w:spacing w:after="0"/>
              <w:rPr>
                <w:sz w:val="24"/>
                <w:szCs w:val="24"/>
                <w:color w:val="auto"/>
              </w:rPr>
            </w:pPr>
          </w:p>
        </w:tc>
        <w:tc>
          <w:tcPr>
            <w:tcW w:w="2800" w:type="dxa"/>
            <w:vAlign w:val="bottom"/>
            <w:gridSpan w:val="6"/>
          </w:tcPr>
          <w:p>
            <w:pPr>
              <w:ind w:left="140"/>
              <w:spacing w:after="0"/>
              <w:rPr>
                <w:sz w:val="20"/>
                <w:szCs w:val="20"/>
                <w:color w:val="auto"/>
              </w:rPr>
            </w:pPr>
            <w:r>
              <w:rPr>
                <w:rFonts w:ascii="Arial" w:cs="Arial" w:eastAsia="Arial" w:hAnsi="Arial"/>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09"/>
        </w:trPr>
        <w:tc>
          <w:tcPr>
            <w:tcW w:w="84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North and South America</w:t>
            </w:r>
          </w:p>
        </w:tc>
        <w:tc>
          <w:tcPr>
            <w:tcW w:w="800" w:type="dxa"/>
            <w:vAlign w:val="bottom"/>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1,570</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Asia Pacific (includes Middle East, India and Australia)</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1,696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Europe and Africa</w:t>
            </w: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tcPr>
          <w:p>
            <w:pPr>
              <w:spacing w:after="0"/>
              <w:rPr>
                <w:sz w:val="19"/>
                <w:szCs w:val="19"/>
                <w:color w:val="auto"/>
              </w:rPr>
            </w:pPr>
          </w:p>
        </w:tc>
        <w:tc>
          <w:tcPr>
            <w:tcW w:w="800" w:type="dxa"/>
            <w:vAlign w:val="bottom"/>
          </w:tcPr>
          <w:p>
            <w:pPr>
              <w:jc w:val="right"/>
              <w:ind w:right="638"/>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4,178</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ind w:left="5580"/>
              <w:spacing w:after="0"/>
              <w:rPr>
                <w:sz w:val="20"/>
                <w:szCs w:val="20"/>
                <w:color w:val="auto"/>
              </w:rPr>
            </w:pPr>
            <w:r>
              <w:rPr>
                <w:rFonts w:ascii="Arial" w:cs="Arial" w:eastAsia="Arial" w:hAnsi="Arial"/>
                <w:sz w:val="18"/>
                <w:szCs w:val="18"/>
                <w:color w:val="auto"/>
              </w:rPr>
              <w:t>8</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4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84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Loss Per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Loss per common share is computed based on the weighted-average number of common shares outstanding and, when appropriate, dilutive potential common stock outstanding during the period. Stock options, warrants and the convertible portion of senior convertible notes are considered to be potential common stock. The computation of diluted earnings (loss) per share does not assume exercise or conversion of securities that would have an anti-dilutive effect.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(loss) per common share is the amount of net earnings (loss) for the period available to each weighted-average share of common stock outstanding during the reporting period. Diluted earnings (loss) per common share is the amount of earnings (loss) for the period available to each weighted-average share of common stock outstanding during the reporting period and to each share of potential common stock outstanding during the period, unless inclusion of potential common stock would have an anti-dilutive effect.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The following table sets forth the computation of basic and diluted earnings (loss) per common share:</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1"/>
              </w:rPr>
              <w:t>Three months ended March 31,</w:t>
            </w:r>
          </w:p>
        </w:tc>
      </w:tr>
      <w:tr>
        <w:trPr>
          <w:trHeight w:val="223"/>
        </w:trPr>
        <w:tc>
          <w:tcPr>
            <w:tcW w:w="84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44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(832)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(1,967)</w:t>
            </w: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440" w:type="dxa"/>
            <w:vAlign w:val="bottom"/>
          </w:tcPr>
          <w:p>
            <w:pPr>
              <w:ind w:left="420"/>
              <w:spacing w:after="0"/>
              <w:rPr>
                <w:sz w:val="20"/>
                <w:szCs w:val="20"/>
                <w:color w:val="auto"/>
              </w:rPr>
            </w:pPr>
            <w:r>
              <w:rPr>
                <w:rFonts w:ascii="Arial" w:cs="Arial" w:eastAsia="Arial" w:hAnsi="Arial"/>
                <w:sz w:val="18"/>
                <w:szCs w:val="18"/>
                <w:color w:val="auto"/>
              </w:rPr>
              <w:t>Basic weighted average shares outstanding</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23,955,767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23,897,305</w:t>
            </w:r>
          </w:p>
        </w:tc>
        <w:tc>
          <w:tcPr>
            <w:tcW w:w="100" w:type="dxa"/>
            <w:vAlign w:val="bottom"/>
          </w:tcPr>
          <w:p>
            <w:pPr>
              <w:spacing w:after="0"/>
              <w:rPr>
                <w:sz w:val="19"/>
                <w:szCs w:val="19"/>
                <w:color w:val="auto"/>
              </w:rPr>
            </w:pPr>
          </w:p>
        </w:tc>
      </w:tr>
      <w:tr>
        <w:trPr>
          <w:trHeight w:val="243"/>
        </w:trPr>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Dilutive common stock equivalents using treasury stock method</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Diluted weighted average shares outstanding</w:t>
            </w:r>
          </w:p>
        </w:tc>
        <w:tc>
          <w:tcPr>
            <w:tcW w:w="1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23,955,767</w:t>
            </w:r>
          </w:p>
        </w:tc>
        <w:tc>
          <w:tcPr>
            <w:tcW w:w="2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23,897,305</w:t>
            </w:r>
          </w:p>
        </w:tc>
        <w:tc>
          <w:tcPr>
            <w:tcW w:w="100" w:type="dxa"/>
            <w:vAlign w:val="bottom"/>
            <w:tcBorders>
              <w:bottom w:val="single" w:sz="8" w:color="CCEEFF"/>
            </w:tcBorders>
          </w:tcPr>
          <w:p>
            <w:pPr>
              <w:spacing w:after="0"/>
              <w:rPr>
                <w:sz w:val="21"/>
                <w:szCs w:val="21"/>
                <w:color w:val="auto"/>
              </w:rPr>
            </w:pPr>
          </w:p>
        </w:tc>
      </w:tr>
      <w:tr>
        <w:trPr>
          <w:trHeight w:val="197"/>
        </w:trPr>
        <w:tc>
          <w:tcPr>
            <w:tcW w:w="8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Basic loss per common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(0.03)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(0.08)</w:t>
            </w:r>
          </w:p>
        </w:tc>
      </w:tr>
      <w:tr>
        <w:trPr>
          <w:trHeight w:val="230"/>
        </w:trPr>
        <w:tc>
          <w:tcPr>
            <w:tcW w:w="8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options, warrants and convertible portion of senior convertible notes outstanding</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6,368,420</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7,062,673</w:t>
            </w:r>
          </w:p>
        </w:tc>
        <w:tc>
          <w:tcPr>
            <w:tcW w:w="100" w:type="dxa"/>
            <w:vAlign w:val="bottom"/>
            <w:shd w:val="clear" w:color="auto" w:fill="CCEEFF"/>
          </w:tcPr>
          <w:p>
            <w:pPr>
              <w:spacing w:after="0"/>
              <w:rPr>
                <w:sz w:val="19"/>
                <w:szCs w:val="19"/>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w w:val="94"/>
              </w:rPr>
              <w:t>Anti-dilutive options, warrants and convertible portion of senior convertible notes not included in the computation</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6,368,420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7,062,673</w:t>
            </w:r>
          </w:p>
        </w:tc>
        <w:tc>
          <w:tcPr>
            <w:tcW w:w="100" w:type="dxa"/>
            <w:vAlign w:val="bottom"/>
          </w:tcPr>
          <w:p>
            <w:pPr>
              <w:spacing w:after="0"/>
              <w:rPr>
                <w:sz w:val="20"/>
                <w:szCs w:val="20"/>
                <w:color w:val="auto"/>
              </w:rPr>
            </w:pPr>
          </w:p>
        </w:tc>
      </w:tr>
      <w:tr>
        <w:trPr>
          <w:trHeight w:val="445"/>
        </w:trPr>
        <w:tc>
          <w:tcPr>
            <w:tcW w:w="8440" w:type="dxa"/>
            <w:vAlign w:val="bottom"/>
          </w:tcPr>
          <w:p>
            <w:pPr>
              <w:ind w:left="55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4. Intangible Assets</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740" w:type="dxa"/>
            <w:vAlign w:val="bottom"/>
          </w:tcPr>
          <w:p>
            <w:pPr>
              <w:spacing w:after="0"/>
              <w:rPr>
                <w:sz w:val="20"/>
                <w:szCs w:val="20"/>
                <w:color w:val="auto"/>
              </w:rPr>
            </w:pPr>
            <w:r>
              <w:rPr>
                <w:rFonts w:ascii="Arial" w:cs="Arial" w:eastAsia="Arial" w:hAnsi="Arial"/>
                <w:sz w:val="18"/>
                <w:szCs w:val="18"/>
                <w:color w:val="auto"/>
                <w:w w:val="93"/>
              </w:rPr>
              <w:t>Intangible assets as of March 31, 2023 and December 31, 2022 consisted of the following:</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74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Estimated useful</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740" w:type="dxa"/>
            <w:vAlign w:val="bottom"/>
          </w:tcPr>
          <w:p>
            <w:pPr>
              <w:spacing w:after="0"/>
              <w:rPr>
                <w:sz w:val="20"/>
                <w:szCs w:val="20"/>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lives (years)</w:t>
            </w:r>
          </w:p>
        </w:tc>
        <w:tc>
          <w:tcPr>
            <w:tcW w:w="240" w:type="dxa"/>
            <w:vAlign w:val="bottom"/>
          </w:tcPr>
          <w:p>
            <w:pPr>
              <w:spacing w:after="0"/>
              <w:rPr>
                <w:sz w:val="20"/>
                <w:szCs w:val="20"/>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3"/>
              </w:rPr>
              <w:t>March 31, 2023</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2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Tradename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Patents and technological know-how</w:t>
            </w: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600" w:type="dxa"/>
            <w:vAlign w:val="bottom"/>
          </w:tcPr>
          <w:p>
            <w:pPr>
              <w:ind w:left="4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7,094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7,053</w:t>
            </w:r>
          </w:p>
        </w:tc>
        <w:tc>
          <w:tcPr>
            <w:tcW w:w="100" w:type="dxa"/>
            <w:vAlign w:val="bottom"/>
          </w:tcPr>
          <w:p>
            <w:pPr>
              <w:spacing w:after="0"/>
              <w:rPr>
                <w:sz w:val="19"/>
                <w:szCs w:val="19"/>
                <w:color w:val="auto"/>
              </w:rPr>
            </w:pPr>
          </w:p>
        </w:tc>
      </w:tr>
      <w:tr>
        <w:trPr>
          <w:trHeight w:val="22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Proprietary software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100" w:type="dxa"/>
            <w:vAlign w:val="bottom"/>
            <w:shd w:val="clear" w:color="auto" w:fill="CCEEFF"/>
          </w:tcPr>
          <w:p>
            <w:pPr>
              <w:spacing w:after="0"/>
              <w:rPr>
                <w:sz w:val="19"/>
                <w:szCs w:val="19"/>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Other</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600" w:type="dxa"/>
            <w:vAlign w:val="bottom"/>
          </w:tcPr>
          <w:p>
            <w:pPr>
              <w:ind w:left="4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r>
      <w:tr>
        <w:trPr>
          <w:trHeight w:val="22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intangible assets</w:t>
            </w: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10,912</w:t>
            </w:r>
          </w:p>
        </w:tc>
        <w:tc>
          <w:tcPr>
            <w:tcW w:w="100" w:type="dxa"/>
            <w:vAlign w:val="bottom"/>
            <w:shd w:val="clear" w:color="auto" w:fill="CCEEFF"/>
          </w:tcPr>
          <w:p>
            <w:pPr>
              <w:spacing w:after="0"/>
              <w:rPr>
                <w:sz w:val="19"/>
                <w:szCs w:val="19"/>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(8,958)</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(8,841)</w:t>
            </w:r>
          </w:p>
        </w:tc>
      </w:tr>
      <w:tr>
        <w:trPr>
          <w:trHeight w:val="20"/>
        </w:trPr>
        <w:tc>
          <w:tcPr>
            <w:tcW w:w="6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intangible assets, net</w:t>
            </w:r>
          </w:p>
        </w:tc>
        <w:tc>
          <w:tcPr>
            <w:tcW w:w="6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100" w:type="dxa"/>
            <w:vAlign w:val="bottom"/>
            <w:shd w:val="clear" w:color="auto" w:fill="CCEEFF"/>
          </w:tcPr>
          <w:p>
            <w:pPr>
              <w:spacing w:after="0"/>
              <w:rPr>
                <w:sz w:val="21"/>
                <w:szCs w:val="2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intangible assets for the three months ended March 31, 2023 and 2022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0" w:type="dxa"/>
            <w:vAlign w:val="bottom"/>
            <w:tcBorders>
              <w:bottom w:val="single" w:sz="8" w:color="auto"/>
            </w:tcBorders>
            <w:gridSpan w:val="8"/>
          </w:tcPr>
          <w:p>
            <w:pPr>
              <w:ind w:left="200"/>
              <w:spacing w:after="0"/>
              <w:rPr>
                <w:sz w:val="20"/>
                <w:szCs w:val="20"/>
                <w:color w:val="auto"/>
              </w:rPr>
            </w:pPr>
            <w:r>
              <w:rPr>
                <w:rFonts w:ascii="Arial" w:cs="Arial" w:eastAsia="Arial" w:hAnsi="Arial"/>
                <w:sz w:val="18"/>
                <w:szCs w:val="18"/>
                <w:b w:val="1"/>
                <w:bCs w:val="1"/>
                <w:color w:val="auto"/>
                <w:w w:val="97"/>
              </w:rPr>
              <w:t>Three months ended March 31,</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520" w:type="dxa"/>
            <w:vAlign w:val="bottom"/>
          </w:tcPr>
          <w:p>
            <w:pPr>
              <w:spacing w:after="0"/>
              <w:rPr>
                <w:sz w:val="20"/>
                <w:szCs w:val="20"/>
                <w:color w:val="auto"/>
              </w:rPr>
            </w:pPr>
            <w:r>
              <w:rPr>
                <w:rFonts w:ascii="Arial" w:cs="Arial" w:eastAsia="Arial" w:hAnsi="Arial"/>
                <w:sz w:val="18"/>
                <w:szCs w:val="18"/>
                <w:color w:val="auto"/>
                <w:w w:val="90"/>
              </w:rPr>
              <w:t>The estimated future amortization expense of intangible assets is as follows:</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52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Amount</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2023 (Remainder)</w:t>
            </w:r>
          </w:p>
        </w:tc>
        <w:tc>
          <w:tcPr>
            <w:tcW w:w="1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2024</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2026</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CCEEFF"/>
            </w:tcBorders>
            <w:gridSpan w:val="2"/>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860" w:type="dxa"/>
            <w:vAlign w:val="bottom"/>
            <w:vMerge w:val="restart"/>
          </w:tcPr>
          <w:p>
            <w:pPr>
              <w:jc w:val="right"/>
              <w:ind w:right="1570"/>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52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CONDENSED CONSOLIDATED FINANCIAL STATEMENTS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r>
              <w:rPr>
                <w:rFonts w:ascii="Arial" w:cs="Arial" w:eastAsia="Arial" w:hAnsi="Arial"/>
                <w:sz w:val="18"/>
                <w:szCs w:val="18"/>
                <w:b w:val="1"/>
                <w:bCs w:val="1"/>
                <w:color w:val="auto"/>
              </w:rPr>
              <w:t>5. Inventories</w:t>
            </w: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880" w:type="dxa"/>
            <w:vAlign w:val="bottom"/>
          </w:tcPr>
          <w:p>
            <w:pPr>
              <w:spacing w:after="0"/>
              <w:rPr>
                <w:sz w:val="20"/>
                <w:szCs w:val="20"/>
                <w:color w:val="auto"/>
              </w:rPr>
            </w:pPr>
            <w:r>
              <w:rPr>
                <w:rFonts w:ascii="Arial" w:cs="Arial" w:eastAsia="Arial" w:hAnsi="Arial"/>
                <w:sz w:val="18"/>
                <w:szCs w:val="18"/>
                <w:color w:val="auto"/>
                <w:w w:val="97"/>
              </w:rPr>
              <w:t>Inventories, net of reserves, as of March 31, 2023 and December 31, 2022 consisted of the following:</w:t>
            </w: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 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23"/>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60" w:type="dxa"/>
            <w:vAlign w:val="bottom"/>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880" w:type="dxa"/>
            <w:vAlign w:val="bottom"/>
          </w:tcPr>
          <w:p>
            <w:pPr>
              <w:ind w:left="180"/>
              <w:spacing w:after="0"/>
              <w:rPr>
                <w:sz w:val="20"/>
                <w:szCs w:val="20"/>
                <w:color w:val="auto"/>
              </w:rPr>
            </w:pPr>
            <w:r>
              <w:rPr>
                <w:rFonts w:ascii="Arial" w:cs="Arial" w:eastAsia="Arial" w:hAnsi="Arial"/>
                <w:sz w:val="18"/>
                <w:szCs w:val="18"/>
                <w:color w:val="auto"/>
              </w:rPr>
              <w:t>Raw materials</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4,552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4,499</w:t>
            </w:r>
          </w:p>
        </w:tc>
        <w:tc>
          <w:tcPr>
            <w:tcW w:w="100" w:type="dxa"/>
            <w:vAlign w:val="bottom"/>
          </w:tcPr>
          <w:p>
            <w:pPr>
              <w:spacing w:after="0"/>
              <w:rPr>
                <w:sz w:val="19"/>
                <w:szCs w:val="19"/>
                <w:color w:val="auto"/>
              </w:rPr>
            </w:pPr>
          </w:p>
        </w:tc>
      </w:tr>
      <w:tr>
        <w:trPr>
          <w:trHeight w:val="230"/>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100" w:type="dxa"/>
            <w:vAlign w:val="bottom"/>
            <w:shd w:val="clear" w:color="auto" w:fill="CCEEFF"/>
          </w:tcPr>
          <w:p>
            <w:pPr>
              <w:spacing w:after="0"/>
              <w:rPr>
                <w:sz w:val="19"/>
                <w:szCs w:val="19"/>
                <w:color w:val="auto"/>
              </w:rPr>
            </w:pPr>
          </w:p>
        </w:tc>
      </w:tr>
      <w:tr>
        <w:trPr>
          <w:trHeight w:val="20"/>
        </w:trPr>
        <w:tc>
          <w:tcPr>
            <w:tcW w:w="78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7880" w:type="dxa"/>
            <w:vAlign w:val="bottom"/>
          </w:tcPr>
          <w:p>
            <w:pPr>
              <w:spacing w:after="0"/>
              <w:rPr>
                <w:sz w:val="19"/>
                <w:szCs w:val="19"/>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8,395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8,961</w:t>
            </w:r>
          </w:p>
        </w:tc>
        <w:tc>
          <w:tcPr>
            <w:tcW w:w="100" w:type="dxa"/>
            <w:vAlign w:val="bottom"/>
          </w:tcPr>
          <w:p>
            <w:pPr>
              <w:spacing w:after="0"/>
              <w:rPr>
                <w:sz w:val="19"/>
                <w:szCs w:val="19"/>
                <w:color w:val="auto"/>
              </w:rPr>
            </w:pP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10"/>
        </w:trPr>
        <w:tc>
          <w:tcPr>
            <w:tcW w:w="7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Long-term:</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Raw materials</w:t>
            </w: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19"/>
                <w:szCs w:val="19"/>
                <w:color w:val="auto"/>
              </w:rPr>
            </w:pPr>
          </w:p>
        </w:tc>
      </w:tr>
      <w:tr>
        <w:trPr>
          <w:trHeight w:val="230"/>
        </w:trPr>
        <w:tc>
          <w:tcPr>
            <w:tcW w:w="7880" w:type="dxa"/>
            <w:vAlign w:val="bottom"/>
          </w:tcPr>
          <w:p>
            <w:pPr>
              <w:ind w:left="180"/>
              <w:spacing w:after="0"/>
              <w:rPr>
                <w:sz w:val="20"/>
                <w:szCs w:val="20"/>
                <w:color w:val="auto"/>
              </w:rPr>
            </w:pPr>
            <w:r>
              <w:rPr>
                <w:rFonts w:ascii="Arial" w:cs="Arial" w:eastAsia="Arial" w:hAnsi="Arial"/>
                <w:sz w:val="18"/>
                <w:szCs w:val="18"/>
                <w:color w:val="auto"/>
              </w:rPr>
              <w:t>Finished goods</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8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100" w:type="dxa"/>
            <w:vAlign w:val="bottom"/>
            <w:shd w:val="clear" w:color="auto" w:fill="CCEEFF"/>
          </w:tcPr>
          <w:p>
            <w:pPr>
              <w:spacing w:after="0"/>
              <w:rPr>
                <w:sz w:val="21"/>
                <w:szCs w:val="2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Long-term inventory represents inventory held in excess of our current (next 12 months) requirements based on our recent sales and forecasted level of sales. We expect to sell the above inventory, net of reserves, at or above the stated cost and believe that no loss will be incurred on its sale, although there can be no assurance of the timing or amount of any sales.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loss incurred on valuation of inventory at lower of cost or market value and write-off of obsolete inventory for three months ended March 31, 2023 and 2022 was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800" w:type="dxa"/>
            <w:vAlign w:val="bottom"/>
            <w:gridSpan w:val="6"/>
          </w:tcPr>
          <w:p>
            <w:pPr>
              <w:ind w:left="14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10"/>
        </w:trPr>
        <w:tc>
          <w:tcPr>
            <w:tcW w:w="84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8"/>
                <w:szCs w:val="18"/>
                <w:color w:val="auto"/>
              </w:rPr>
            </w:pP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w w:val="97"/>
              </w:rPr>
              <w:t>Net loss incurred on valuation of inventory at lower of cost or market value and write-off of obsolete inventory</w:t>
            </w:r>
          </w:p>
        </w:tc>
        <w:tc>
          <w:tcPr>
            <w:tcW w:w="920" w:type="dxa"/>
            <w:vAlign w:val="bottom"/>
            <w:shd w:val="clear" w:color="auto" w:fill="CCEEFF"/>
          </w:tcPr>
          <w:p>
            <w:pPr>
              <w:jc w:val="right"/>
              <w:ind w:right="75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Rent expense is recognized on a straight-line basis over the period of the lease taking into account future rent escalation and holiday periods.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Rent expense for three months ended March 31, 2023 and 2022 was as follows:</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5"/>
          </w:tcPr>
          <w:p>
            <w:pPr>
              <w:ind w:left="4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10"/>
        </w:trPr>
        <w:tc>
          <w:tcPr>
            <w:tcW w:w="8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Rent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r>
    </w:tbl>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occupies a 1,350 square-foot facility in Gainesville, Florida under the terms of an operating lease expiring in February 2028. The Gainesville facility is used primarily to support the Company's research and development activities.</w:t>
      </w:r>
    </w:p>
    <w:p>
      <w:pPr>
        <w:spacing w:after="0" w:line="17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Company occupies a 9,402 square-foot facility in Salt Lake City, Utah under the terms of an operating lease expiring in February 2028. The facility supports the Company's principal administrative, sales, marketing, customer support, and research and product development activities.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occupies a 6,175 square-foot facility in Chennai, India under the terms of an operating lease expiring in August 2023. This facility supports the Company's administrative, marketing, customer support, and research and product development activities.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occupies a 40,000 square-foot warehouse in Salt Lake City, Utah under the terms of an operating lease expiring in April 2025, which serves as the Company's primary inventory fulfillment center.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12"/>
          </w:tcPr>
          <w:p>
            <w:pPr>
              <w:jc w:val="right"/>
              <w:ind w:right="260"/>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420"/>
              <w:spacing w:after="0"/>
              <w:rPr>
                <w:sz w:val="20"/>
                <w:szCs w:val="20"/>
                <w:color w:val="auto"/>
              </w:rPr>
            </w:pPr>
            <w:r>
              <w:rPr>
                <w:rFonts w:ascii="Arial" w:cs="Arial" w:eastAsia="Arial" w:hAnsi="Arial"/>
                <w:sz w:val="18"/>
                <w:szCs w:val="18"/>
                <w:color w:val="auto"/>
              </w:rPr>
              <w:t>Operating cash flows from operating leases</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(151)</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420"/>
              <w:spacing w:after="0"/>
              <w:rPr>
                <w:sz w:val="20"/>
                <w:szCs w:val="20"/>
                <w:color w:val="auto"/>
              </w:rPr>
            </w:pPr>
            <w:r>
              <w:rPr>
                <w:rFonts w:ascii="Arial" w:cs="Arial" w:eastAsia="Arial" w:hAnsi="Arial"/>
                <w:sz w:val="18"/>
                <w:szCs w:val="18"/>
                <w:color w:val="auto"/>
              </w:rPr>
              <w:t>Operating leases</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758</w:t>
            </w:r>
          </w:p>
        </w:tc>
        <w:tc>
          <w:tcPr>
            <w:tcW w:w="60" w:type="dxa"/>
            <w:vAlign w:val="bottom"/>
          </w:tcPr>
          <w:p>
            <w:pPr>
              <w:spacing w:after="0"/>
              <w:rPr>
                <w:sz w:val="20"/>
                <w:szCs w:val="20"/>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7280" w:type="dxa"/>
            <w:vAlign w:val="bottom"/>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7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0" w:type="dxa"/>
            <w:vAlign w:val="bottom"/>
            <w:gridSpan w:val="6"/>
          </w:tcPr>
          <w:p>
            <w:pPr>
              <w:ind w:left="20"/>
              <w:spacing w:after="0"/>
              <w:rPr>
                <w:sz w:val="20"/>
                <w:szCs w:val="20"/>
                <w:color w:val="auto"/>
              </w:rPr>
            </w:pPr>
            <w:r>
              <w:rPr>
                <w:rFonts w:ascii="Arial" w:cs="Arial" w:eastAsia="Arial" w:hAnsi="Arial"/>
                <w:sz w:val="18"/>
                <w:szCs w:val="18"/>
                <w:b w:val="1"/>
                <w:bCs w:val="1"/>
                <w:color w:val="auto"/>
              </w:rPr>
              <w:t>March 31, 2023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operating lease liabilities, included in accrued liabilities</w:t>
            </w:r>
          </w:p>
        </w:tc>
        <w:tc>
          <w:tcPr>
            <w:tcW w:w="11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lease liabilities, net of current portion</w:t>
            </w: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operating lease liabilities</w:t>
            </w: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for operating leases (in years)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Weighted average discount rate for operating leases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6.37%</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418"/>
        </w:trPr>
        <w:tc>
          <w:tcPr>
            <w:tcW w:w="7280" w:type="dxa"/>
            <w:vAlign w:val="bottom"/>
          </w:tcPr>
          <w:p>
            <w:pPr>
              <w:spacing w:after="0"/>
              <w:rPr>
                <w:sz w:val="20"/>
                <w:szCs w:val="20"/>
                <w:color w:val="auto"/>
              </w:rPr>
            </w:pPr>
            <w:r>
              <w:rPr>
                <w:rFonts w:ascii="Arial" w:cs="Arial" w:eastAsia="Arial" w:hAnsi="Arial"/>
                <w:sz w:val="18"/>
                <w:szCs w:val="18"/>
                <w:color w:val="auto"/>
              </w:rPr>
              <w:t>The following represents maturities of operating lease liabilities as of March 31, 2023:</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ending December 31,</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80"/>
              <w:spacing w:after="0"/>
              <w:rPr>
                <w:sz w:val="20"/>
                <w:szCs w:val="20"/>
                <w:color w:val="auto"/>
              </w:rPr>
            </w:pPr>
            <w:r>
              <w:rPr>
                <w:rFonts w:ascii="Arial" w:cs="Arial" w:eastAsia="Arial" w:hAnsi="Arial"/>
                <w:sz w:val="18"/>
                <w:szCs w:val="18"/>
                <w:color w:val="auto"/>
              </w:rPr>
              <w:t>2023 (Remainder)</w:t>
            </w: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gridSpan w:val="4"/>
          </w:tcPr>
          <w:p>
            <w:pPr>
              <w:jc w:val="right"/>
              <w:ind w:right="100"/>
              <w:spacing w:after="0"/>
              <w:rPr>
                <w:sz w:val="20"/>
                <w:szCs w:val="20"/>
                <w:color w:val="auto"/>
              </w:rPr>
            </w:pPr>
            <w:r>
              <w:rPr>
                <w:rFonts w:ascii="Arial" w:cs="Arial" w:eastAsia="Arial" w:hAnsi="Arial"/>
                <w:sz w:val="18"/>
                <w:szCs w:val="18"/>
                <w:color w:val="auto"/>
                <w:w w:val="86"/>
              </w:rPr>
              <w:t>341</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2024</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6"/>
              </w:rPr>
              <w:t>439</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80"/>
              <w:spacing w:after="0"/>
              <w:rPr>
                <w:sz w:val="20"/>
                <w:szCs w:val="20"/>
                <w:color w:val="auto"/>
              </w:rPr>
            </w:pPr>
            <w:r>
              <w:rPr>
                <w:rFonts w:ascii="Arial" w:cs="Arial" w:eastAsia="Arial" w:hAnsi="Arial"/>
                <w:sz w:val="18"/>
                <w:szCs w:val="18"/>
                <w:color w:val="auto"/>
              </w:rPr>
              <w:t>2025</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gridSpan w:val="4"/>
          </w:tcPr>
          <w:p>
            <w:pPr>
              <w:jc w:val="right"/>
              <w:ind w:right="100"/>
              <w:spacing w:after="0"/>
              <w:rPr>
                <w:sz w:val="20"/>
                <w:szCs w:val="20"/>
                <w:color w:val="auto"/>
              </w:rPr>
            </w:pPr>
            <w:r>
              <w:rPr>
                <w:rFonts w:ascii="Arial" w:cs="Arial" w:eastAsia="Arial" w:hAnsi="Arial"/>
                <w:sz w:val="18"/>
                <w:szCs w:val="18"/>
                <w:color w:val="auto"/>
                <w:w w:val="86"/>
              </w:rPr>
              <w:t>272</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2026</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6"/>
              </w:rPr>
              <w:t>210</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80"/>
              <w:spacing w:after="0"/>
              <w:rPr>
                <w:sz w:val="20"/>
                <w:szCs w:val="20"/>
                <w:color w:val="auto"/>
              </w:rPr>
            </w:pPr>
            <w:r>
              <w:rPr>
                <w:rFonts w:ascii="Arial" w:cs="Arial" w:eastAsia="Arial" w:hAnsi="Arial"/>
                <w:sz w:val="18"/>
                <w:szCs w:val="18"/>
                <w:color w:val="auto"/>
              </w:rPr>
              <w:t>2027</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gridSpan w:val="4"/>
          </w:tcPr>
          <w:p>
            <w:pPr>
              <w:jc w:val="right"/>
              <w:ind w:right="100"/>
              <w:spacing w:after="0"/>
              <w:rPr>
                <w:sz w:val="20"/>
                <w:szCs w:val="20"/>
                <w:color w:val="auto"/>
              </w:rPr>
            </w:pPr>
            <w:r>
              <w:rPr>
                <w:rFonts w:ascii="Arial" w:cs="Arial" w:eastAsia="Arial" w:hAnsi="Arial"/>
                <w:sz w:val="18"/>
                <w:szCs w:val="18"/>
                <w:color w:val="auto"/>
                <w:w w:val="86"/>
              </w:rPr>
              <w:t>216</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Thereafter</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80" w:type="dxa"/>
            <w:vAlign w:val="bottom"/>
          </w:tcPr>
          <w:p>
            <w:pPr>
              <w:ind w:left="660"/>
              <w:spacing w:after="0"/>
              <w:rPr>
                <w:sz w:val="20"/>
                <w:szCs w:val="20"/>
                <w:color w:val="auto"/>
              </w:rPr>
            </w:pPr>
            <w:r>
              <w:rPr>
                <w:rFonts w:ascii="Arial" w:cs="Arial" w:eastAsia="Arial" w:hAnsi="Arial"/>
                <w:sz w:val="18"/>
                <w:szCs w:val="18"/>
                <w:color w:val="auto"/>
              </w:rPr>
              <w:t>Total lease payments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6"/>
          </w:tcPr>
          <w:p>
            <w:pPr>
              <w:jc w:val="right"/>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Imputed interest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(184)</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80" w:type="dxa"/>
            <w:vAlign w:val="bottom"/>
            <w:tcBorders>
              <w:top w:val="single" w:sz="8" w:color="CCEEFF"/>
            </w:tcBorders>
          </w:tcPr>
          <w:p>
            <w:pPr>
              <w:ind w:left="66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CCEEFF"/>
            </w:tcBorders>
            <w:gridSpan w:val="3"/>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Borders>
              <w:top w:val="single" w:sz="8" w:color="CCEEFF"/>
            </w:tcBorders>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ind w:left="5540"/>
              <w:spacing w:after="0"/>
              <w:rPr>
                <w:sz w:val="20"/>
                <w:szCs w:val="20"/>
                <w:color w:val="auto"/>
              </w:rPr>
            </w:pPr>
            <w:r>
              <w:rPr>
                <w:rFonts w:ascii="Arial" w:cs="Arial" w:eastAsia="Arial" w:hAnsi="Arial"/>
                <w:sz w:val="18"/>
                <w:szCs w:val="18"/>
                <w:color w:val="auto"/>
              </w:rPr>
              <w:t>12</w:t>
            </w: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2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2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7. Shareholders' Equity</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28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5"/>
          </w:tcPr>
          <w:p>
            <w:pPr>
              <w:jc w:val="right"/>
              <w:ind w:right="221"/>
              <w:spacing w:after="0"/>
              <w:rPr>
                <w:sz w:val="20"/>
                <w:szCs w:val="20"/>
                <w:color w:val="auto"/>
              </w:rPr>
            </w:pPr>
            <w:r>
              <w:rPr>
                <w:rFonts w:ascii="Arial" w:cs="Arial" w:eastAsia="Arial" w:hAnsi="Arial"/>
                <w:sz w:val="18"/>
                <w:szCs w:val="18"/>
                <w:b w:val="1"/>
                <w:bCs w:val="1"/>
                <w:color w:val="auto"/>
                <w:w w:val="91"/>
              </w:rPr>
              <w:t>Three months ended March 31,</w:t>
            </w:r>
          </w:p>
        </w:tc>
      </w:tr>
      <w:tr>
        <w:trPr>
          <w:trHeight w:val="210"/>
        </w:trPr>
        <w:tc>
          <w:tcPr>
            <w:tcW w:w="28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23"/>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Common stock and additional paid-in capital</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74,934</w:t>
            </w:r>
          </w:p>
        </w:tc>
        <w:tc>
          <w:tcPr>
            <w:tcW w:w="2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72,818</w:t>
            </w:r>
          </w:p>
        </w:tc>
        <w:tc>
          <w:tcPr>
            <w:tcW w:w="100" w:type="dxa"/>
            <w:vAlign w:val="bottom"/>
          </w:tcPr>
          <w:p>
            <w:pPr>
              <w:spacing w:after="0"/>
              <w:rPr>
                <w:sz w:val="19"/>
                <w:szCs w:val="19"/>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common stock and warrants, net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r>
      <w:tr>
        <w:trPr>
          <w:trHeight w:val="229"/>
        </w:trPr>
        <w:tc>
          <w:tcPr>
            <w:tcW w:w="8440" w:type="dxa"/>
            <w:vAlign w:val="bottom"/>
            <w:gridSpan w:val="2"/>
          </w:tcPr>
          <w:p>
            <w:pPr>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r>
      <w:tr>
        <w:trPr>
          <w:trHeight w:val="216"/>
        </w:trPr>
        <w:tc>
          <w:tcPr>
            <w:tcW w:w="8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Proceeds from employee stock purchase plan</w:t>
            </w: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440" w:type="dxa"/>
            <w:vAlign w:val="bottom"/>
            <w:gridSpan w:val="2"/>
          </w:tcPr>
          <w:p>
            <w:pPr>
              <w:spacing w:after="0"/>
              <w:rPr>
                <w:sz w:val="20"/>
                <w:szCs w:val="20"/>
                <w:color w:val="auto"/>
              </w:rPr>
            </w:pPr>
            <w:r>
              <w:rPr>
                <w:rFonts w:ascii="Arial" w:cs="Arial" w:eastAsia="Arial" w:hAnsi="Arial"/>
                <w:sz w:val="18"/>
                <w:szCs w:val="18"/>
                <w:color w:val="auto"/>
              </w:rPr>
              <w:t>Balance,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74,957</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74,855</w:t>
            </w:r>
          </w:p>
        </w:tc>
        <w:tc>
          <w:tcPr>
            <w:tcW w:w="100" w:type="dxa"/>
            <w:vAlign w:val="bottom"/>
          </w:tcPr>
          <w:p>
            <w:pPr>
              <w:spacing w:after="0"/>
              <w:rPr>
                <w:sz w:val="18"/>
                <w:szCs w:val="18"/>
                <w:color w:val="auto"/>
              </w:rPr>
            </w:pPr>
          </w:p>
        </w:tc>
      </w:tr>
      <w:tr>
        <w:trPr>
          <w:trHeight w:val="209"/>
        </w:trPr>
        <w:tc>
          <w:tcPr>
            <w:tcW w:w="28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(288)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(241)</w:t>
            </w:r>
          </w:p>
        </w:tc>
      </w:tr>
      <w:tr>
        <w:trPr>
          <w:trHeight w:val="229"/>
        </w:trPr>
        <w:tc>
          <w:tcPr>
            <w:tcW w:w="8440" w:type="dxa"/>
            <w:vAlign w:val="bottom"/>
            <w:gridSpan w:val="2"/>
          </w:tcPr>
          <w:p>
            <w:pPr>
              <w:spacing w:after="0"/>
              <w:rPr>
                <w:sz w:val="20"/>
                <w:szCs w:val="20"/>
                <w:color w:val="auto"/>
              </w:rPr>
            </w:pPr>
            <w:r>
              <w:rPr>
                <w:rFonts w:ascii="Arial" w:cs="Arial" w:eastAsia="Arial" w:hAnsi="Arial"/>
                <w:sz w:val="18"/>
                <w:szCs w:val="18"/>
                <w:color w:val="auto"/>
              </w:rPr>
              <w:t>Unrealized loss on available-for-sale securities, net of tax</w:t>
            </w:r>
          </w:p>
        </w:tc>
        <w:tc>
          <w:tcPr>
            <w:tcW w:w="100" w:type="dxa"/>
            <w:vAlign w:val="bottom"/>
          </w:tcPr>
          <w:p>
            <w:pPr>
              <w:spacing w:after="0"/>
              <w:rPr>
                <w:sz w:val="19"/>
                <w:szCs w:val="19"/>
                <w:color w:val="auto"/>
              </w:rPr>
            </w:pPr>
          </w:p>
        </w:tc>
        <w:tc>
          <w:tcPr>
            <w:tcW w:w="13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(28)</w:t>
            </w:r>
          </w:p>
        </w:tc>
      </w:tr>
      <w:tr>
        <w:trPr>
          <w:trHeight w:val="230"/>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w:t>
            </w:r>
          </w:p>
        </w:tc>
      </w:tr>
      <w:tr>
        <w:trPr>
          <w:trHeight w:val="209"/>
        </w:trPr>
        <w:tc>
          <w:tcPr>
            <w:tcW w:w="8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Borders>
              <w:bottom w:val="single" w:sz="8" w:color="CCEEFF"/>
            </w:tcBorders>
          </w:tcPr>
          <w:p>
            <w:pPr>
              <w:jc w:val="right"/>
              <w:ind w:right="121"/>
              <w:spacing w:after="0"/>
              <w:rPr>
                <w:sz w:val="20"/>
                <w:szCs w:val="20"/>
                <w:color w:val="auto"/>
              </w:rPr>
            </w:pPr>
            <w:r>
              <w:rPr>
                <w:rFonts w:ascii="Arial" w:cs="Arial" w:eastAsia="Arial" w:hAnsi="Arial"/>
                <w:sz w:val="8"/>
                <w:szCs w:val="8"/>
                <w:color w:val="auto"/>
                <w:w w:val="73"/>
              </w:rPr>
              <w: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tcPr>
          <w:p>
            <w:pPr>
              <w:jc w:val="right"/>
              <w:ind w:right="21"/>
              <w:spacing w:after="0"/>
              <w:rPr>
                <w:sz w:val="20"/>
                <w:szCs w:val="20"/>
                <w:color w:val="auto"/>
              </w:rPr>
            </w:pPr>
            <w:r>
              <w:rPr>
                <w:rFonts w:ascii="Arial" w:cs="Arial" w:eastAsia="Arial" w:hAnsi="Arial"/>
                <w:sz w:val="8"/>
                <w:szCs w:val="8"/>
                <w:color w:val="auto"/>
                <w:w w:val="73"/>
              </w:rPr>
              <w:t>)</w:t>
            </w:r>
          </w:p>
        </w:tc>
      </w:tr>
      <w:tr>
        <w:trPr>
          <w:trHeight w:val="209"/>
        </w:trPr>
        <w:tc>
          <w:tcPr>
            <w:tcW w:w="28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Accumulated deficit</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(516)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(21,072)</w:t>
            </w:r>
          </w:p>
        </w:tc>
      </w:tr>
      <w:tr>
        <w:trPr>
          <w:trHeight w:val="229"/>
        </w:trPr>
        <w:tc>
          <w:tcPr>
            <w:tcW w:w="84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9"/>
                <w:szCs w:val="19"/>
                <w:color w:val="auto"/>
              </w:rPr>
            </w:pP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(832)</w:t>
            </w:r>
          </w:p>
        </w:tc>
        <w:tc>
          <w:tcPr>
            <w:tcW w:w="28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(1,967)</w:t>
            </w:r>
          </w:p>
        </w:tc>
      </w:tr>
      <w:tr>
        <w:trPr>
          <w:trHeight w:val="20"/>
        </w:trPr>
        <w:tc>
          <w:tcPr>
            <w:tcW w:w="28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(1,348)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(23,039)</w:t>
            </w:r>
          </w:p>
        </w:tc>
      </w:tr>
      <w:tr>
        <w:trPr>
          <w:trHeight w:val="209"/>
        </w:trPr>
        <w:tc>
          <w:tcPr>
            <w:tcW w:w="2820" w:type="dxa"/>
            <w:vAlign w:val="bottom"/>
            <w:tcBorders>
              <w:top w:val="single" w:sz="8" w:color="CCEEFF"/>
            </w:tcBorders>
          </w:tcPr>
          <w:p>
            <w:pPr>
              <w:spacing w:after="0"/>
              <w:rPr>
                <w:sz w:val="18"/>
                <w:szCs w:val="18"/>
                <w:color w:val="auto"/>
              </w:rPr>
            </w:pPr>
          </w:p>
        </w:tc>
        <w:tc>
          <w:tcPr>
            <w:tcW w:w="56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73,326</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51,536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72"/>
        </w:trPr>
        <w:tc>
          <w:tcPr>
            <w:tcW w:w="8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Issue of Common Stock and Warrants</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82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September 12, 2021, the Company entered into a securities purchase agreement with certain purchasers named therein, pursuant to which the Company issued 3,623,189 shares of the Company's common stock, par value $0.001 per share at an offering price of $2.76 per share. The Company received gross proceeds of approximately $10,000 and net proceeds of $9,288 after deducting placement agent fees and related offering expenses. In a concurring private placement the Company also issued to the same purchasers warrants exercisable for an aggregate of 3,623,189 shares of common stock at an exercise price of $2.76 per share. Each warrant became immediately exercisable and will expire on March 15, 2027.</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January 4, 2022, the Company entered into a Securities Purchase Agreement with Edward D. Bagley, an affiliate of the Company, pursuant to which the Company agreed to issue and sell, in a private placement 1,538,461 shares (the “Shares”) of the Company’s common stock, par value $0.001 per share, at a purchase price of $1.30 per share of Common Stock. The consideration for the Shares is the cancellation and termination of Mr. Bagley’s outstanding bridge loan to the Company in the principal amount of $2,000 originally issued on July 2, 2021 and amended and restated on September 11, 2021. Mr. Bagley is an affiliate of the Company and the Company’s single largest stockholder.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8. Debt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Senior Convertible Notes and Warrants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17, 2019, the Company completed the issuance and sale of $3,000 aggregate principal amount of secured convertible notes of the Company (the “Notes”) and warrants (the “Warrants”) to purchase 340,909 shares of common stock, par value $0.001 per share of the Company (the “Common Stock”), in a private placement transaction. The Notes and Warrants were issued and sold to Edward D. Bagley, an affiliate of the Company, on the terms and conditions of a Note Purchase Agreement dated December 8, 2019 between the Company, certain subsidiary guarantors of the Company, and Mr. Bagley. Mr. Bagley was the beneficial owner of approximately 46.6% of the Company’s issued and outstanding shares of Common Stock at the time that the Notes and Warrants were issued to him.</w:t>
      </w:r>
    </w:p>
    <w:p>
      <w:pPr>
        <w:spacing w:after="0" w:line="1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Notes will mature on December 17, 2023 (the “Maturity Date”) and will accrue interest at a variable rate adjusted on a quarterly basis and equal to two and one-half percent (2.5%) over the greater of (x) five and one-quarter percent (5.25%) and (y) the Prime Rate as published in the Wall Street Journal (New York edition) as of the beginning of such calendar quarter. The Notes may be converted into shares of the Company’s Common Stock at any time at the election of Mr. Bagley at an initial conversion price of $2.11 per share (the “Conversion Price”), or 120% of the closing price of the Common Stock on December 6, 2019 as reported on the Nasdaq Capital Market. Also, the Company can cause a mandatory conversion of the Notes if the volume weighted average closing price of the Common Stock over 90 consecutive trading days exceeds 200% of the Conversion Price. In addition, the Notes may be redeemed by the Company for cash at any time after December 17, 2020 upon payment of the outstanding principal balance of the Notes and any unpaid and accrued interest. The Company also is required to redeem the Notes upon the occurrence of a change in control of the Company.</w:t>
      </w:r>
    </w:p>
    <w:p>
      <w:pPr>
        <w:spacing w:after="0" w:line="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Warrants have an initial exercise price equal to $1.76, the closing price of the Common Stock on December 6, 2019 as reported on the Nasdaq Capital Market, and are exercisable until December 17, 2026. The Warrants must be exercised for cash, unless at the time of exercise there is not a then effective registration statement for the resale of the shares of Common Stock issuable upon exercise of the Warrants, in which case the Warrants may be exercised via a cashless exercise feature that provides for net settlement of the shares of Common Stock issuable upon exercise.</w:t>
      </w:r>
    </w:p>
    <w:p>
      <w:pPr>
        <w:spacing w:after="0" w:line="9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Concurrent with the issuance of the Notes and Warrants pursuant to the Note Purchase Agreement, the Company, the Guarantors and Mr. Bagley entered into a Guaranty and Collateral Agreement (the “Collateral Agreement”) pursuant to which the Company and the Guarantors granted Mr. Bagley a first priority lien interest in all of the Company’s assets as security for the Company’s performance of its obligations under the Notes and Warrants.</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proceeds after original issue discount and issuance costs of $346 were approximately $2,654. The Company expected to use the proceeds from the sale of the Notes and Warrants for general corporate purposes and working capital.</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In accounting for the issuance of the Notes, the Company separated Notes and Warrants into liability and equity components. The carrying amount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Warrants, being an equity component, was first calculated using Black-Scholes method with the following assumptions: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Expected life of warrants (years)</w:t>
            </w:r>
          </w:p>
        </w:tc>
        <w:tc>
          <w:tcPr>
            <w:tcW w:w="18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Expected price volatility</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8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amount of the Notes was then determined by deducting the fair value of the Warrants from the principal amount of the Notes. The carrying amount of the Notes was further separated into equity and liability components after separating the value of the conversion feature into an equity component and leaving the remaining value as liability. The equity component is not remeasured while the Notes and Warrants continue to meet the conditions for equity classification for equity components.</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The original issue discount and issuance costs are netted against the liability. The following table represents the carrying value of Notes and Warrants: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7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2"/>
              </w:rPr>
              <w:t>March 31, 2023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Liability component:</w:t>
            </w:r>
          </w:p>
        </w:tc>
        <w:tc>
          <w:tcPr>
            <w:tcW w:w="10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Principal</w:t>
            </w:r>
          </w:p>
        </w:tc>
        <w:tc>
          <w:tcPr>
            <w:tcW w:w="1480" w:type="dxa"/>
            <w:vAlign w:val="bottom"/>
            <w:gridSpan w:val="2"/>
          </w:tcPr>
          <w:p>
            <w:pPr>
              <w:jc w:val="right"/>
              <w:ind w:right="283"/>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1,695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Less: debt discount and issuance costs, net of amortization</w:t>
            </w: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63"/>
        </w:trPr>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carrying amount</w:t>
            </w:r>
          </w:p>
        </w:tc>
        <w:tc>
          <w:tcPr>
            <w:tcW w:w="104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400" w:type="dxa"/>
            <w:vAlign w:val="bottom"/>
            <w:shd w:val="clear" w:color="auto" w:fill="CCEEFF"/>
          </w:tcPr>
          <w:p>
            <w:pPr>
              <w:spacing w:after="0" w:line="237" w:lineRule="exact"/>
              <w:rPr>
                <w:sz w:val="20"/>
                <w:szCs w:val="20"/>
                <w:color w:val="auto"/>
              </w:rPr>
            </w:pPr>
            <w:r>
              <w:rPr>
                <w:rFonts w:ascii="Arial" w:cs="Arial" w:eastAsia="Arial" w:hAnsi="Arial"/>
                <w:sz w:val="17"/>
                <w:szCs w:val="17"/>
                <w:color w:val="auto"/>
              </w:rPr>
              <w:t>Equity component</w:t>
            </w:r>
            <w:r>
              <w:rPr>
                <w:rFonts w:ascii="Arial" w:cs="Arial" w:eastAsia="Arial" w:hAnsi="Arial"/>
                <w:sz w:val="27"/>
                <w:szCs w:val="27"/>
                <w:color w:val="auto"/>
                <w:vertAlign w:val="superscript"/>
              </w:rPr>
              <w:t>(1)</w:t>
            </w:r>
            <w:r>
              <w:rPr>
                <w:rFonts w:ascii="Arial" w:cs="Arial" w:eastAsia="Arial" w:hAnsi="Arial"/>
                <w:sz w:val="17"/>
                <w:szCs w:val="17"/>
                <w:color w:val="auto"/>
              </w:rPr>
              <w:t>:</w:t>
            </w:r>
          </w:p>
        </w:tc>
        <w:tc>
          <w:tcPr>
            <w:tcW w:w="10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Warrants</w:t>
            </w:r>
          </w:p>
        </w:tc>
        <w:tc>
          <w:tcPr>
            <w:tcW w:w="1480" w:type="dxa"/>
            <w:vAlign w:val="bottom"/>
            <w:gridSpan w:val="2"/>
          </w:tcPr>
          <w:p>
            <w:pPr>
              <w:jc w:val="right"/>
              <w:ind w:right="283"/>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318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Conversion feature</w:t>
            </w: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carrying amount</w:t>
            </w:r>
          </w:p>
        </w:tc>
        <w:tc>
          <w:tcPr>
            <w:tcW w:w="104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Current portion of liability component included under short-term debt</w:t>
            </w:r>
          </w:p>
        </w:tc>
        <w:tc>
          <w:tcPr>
            <w:tcW w:w="1480" w:type="dxa"/>
            <w:vAlign w:val="bottom"/>
            <w:gridSpan w:val="2"/>
          </w:tcPr>
          <w:p>
            <w:pPr>
              <w:jc w:val="right"/>
              <w:ind w:right="283"/>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1,556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Liability component total</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color w:val="212529"/>
              </w:rPr>
              <w:t>(1) Recorded on the condensed consolidated balance sheets as additional paid-in capital.</w:t>
            </w:r>
          </w:p>
        </w:tc>
        <w:tc>
          <w:tcPr>
            <w:tcW w:w="10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0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Debt discount and issuance costs are amortized over the life of the note to interest expense using the effective interest method. During the three months ended March 31, 2023 and March 31, 2022 amortization of debt discount and issuance costs was $49 and $49, respectively. The following table represents schedule of maturities of principal amount contained in the Notes as of March 31, 2023:</w:t>
      </w:r>
    </w:p>
    <w:p>
      <w:pPr>
        <w:sectPr>
          <w:pgSz w:w="11900" w:h="16838" w:orient="portrait"/>
          <w:cols w:equalWidth="0" w:num="1">
            <w:col w:w="11240"/>
          </w:cols>
          <w:pgMar w:left="320" w:top="125" w:right="33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546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2023 (Remainder)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Total principal amount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Short-term Bridge Loans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right"/>
        <w:ind w:right="4020"/>
        <w:spacing w:after="0"/>
        <w:rPr>
          <w:sz w:val="20"/>
          <w:szCs w:val="20"/>
          <w:color w:val="auto"/>
        </w:rPr>
      </w:pPr>
      <w:r>
        <w:rPr>
          <w:rFonts w:ascii="Arial" w:cs="Arial" w:eastAsia="Arial" w:hAnsi="Arial"/>
          <w:sz w:val="16"/>
          <w:szCs w:val="16"/>
          <w:b w:val="1"/>
          <w:bCs w:val="1"/>
          <w:u w:val="single" w:color="auto"/>
          <w:color w:val="auto"/>
        </w:rPr>
        <w:t>Principal Amount Maturing</w:t>
      </w:r>
    </w:p>
    <w:p>
      <w:pPr>
        <w:spacing w:after="0" w:line="63" w:lineRule="exact"/>
        <w:rPr>
          <w:sz w:val="20"/>
          <w:szCs w:val="20"/>
          <w:color w:val="auto"/>
        </w:rPr>
      </w:pPr>
    </w:p>
    <w:p>
      <w:pPr>
        <w:jc w:val="right"/>
        <w:ind w:right="4020"/>
        <w:spacing w:after="0"/>
        <w:rPr>
          <w:sz w:val="20"/>
          <w:szCs w:val="20"/>
          <w:color w:val="auto"/>
        </w:rPr>
      </w:pPr>
      <w:r>
        <w:rPr>
          <w:rFonts w:ascii="Arial" w:cs="Arial" w:eastAsia="Arial" w:hAnsi="Arial"/>
          <w:sz w:val="18"/>
          <w:szCs w:val="18"/>
          <w:color w:val="auto"/>
        </w:rPr>
        <w:t>1,695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13887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3" w:lineRule="exact"/>
        <w:rPr>
          <w:sz w:val="20"/>
          <w:szCs w:val="20"/>
          <w:color w:val="auto"/>
        </w:rPr>
      </w:pPr>
    </w:p>
    <w:p>
      <w:pPr>
        <w:spacing w:after="0"/>
        <w:tabs>
          <w:tab w:leader="none" w:pos="17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1,695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-100330</wp:posOffset>
            </wp:positionV>
            <wp:extent cx="4637405"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37405" cy="162560"/>
                    </a:xfrm>
                    <a:prstGeom prst="rect">
                      <a:avLst/>
                    </a:prstGeom>
                    <a:noFill/>
                  </pic:spPr>
                </pic:pic>
              </a:graphicData>
            </a:graphic>
          </wp:anchor>
        </w:drawing>
      </w:r>
    </w:p>
    <w:p>
      <w:pPr>
        <w:spacing w:after="0" w:line="583" w:lineRule="exact"/>
        <w:rPr>
          <w:sz w:val="20"/>
          <w:szCs w:val="20"/>
          <w:color w:val="auto"/>
        </w:rPr>
      </w:pPr>
    </w:p>
    <w:p>
      <w:pPr>
        <w:sectPr>
          <w:pgSz w:w="11900" w:h="16838" w:orient="portrait"/>
          <w:cols w:equalWidth="0" w:num="2">
            <w:col w:w="4340" w:space="720"/>
            <w:col w:w="6180"/>
          </w:cols>
          <w:pgMar w:left="320" w:top="125" w:right="339" w:bottom="1440" w:gutter="0" w:footer="0" w:header="0"/>
          <w:type w:val="continuous"/>
        </w:sectPr>
      </w:pPr>
    </w:p>
    <w:p>
      <w:pPr>
        <w:jc w:val="both"/>
        <w:ind w:firstLine="324"/>
        <w:spacing w:after="0" w:line="253" w:lineRule="auto"/>
        <w:rPr>
          <w:sz w:val="20"/>
          <w:szCs w:val="20"/>
          <w:color w:val="auto"/>
        </w:rPr>
      </w:pPr>
      <w:r>
        <w:rPr>
          <w:rFonts w:ascii="Arial" w:cs="Arial" w:eastAsia="Arial" w:hAnsi="Arial"/>
          <w:sz w:val="18"/>
          <w:szCs w:val="18"/>
          <w:color w:val="auto"/>
        </w:rPr>
        <w:t>On July 2, 2021, the Company obtained a bridge loan in the principal amount of $2,000 from Edward D. Bagley (the “2021 Bridge Loan”), an affiliate of the Company. The Bridge Loan was evidenced by a promissory note dated July 2, 2021 (the “Note”) issued by the Company to Mr. Bagley. The Note bore interest at a rate of 8.0% per annum. On September 11, 2021, the Company amended and restated the terms of the Bridge Loan to extend the latest maturity date from October 1, 2021 to January 3, 2022. All other terms and conditions of the Bridge Loan remained the same. On January 4, 2022, the Company entered into a Securities Purchase Agreement with Edward D. Bagley, pursuant to which the Company issued and sold to Mr. Bagley, in a private placement 1,538,461 shares (the “Shares”) of the Company’s common stock, par value $0.001 per share, at a purchase price of $1.30 per share of Common Stock. The consideration for the Shares was the cancellation and termination of Mr. Bagley’s outstanding bridge loan to the Company in the principal amount of $2,000 originally issued on July 2, 2021 and amended and restated on September 11, 2021. Mr. Bagley is an affiliate of the Company and the Company’s single largest stockholder.</w:t>
      </w:r>
    </w:p>
    <w:p>
      <w:pPr>
        <w:spacing w:after="0" w:line="1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October 28, 2022 the Company obtained a bridge loan in the principal amount of $2,000 from Edward D. Bagley (the “2022 Bridge Loan”), an affiliate of the Company. The 2022 Bridge Loan was evidenced by a promissory note dated October 28, 2022 (the “2022 Note”) issued by the Company to Mr. Bagley. The 2022 Note bore interest at a rate of 12.0% per annum and had a maturity date of October 28, 2023. Mr. Bagley is an affiliate of the Company and the Company’s single largest stockholder. This Bridge Loan of $2,000 is included under short-term debt as of December 31, 2022. In January 2023, the 2022 Bridge loan of $2,000 along with applicable interest was repaid in full.</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62" w:lineRule="exact"/>
        <w:rPr>
          <w:sz w:val="20"/>
          <w:szCs w:val="20"/>
          <w:color w:val="auto"/>
        </w:rPr>
      </w:pPr>
    </w:p>
    <w:p>
      <w:pPr>
        <w:ind w:left="3580" w:right="2100" w:hanging="1461"/>
        <w:spacing w:after="0" w:line="282" w:lineRule="auto"/>
        <w:rPr>
          <w:sz w:val="20"/>
          <w:szCs w:val="20"/>
          <w:color w:val="auto"/>
        </w:rPr>
      </w:pPr>
      <w:r>
        <w:rPr>
          <w:rFonts w:ascii="Arial" w:cs="Arial" w:eastAsia="Arial" w:hAnsi="Arial"/>
          <w:sz w:val="18"/>
          <w:szCs w:val="18"/>
          <w:b w:val="1"/>
          <w:bCs w:val="1"/>
          <w:color w:val="auto"/>
        </w:rPr>
        <w:t xml:space="preserve">UNAUDITED NOTES TO CONDENSED CONSOLIDATED FINANCIAL STATEMENTS </w:t>
      </w:r>
      <w:r>
        <w:rPr>
          <w:rFonts w:ascii="Arial" w:cs="Arial" w:eastAsia="Arial" w:hAnsi="Arial"/>
          <w:sz w:val="18"/>
          <w:szCs w:val="18"/>
          <w:color w:val="auto"/>
        </w:rPr>
        <w:t>(Unaudited - Dollars in thousands, except per share amounts)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current year loss did not result in income tax benefit due to recording a full valuation allowance against expected benefits. The valuation allowance was recorded as we concluded that it was more likely than not that our deferred tax assets were not realizable primarily due to the Company's recent pre-tax losses. Provision for income taxes for the three months ended March 31, 2023 mostly represents income tax expense recorded for jurisdictions outside the United States.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approximately $962 of uncertain tax positions as of March 31, 2023. Due to the inherent uncertainty of the underlying tax positions, it is not possible to forecast the payment of this liability for any particular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8, 2023, the Company announced that the Company’s Board of Directors had declared a special one-time cash dividend of $1.00 per share of the Company’s common stock or eligible warrants, payable on May 31, 2023 to shareholders of record on May 22, 2023. This is expected to result in cash outflow of approximately, $28,978.</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based upon reasonable assumptions at the time made,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many of which we cannot predict with accuracy and some of which we might not anticipate,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integration of business acquisitions; and other factors referred to in our reports filed with the SEC, including our Annual Report on Form 10-K for the year ended December 31, 2022. All subsequent forward-looking statements attributable to us or persons acting on our behalf are expressly qualified in their entirety by these cautionary statements. Additional factors that may have a direct bearing on our operating results are discussed in Part II, Item 1A “Risk Factors” in this Quarterly Report on Form 10-Q and in Part I, Item 1A “Risk Factors” in our Annual Report on Form 10-K for the year ended December 31,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ClearOne is a global Company that designs, develops and sells conferencing, collaboration, and AV networking solutions for voice and visual communications. The performance and simplicity of our advanced, comprehensive solutions offer a high level of functionality, reliability and scalability. We derive a major portion of our revenue from audio conferencing products and microphones by promoting our products in the professional audio-visual channel. We have extended our total addressable market from the installed audio conferencing market to adjacent complementary markets – microphones, video collaboration and AV networking. We have achieved this through strategic technological acquisitions as well as by internal product development.</w:t>
      </w:r>
    </w:p>
    <w:p>
      <w:pPr>
        <w:spacing w:after="0" w:line="1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January 30, 2023, we introduced the new CHAT® 150 BT group speakerphone with USB and Bluetooth connectivity that enhances the conferencing experience for the ultimate in business class performance. With simple, instant connection to personal computers, mobile devices or Bluetooth-enabled desk phones, the CHAT® 150 BT group speakerphone provides users with an affordable way to upgrade home offices, executive offices, and mid-size meeting rooms with BYOD convenience and superior audio clarity for audio conferences and video meetings. The CHAT® 150 BT speakerphone also has an audio bridging feature that allows far end conference participants connected via a software conferencing application through USB, local users of the speakerphone, and far end callers on a mobile call connected through Bluetooth to all join the same call and hear each other clearly. Featuring a steerable microphone array with first-mic priority, the CHAT® 150 BT speakerphone intelligently activates the microphone closest to the person speaking, reducing interference from ambient noise. Like all ClearOne microphone products, the CHAT® 150 BT speakerphone is compatible with popular collaboration platforms including Microsoft® Teams, Zoom™, WebEx™, Google® Meet™, and many more. The new BT model retains all the class-leading features of the original CHAT® 150 speakerphone, including Advanced Noise Cancellation, Full Duplex Distributed Echo Cancellation™ and Automatic Level Control algorithms, to ensure highly intelligible, natural audio capture and playback. It also supports NFC tap-to-pair and includes a wired USB connection for compatibility with the full variety of modern devices.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16, 2023, we introduced UNITE 260 Pro camera, a professional grade 4K Ultra HD camera featuring both a 20X optical zoom and 16X digital zoom that allows users to capture every participant in all meeting, training, and learning environments it is deployed in. Compatible with all popular meeting applications like Microsoft® Teams, Zoom™, WebEx™, and Google® Meet™, the new camera features an AI-based smart face tracking mode that keeps a selected presenter in the frame as they move about the room. Alternatively, the camera’s AI-based auto framing mode always keeps an entire group in perfect view. With dual video outputs HDMI and IP, the UNITE 260 Pro Camera is an excellent choice for a hybrid environment: streaming content while simultaneously showing it live where the presentation is occurring.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continued our programs to cut costs and to speed up product development that we believe will enable us to get back to a growth path.</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Overall revenue decreased by 45% in the first quarter of 2023 when compared to the first quarter of 2022, primarily due to a significant decrease in revenues from all product categories, especially microphones. The revenue decline was primarily due to our continued inability to source adequate inventory to meet the demand for professional audio products and BMA due to the ongoing transition of manufacturing of our products from China to Singapore by our electronics manufacturing services provider and due to the decline in demand for video products. We expect the challenges with the manufacturing transition from China to Singapore to ease in the second half of 2023. Our revenue performance in 2023-Q1 was also partially impacted negatively due to increased costs associated with the electronic raw material supply shortages that have affected the global manufacturing of high tech products. We expect these supply shortages and associated increased costs to continue through at least the end of 2023.</w:t>
      </w:r>
    </w:p>
    <w:p>
      <w:pPr>
        <w:spacing w:after="0" w:line="1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gross profit margin decreased to 31.5% during the first quarter of 2023 from 37.3% during the first quarter of 2022. Gross Profit margin decreased year over year mainly due to increase in administration and overhead costs as a percentage of revenue and increase in inventory obsolescence costs.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loss decreased from $2.0 million in the first quarter of 2022 to $0.8 million in the first quarter of 2023. The decrease in net loss was mainly due to a receipt of $1.35 million from a one-time legal settlement of a contract dispute. This receipt, included in other income was partially offset by an increase in operating losses of $0.3 million.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conditions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operate in a very dynamic and highly competitive industry which is dominated on the one hand by a few players with respect to certain products like traditional video conferencing appliances while on the other hand influenced heavily by a fragmented reseller market consisting of numerous regional and local players. The industry is also characterized by venture capitalist funded start-ups and private companies willing to fund cumulative cash losses in order to gain market share and achieve certain non-financial goals. It has become increasingly important to have higher interoperability with other products in the audio visual market as well as with leading video conferencing service providers like Microsoft and Zoom.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conditions, challenges and risks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audio-visual products market is characterized by intense competition and rapidly evolving technology. Our competitors vary within each product category. Our installed professional audio conferencing products, which is our flagship product category, continue to be ahead of the competition despite the reduction in revenues. Our strength in this space is largely due to our fully integrated suite of products consisting of DSP mixers, wide range of professional microphone products and video collaboration products. Despite our strong leadership position in the installed professional audio conferencing market, we face challenges to revenue growth due to the limited size of the market, pricing pressures from new competitors attracted to the commercial market due to higher margins, our limited ability to be interoperable with other audio visual products in the market, and the lack of certifications from Microsoft.</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video products and beamforming microphone arrays, especially highly advanced BMA 360 and BMA-CT are critical to our long-term growth. We face intense competition in this market from well-established market leaders as well as emerging players rich with marketing funds. We expect our strategy of making our products more interoperable with other audio-visual products, continuing to improve the quality of our high-end audio conferencing products and microphones, and offering a wide range of innovative professional cameras will generate high growth in the near future.</w:t>
      </w:r>
    </w:p>
    <w:p>
      <w:pPr>
        <w:spacing w:after="0" w:line="13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derive a significant portion of our revenue (approximately 52% in 2022) from international operations and expect this trend to continue in the future. Most of our revenue from outside the U.S. is billed in U.S. dollars and is not exposed to any significant currency risk. However, we are exposed to foreign exchange risk if the U.S. dollar is strong against other currencies as it will make U.S. Dollar denominated prices of our products less competitive.</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December 2019, a novel strain of coronavirus (“COVID-19”) started spreading from China and was declared a pandemic. The COVID-19 pandemic caused severe global disruptions and had varying impact on our business. The installed audio conferencing market was negatively impacted due to lockdowns, postponement of projects and restrictions on installers to visit commercial sites. On the other hand, COVID-19 generated higher than normal demand in 2020 for our video products and personal conferencing products due to the significant expansion of work-from-home market. The extent of COVID-19’s effect on our operational and financial performance keeps evolving and depends on multiple factors including the severity and infectiousness of current and future virus strains, effectiveness of vaccines especially on novel strains of COVID-19, government regulations, etc., all of which are uncertain and difficult to predict considering the rapidly evolving landscape. Supply chain disruptions resulting from COVID-19 have caused significant fluctuations in our costs of goods resulting in a reduction of our gross margins in 2021 and 2022. We expect these fluctuations to continue in 2023. If the pandemic continues to be a severe worldwide health crisis, the disease could have a material adverse effect on our business, results of operations, financial condition and cash flows and adversely impact the trading price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Product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Deferred product revenue increased to $71 thousand on March 31, 2023 compared to $63 thousand on December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our results of operations follows below.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154" w:lineRule="exact"/>
        <w:rPr>
          <w:sz w:val="20"/>
          <w:szCs w:val="20"/>
          <w:color w:val="auto"/>
        </w:rPr>
      </w:pPr>
    </w:p>
    <w:p>
      <w:pPr>
        <w:ind w:right="1980"/>
        <w:spacing w:after="0" w:line="464" w:lineRule="auto"/>
        <w:rPr>
          <w:sz w:val="20"/>
          <w:szCs w:val="20"/>
          <w:color w:val="auto"/>
        </w:rPr>
      </w:pPr>
      <w:r>
        <w:rPr>
          <w:rFonts w:ascii="Arial" w:cs="Arial" w:eastAsia="Arial" w:hAnsi="Arial"/>
          <w:sz w:val="18"/>
          <w:szCs w:val="18"/>
          <w:b w:val="1"/>
          <w:bCs w:val="1"/>
          <w:color w:val="auto"/>
        </w:rPr>
        <w:t xml:space="preserve">MANAGEMENT’S DISCUSSION AND ANALYSIS OF FINANCIAL CONDITION AND RESULTS OF OPERATIONS </w:t>
      </w:r>
      <w:r>
        <w:rPr>
          <w:rFonts w:ascii="Arial" w:cs="Arial" w:eastAsia="Arial" w:hAnsi="Arial"/>
          <w:sz w:val="18"/>
          <w:szCs w:val="18"/>
          <w:b w:val="1"/>
          <w:bCs w:val="1"/>
          <w:i w:val="1"/>
          <w:iCs w:val="1"/>
          <w:color w:val="auto"/>
        </w:rPr>
        <w:t>Results of Operations for the three months ended March 31, 2023</w:t>
      </w:r>
    </w:p>
    <w:p>
      <w:pPr>
        <w:jc w:val="both"/>
        <w:spacing w:after="0" w:line="263" w:lineRule="auto"/>
        <w:rPr>
          <w:sz w:val="20"/>
          <w:szCs w:val="20"/>
          <w:color w:val="auto"/>
        </w:rPr>
      </w:pPr>
      <w:r>
        <w:rPr>
          <w:rFonts w:ascii="Arial" w:cs="Arial" w:eastAsia="Arial" w:hAnsi="Arial"/>
          <w:sz w:val="18"/>
          <w:szCs w:val="18"/>
          <w:color w:val="auto"/>
        </w:rPr>
        <w:t>The following table sets forth certain items from our unaudited condensed consolidated statements of operations for the three months ended March 31, 2023 (“2023-Q1”) ("2023-YTD") and 2022 ("2022-Q1") ("2022-YTD"), respectively, together with the percentage of total revenue which each such item represents: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980" w:type="dxa"/>
            <w:vAlign w:val="bottom"/>
            <w:gridSpan w:val="7"/>
          </w:tcPr>
          <w:p>
            <w:pPr>
              <w:jc w:val="right"/>
              <w:ind w:right="12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19"/>
        </w:trPr>
        <w:tc>
          <w:tcPr>
            <w:tcW w:w="6980" w:type="dxa"/>
            <w:vAlign w:val="bottom"/>
            <w:vMerge w:val="restart"/>
          </w:tcPr>
          <w:p>
            <w:pPr>
              <w:spacing w:after="0"/>
              <w:rPr>
                <w:sz w:val="20"/>
                <w:szCs w:val="20"/>
                <w:color w:val="auto"/>
              </w:rPr>
            </w:pPr>
            <w:r>
              <w:rPr>
                <w:rFonts w:ascii="Arial" w:cs="Arial" w:eastAsia="Arial" w:hAnsi="Arial"/>
                <w:sz w:val="18"/>
                <w:szCs w:val="18"/>
                <w:color w:val="auto"/>
              </w:rPr>
              <w:t>(dollars in thousands)</w:t>
            </w:r>
          </w:p>
        </w:tc>
        <w:tc>
          <w:tcPr>
            <w:tcW w:w="2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vMerge w:val="restart"/>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vMerge w:val="restart"/>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Change Favorable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80" w:type="dxa"/>
            <w:vAlign w:val="bottom"/>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(Adverse) in %</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7,545</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4,729</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Pr>
          <w:p>
            <w:pPr>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1,560</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2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w:t>
            </w:r>
          </w:p>
        </w:tc>
        <w:tc>
          <w:tcPr>
            <w:tcW w:w="2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Pr>
          <w:p>
            <w:pPr>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(2,189)</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(1,853)</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9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20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9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(832)</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(1,967)</w:t>
            </w:r>
          </w:p>
        </w:tc>
        <w:tc>
          <w:tcPr>
            <w:tcW w:w="12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revenue decreased to $4.2 million in 2023-Q1 compared to $7.5 million in 2022-Q1 due to a 59% decline in microphones, a 55% decline in video products, and a 27% decline in audio conferencing. Except for wireless mics and premium audio conferencing, both of which constitute a small percentage of our revenue all other product categories suffered revenue declines year over year. Revenues from BMA and professional audio conferencing products were negatively impacted by our inability to source adequate inventory to meet the demand for professional audio products and BMA due to the ongoing transition of manufacturing of our products from China to Singapore by our electronics manufacturing services provider. Our traditional ceiling mics, personal audio conferencing products, video cameras and video conferencing equipment suffered revenue declines due to lack of demand. During the first quarter of 2023, revenues from Americas declined by 58% primarily due to decreased revenues from all the regions. During 2023-Q1 revenues from the Asia Pacific, including the Middle East, India and Australia decline by 18% primarily due to declines in revenues from all sub-markets except India and Australia. Finally, revenues from Europe and Africa decreased significantly by 46% in 2023-Q1 primarily due to decreases across all the sub-markets except Central Europe.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although there can be no assurance, that we can return to generating operating profits through our strategic initiatives namely product innovation and cost reduction.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Sold and Gross Profit</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goods sold includes expenses associated with finished goods purchased from outsourced manufacturers, the repackaging of our products, our manufacturing and operations organization, property and equipment depreciation, warranty expense, freight expense, royalty payments, and the allocation of overhead expenses.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gross profit margin decreased from 37.3% during 2022-Q1 to 31.5% during 2023-Q1. The gross profit margin was negatively impacted due to increases in material costs due to mainly due to increase in administration and overhead costs as a percentage of revenue and increase in inventory obsolescence costs.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profitability in the near-term continues to depend significantly on our revenues from professional installed audio-conferencing products. We hold long-term inventory and if we are unable to sell our long-term inventory, our profitability might be affected by inventory write-offs and price mark-downs. Our long-term inventory includes approximately $0.5 million of wireless microphone-related finished goods and assemblies, $0.3 million of Converge Pro and Beamforming microphone array products, $1.0 million of video products, and $0.9 million of raw materials that will be used primarily for manufacturing professional audio conferencing products and BMA microphones. Any business changes that are adverse to these product lines could potentially impact our ability to sell our long-term inventory in addition to our current inventory.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Operating expenses include sales and marketing (“S&amp;M”) expenses, research and product development (“R&amp;D”) expenses and general and administrative (“G&amp;A”) expenses. Total operating expenses in 2023-Q1 was $3.5 million compared to $4.7 million in 2022-Q1. The following contains a more detailed discussion of expenses related to sales and marketing, research and product development, general and administrative, and other items.</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Sales and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S&amp;M expenses include selling, customer service, and marketing expenses such as employee-related costs, allocations of overhead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trade shows, and other advertising and selling expenses.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S&amp;M expenses in 2023-Q1 decreased to $1.2 million from $1.6 million for 2022-Q1. The decrease was primarily due to decreases in employment expenses and consultant expenses due to a reduction in the headcount and due to decrease in commissions paid to employees and consultants.</w:t>
      </w:r>
    </w:p>
    <w:p>
      <w:pPr>
        <w:spacing w:after="0" w:line="1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u w:val="single" w:color="auto"/>
          <w:color w:val="auto"/>
        </w:rPr>
        <w:t>Research and Product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R&amp;D expenses include research and development, product line management, engineering services, and test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application expenses, including employee-related costs, outside services, expensed materials, depreciation, and an allocation of overhead expenses.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R&amp;D expenses decreased to $1.0 million in 2023-Q1 compared to $1.4 million for 2022-Q1. The decrease was primarily due to reduction in employment expenses due to reduction in the headcount and a decrease in project-related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General and Administrative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G&amp;A expenses include employee-related costs, professional service fees, allocations of overhead expenses, litigation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corporate administrative costs, including costs related to finance and human resources teams.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G&amp;A expenses decreased to $1.3 million in 2023-Q1 compared to $1.8 million in 2022-Q1. The reduction was primarily due to (i) a decrease in amortization costs relating to our capitalized patent defense costs, which was fully amortized in 2022-Q4, (ii) a decline in audit fees, (iii) and a decline in employment-related expenses, partially offset by (iv) increase in legal expenses, and (v) insurance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(expense), net includes interest income, foreign currency changes and gain or loss on disposal of assets. Other income in 2023-Q1 included a receipt of $1.35 million from a one-time legal settlement of a contract dispute. Other items included in other income remained immaterial during 2023-Q1 and 2022-Q1.</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increased to $0.3 million in 2023-Q1 compared to $0.1 million in 2022-Q1. primarily due to interest associated with the prepayment of the $2 million bridge loan in January 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each of the three months ended March 31, 2023 and 2022, we did not recognize any benefit from the losses incurred due to setting up a full valuation allowance.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154" w:lineRule="exact"/>
        <w:rPr>
          <w:sz w:val="20"/>
          <w:szCs w:val="20"/>
          <w:color w:val="auto"/>
        </w:rPr>
      </w:pPr>
    </w:p>
    <w:p>
      <w:pPr>
        <w:ind w:right="1980"/>
        <w:spacing w:after="0" w:line="454"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LIQUIDITY AND CAPITAL RESOURCES</w:t>
      </w:r>
    </w:p>
    <w:p>
      <w:pPr>
        <w:spacing w:after="0" w:line="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2023, our cash and cash equivalents were approximately $59.0 million compared to $1.0 million as of December 31, 2022. Our working capital was $68.7 million and $69.3 million as of March 31, 2023 and December 31, 2022,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operating activities was approximately $60.3 million in 2023-Q1, an increase of cash provided by operating activities of approximately $61.4 million from $1.0 million of cash used by operating activities in 2022-Q1. The increase in cash inflow was primarily due to $56.4 million in receipts from legal settlements, the receipt of $4.5 million from the return of a bond deposited with a court, and a $1.3 million refund of income taxes with interest. These receipts were partially offset by operating losses.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in 2023-Q1 was $0.1 million compared to $1.8 million of net cash provided by investing activities in 2022-Q1. In 2022-Q1 cash provided by investing activities primarily consisted of $2.0 million in proceeds from sale of marketable securities, partially offset by capitalized patent defense costs of $0.2 million.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financing activities in 2023-Q1 was $2.2 million, comprised primarily of repayment of the bridge loan of $2.0 million and $0.2 million payments of principal amounts due on senior convertible debt. This compares to $0.4 million used in principal amounts due on senior convertible debt in 2022-Q1 .</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March 31, 2023, our cash and cash equivalents were approximately $59.0 million compared to $1.0 million as of December 31, 2022. Our working capital was $68,7 million as of March 31, 2023. Net cash provided by operating activities was $60.3 million for the three months ended March 31, 2023, an increase of $61.4 million compared to $1.0 million of cash used in operating activities for the three months ended March 31, 2022. The company announced a special one-time cash dividend of $1.00 per share or eligible warrant (please see Note 10 - Subsequent events) which will be paid on May 31, 2023 and is expected to generate cash outflows of approximately $29.0 million. The Company also paid approximately $6.6 million towards income taxes in April 2023. The Company believes that the Company's core strategies of product innovation and prudent cost management will bring the company back to profitability in the future. The Company believes, although there can be no assurance, that the current cash position and all of these measures and effective management of working capital, will provide the liquidity needed to meet our operating needs through at least May 15, 2024. The Company also believes that its strong portfolio of intellectual property and its solid brand equity in the market will enable it to raise additional capital if and when needed to meet its short and long-term financing needs; however, there can be no assurance that, if needed, the Company will be successful in obtaining the necessary funds through equity or debt financing. If the Company needs additional capital and is unable to secure financing, it may be required to further reduce expenses, or delay product development and enhancement.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 we had open purchase orders of approximately $1.6 million mostly for the purchase of inventory.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2023, we had inventory totaling $11.3 million, of which non-current inventory accounted for $2.9 million. This compares to total inventories of $11.7 million and non-current inventory of $2.7 million as of December 31, 2022.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212529"/>
        </w:rPr>
        <w:t>The following table summarizes our contractual obligations as of March 31, 2023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Payment Due by Period</w:t>
            </w: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Less Than</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1-3 Years</w:t>
            </w:r>
          </w:p>
        </w:tc>
        <w:tc>
          <w:tcPr>
            <w:tcW w:w="240" w:type="dxa"/>
            <w:vAlign w:val="bottom"/>
          </w:tcPr>
          <w:p>
            <w:pPr>
              <w:spacing w:after="0"/>
              <w:rPr>
                <w:sz w:val="11"/>
                <w:szCs w:val="11"/>
                <w:color w:val="auto"/>
              </w:rPr>
            </w:pPr>
          </w:p>
        </w:tc>
        <w:tc>
          <w:tcPr>
            <w:tcW w:w="112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3-5 Years</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4"/>
                <w:szCs w:val="14"/>
                <w:b w:val="1"/>
                <w:bCs w:val="1"/>
                <w:color w:val="auto"/>
              </w:rPr>
              <w:t>More than 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99"/>
              <w:spacing w:after="0"/>
              <w:rPr>
                <w:sz w:val="20"/>
                <w:szCs w:val="20"/>
                <w:color w:val="auto"/>
              </w:rPr>
            </w:pPr>
            <w:r>
              <w:rPr>
                <w:rFonts w:ascii="Arial" w:cs="Arial" w:eastAsia="Arial" w:hAnsi="Arial"/>
                <w:sz w:val="14"/>
                <w:szCs w:val="14"/>
                <w:b w:val="1"/>
                <w:bCs w:val="1"/>
                <w:color w:val="auto"/>
              </w:rPr>
              <w:t>1 Year</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ind w:left="30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822"/>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822"/>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discussion and analysis of our results of operations and financial position are based upon our unaudited condensed consolidated financial statements included under Item 1 of this Form 10-Q, which have been prepared in conformity with accounting principles generally accepted in the United States. We review the accounting policies used in reporting our financial results on a regular basis. We believe certain of our accounting policies are critical to understanding our financial position and results of operations. There have been no changes to the critical accounting policies as explained in our Annual Report on Form 10-K for the year ended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discussion of recent accounting pronouncements, see Note 1: “Business Description, Basis of Presentation and Significant Accounting Policies” in the notes to our unaudited condensed consolidated financial statements included under Item 1 of this Form 10-Q.</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An evaluation of the effectiveness of our disclosure controls and procedures (as defined in Rules 13a-15(e) and 15d-15(e) of the Exchange Act) as of March 31, 2023 was performed under the supervision and with the participation of our management, including our Chief Executive Officer and our Principal Financial and Accounting Officer. Based upon this evaluation, our Chief Executive Officer and Chief Financial Officer concluded that, as of the end of the period covered by this Quarterly Report, our disclosure controls and procedures are effective at a reasonable assurance level as of March 31, 2023.</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as of March 31, 2023, that has materially affected, or is reasonably likely to materially affect, the Company's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14"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w:t>
      </w:r>
    </w:p>
    <w:p>
      <w:pPr>
        <w:spacing w:after="0" w:line="184"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84"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84"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98"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84"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8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Title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880" w:type="dxa"/>
            <w:vAlign w:val="bottom"/>
          </w:tcPr>
          <w:p>
            <w:pPr>
              <w:spacing w:after="0"/>
              <w:rPr>
                <w:sz w:val="20"/>
                <w:szCs w:val="20"/>
                <w:color w:val="auto"/>
              </w:rPr>
            </w:pPr>
            <w:r>
              <w:rPr>
                <w:rFonts w:ascii="Arial" w:cs="Arial" w:eastAsia="Arial" w:hAnsi="Arial"/>
                <w:sz w:val="18"/>
                <w:szCs w:val="18"/>
                <w:color w:val="0000FF"/>
                <w:w w:val="90"/>
              </w:rPr>
              <w:t>Section 302</w:t>
            </w:r>
          </w:p>
        </w:tc>
        <w:tc>
          <w:tcPr>
            <w:tcW w:w="9280" w:type="dxa"/>
            <w:vAlign w:val="bottom"/>
            <w:gridSpan w:val="3"/>
          </w:tcPr>
          <w:p>
            <w:pPr>
              <w:ind w:left="20"/>
              <w:spacing w:after="0"/>
              <w:rPr>
                <w:sz w:val="20"/>
                <w:szCs w:val="20"/>
                <w:color w:val="auto"/>
              </w:rPr>
            </w:pPr>
            <w:r>
              <w:rPr>
                <w:rFonts w:ascii="Arial" w:cs="Arial" w:eastAsia="Arial" w:hAnsi="Arial"/>
                <w:sz w:val="18"/>
                <w:szCs w:val="18"/>
                <w:color w:val="0000FF"/>
              </w:rPr>
              <w:t>Certification of Chief Executive Officer (filed herewith)</w:t>
            </w:r>
          </w:p>
        </w:tc>
      </w:tr>
      <w:tr>
        <w:trPr>
          <w:trHeight w:val="20"/>
        </w:trPr>
        <w:tc>
          <w:tcPr>
            <w:tcW w:w="10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412"/>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880" w:type="dxa"/>
            <w:vAlign w:val="bottom"/>
          </w:tcPr>
          <w:p>
            <w:pPr>
              <w:spacing w:after="0"/>
              <w:rPr>
                <w:sz w:val="20"/>
                <w:szCs w:val="20"/>
                <w:color w:val="auto"/>
              </w:rPr>
            </w:pPr>
            <w:r>
              <w:rPr>
                <w:rFonts w:ascii="Arial" w:cs="Arial" w:eastAsia="Arial" w:hAnsi="Arial"/>
                <w:sz w:val="18"/>
                <w:szCs w:val="18"/>
                <w:color w:val="0000FF"/>
                <w:w w:val="90"/>
              </w:rPr>
              <w:t>Section 302</w:t>
            </w:r>
          </w:p>
        </w:tc>
        <w:tc>
          <w:tcPr>
            <w:tcW w:w="9280" w:type="dxa"/>
            <w:vAlign w:val="bottom"/>
            <w:gridSpan w:val="3"/>
          </w:tcPr>
          <w:p>
            <w:pPr>
              <w:ind w:left="20"/>
              <w:spacing w:after="0"/>
              <w:rPr>
                <w:sz w:val="20"/>
                <w:szCs w:val="20"/>
                <w:color w:val="auto"/>
              </w:rPr>
            </w:pPr>
            <w:r>
              <w:rPr>
                <w:rFonts w:ascii="Arial" w:cs="Arial" w:eastAsia="Arial" w:hAnsi="Arial"/>
                <w:sz w:val="18"/>
                <w:szCs w:val="18"/>
                <w:color w:val="0000FF"/>
              </w:rPr>
              <w:t>Certification of Principal Financial Officer (filed herewith)</w:t>
            </w:r>
          </w:p>
        </w:tc>
      </w:tr>
      <w:tr>
        <w:trPr>
          <w:trHeight w:val="412"/>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88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0"/>
              </w:rPr>
              <w:t>Section 906</w:t>
            </w:r>
          </w:p>
        </w:tc>
        <w:tc>
          <w:tcPr>
            <w:tcW w:w="4260" w:type="dxa"/>
            <w:vAlign w:val="bottom"/>
            <w:tcBorders>
              <w:top w:val="single" w:sz="8" w:color="0000FF"/>
            </w:tcBorders>
            <w:gridSpan w:val="2"/>
          </w:tcPr>
          <w:p>
            <w:pPr>
              <w:ind w:left="20"/>
              <w:spacing w:after="0"/>
              <w:rPr>
                <w:sz w:val="20"/>
                <w:szCs w:val="20"/>
                <w:color w:val="auto"/>
              </w:rPr>
            </w:pPr>
            <w:r>
              <w:rPr>
                <w:rFonts w:ascii="Arial" w:cs="Arial" w:eastAsia="Arial" w:hAnsi="Arial"/>
                <w:sz w:val="18"/>
                <w:szCs w:val="18"/>
                <w:color w:val="0000FF"/>
                <w:w w:val="99"/>
              </w:rPr>
              <w:t>Certification of Chief Executive Officer (filed herewith)</w:t>
            </w:r>
          </w:p>
        </w:tc>
        <w:tc>
          <w:tcPr>
            <w:tcW w:w="5020" w:type="dxa"/>
            <w:vAlign w:val="bottom"/>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r>
      <w:tr>
        <w:trPr>
          <w:trHeight w:val="412"/>
        </w:trPr>
        <w:tc>
          <w:tcPr>
            <w:tcW w:w="1080" w:type="dxa"/>
            <w:vAlign w:val="bottom"/>
          </w:tcPr>
          <w:p>
            <w:pPr>
              <w:spacing w:after="0"/>
              <w:rPr>
                <w:sz w:val="20"/>
                <w:szCs w:val="20"/>
                <w:color w:val="auto"/>
              </w:rPr>
            </w:pPr>
            <w:r>
              <w:rPr>
                <w:rFonts w:ascii="Arial" w:cs="Arial" w:eastAsia="Arial" w:hAnsi="Arial"/>
                <w:sz w:val="18"/>
                <w:szCs w:val="18"/>
                <w:color w:val="auto"/>
              </w:rPr>
              <w:t>32.2</w:t>
            </w:r>
          </w:p>
        </w:tc>
        <w:tc>
          <w:tcPr>
            <w:tcW w:w="880" w:type="dxa"/>
            <w:vAlign w:val="bottom"/>
          </w:tcPr>
          <w:p>
            <w:pPr>
              <w:spacing w:after="0"/>
              <w:rPr>
                <w:sz w:val="20"/>
                <w:szCs w:val="20"/>
                <w:color w:val="auto"/>
              </w:rPr>
            </w:pPr>
            <w:r>
              <w:rPr>
                <w:rFonts w:ascii="Arial" w:cs="Arial" w:eastAsia="Arial" w:hAnsi="Arial"/>
                <w:sz w:val="18"/>
                <w:szCs w:val="18"/>
                <w:color w:val="0000FF"/>
                <w:w w:val="90"/>
              </w:rPr>
              <w:t>Section 906</w:t>
            </w:r>
          </w:p>
        </w:tc>
        <w:tc>
          <w:tcPr>
            <w:tcW w:w="9280" w:type="dxa"/>
            <w:vAlign w:val="bottom"/>
            <w:gridSpan w:val="3"/>
          </w:tcPr>
          <w:p>
            <w:pPr>
              <w:ind w:left="20"/>
              <w:spacing w:after="0"/>
              <w:rPr>
                <w:sz w:val="20"/>
                <w:szCs w:val="20"/>
                <w:color w:val="auto"/>
              </w:rPr>
            </w:pPr>
            <w:r>
              <w:rPr>
                <w:rFonts w:ascii="Arial" w:cs="Arial" w:eastAsia="Arial" w:hAnsi="Arial"/>
                <w:sz w:val="18"/>
                <w:szCs w:val="18"/>
                <w:color w:val="0000FF"/>
              </w:rPr>
              <w:t>Certification of Principal Financial Officer (filed herewith)</w:t>
            </w:r>
          </w:p>
        </w:tc>
      </w:tr>
      <w:tr>
        <w:trPr>
          <w:trHeight w:val="453"/>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514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XBRL Instance Document (filed herewith)</w:t>
            </w:r>
          </w:p>
        </w:tc>
        <w:tc>
          <w:tcPr>
            <w:tcW w:w="5020" w:type="dxa"/>
            <w:vAlign w:val="bottom"/>
          </w:tcPr>
          <w:p>
            <w:pPr>
              <w:spacing w:after="0"/>
              <w:rPr>
                <w:sz w:val="24"/>
                <w:szCs w:val="24"/>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10160" w:type="dxa"/>
            <w:vAlign w:val="bottom"/>
            <w:gridSpan w:val="4"/>
          </w:tcPr>
          <w:p>
            <w:pPr>
              <w:spacing w:after="0"/>
              <w:rPr>
                <w:sz w:val="20"/>
                <w:szCs w:val="20"/>
                <w:color w:val="auto"/>
              </w:rPr>
            </w:pPr>
            <w:r>
              <w:rPr>
                <w:rFonts w:ascii="Arial" w:cs="Arial" w:eastAsia="Arial" w:hAnsi="Arial"/>
                <w:sz w:val="18"/>
                <w:szCs w:val="18"/>
                <w:color w:val="auto"/>
              </w:rPr>
              <w:t>XBRL Taxonomy Extension Schema (filed herewith)</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1016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10160" w:type="dxa"/>
            <w:vAlign w:val="bottom"/>
            <w:gridSpan w:val="4"/>
          </w:tcPr>
          <w:p>
            <w:pPr>
              <w:spacing w:after="0"/>
              <w:rPr>
                <w:sz w:val="20"/>
                <w:szCs w:val="20"/>
                <w:color w:val="auto"/>
              </w:rPr>
            </w:pPr>
            <w:r>
              <w:rPr>
                <w:rFonts w:ascii="Arial" w:cs="Arial" w:eastAsia="Arial" w:hAnsi="Arial"/>
                <w:sz w:val="18"/>
                <w:szCs w:val="18"/>
                <w:color w:val="auto"/>
              </w:rPr>
              <w:t>XBRL Taxonomy Extension Definitions Linkbase (filed herewith)</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1016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(filed herewith)</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1016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104.1</w:t>
            </w:r>
          </w:p>
        </w:tc>
        <w:tc>
          <w:tcPr>
            <w:tcW w:w="10160" w:type="dxa"/>
            <w:vAlign w:val="bottom"/>
            <w:gridSpan w:val="4"/>
          </w:tcPr>
          <w:p>
            <w:pPr>
              <w:spacing w:after="0"/>
              <w:rPr>
                <w:sz w:val="20"/>
                <w:szCs w:val="20"/>
                <w:color w:val="auto"/>
              </w:rPr>
            </w:pPr>
            <w:r>
              <w:rPr>
                <w:rFonts w:ascii="Arial" w:cs="Arial" w:eastAsia="Arial" w:hAnsi="Arial"/>
                <w:sz w:val="18"/>
                <w:szCs w:val="18"/>
                <w:color w:val="auto"/>
              </w:rPr>
              <w:t>The cover page of this Quarterly Report on Form 10-Q, formatted in Inline XBRL.</w:t>
            </w:r>
          </w:p>
        </w:tc>
      </w:tr>
      <w:tr>
        <w:trPr>
          <w:trHeight w:val="432"/>
        </w:trPr>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60" w:type="dxa"/>
            <w:vAlign w:val="bottom"/>
          </w:tcPr>
          <w:p>
            <w:pPr>
              <w:ind w:left="358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115"/>
        </w:trPr>
        <w:tc>
          <w:tcPr>
            <w:tcW w:w="10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0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02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May 15,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May 15, 2023</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Derek L.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14605</wp:posOffset>
            </wp:positionV>
            <wp:extent cx="32835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8358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Derek L. Graham</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14605</wp:posOffset>
            </wp:positionV>
            <wp:extent cx="32835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8358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right"/>
        <w:ind w:right="1160"/>
        <w:spacing w:after="0"/>
        <w:rPr>
          <w:sz w:val="20"/>
          <w:szCs w:val="20"/>
          <w:color w:val="auto"/>
        </w:rPr>
      </w:pPr>
      <w:r>
        <w:rPr>
          <w:rFonts w:ascii="Arial" w:cs="Arial" w:eastAsia="Arial" w:hAnsi="Arial"/>
          <w:sz w:val="18"/>
          <w:szCs w:val="18"/>
          <w:i w:val="1"/>
          <w:iCs w:val="1"/>
          <w:color w:val="auto"/>
        </w:rPr>
        <w:t>(Principal Accounting and Principal Financial Officer)</w:t>
      </w:r>
    </w:p>
    <w:p>
      <w:pPr>
        <w:spacing w:after="0" w:line="203" w:lineRule="exact"/>
        <w:rPr>
          <w:sz w:val="20"/>
          <w:szCs w:val="20"/>
          <w:color w:val="auto"/>
        </w:rPr>
      </w:pPr>
    </w:p>
    <w:p>
      <w:pPr>
        <w:sectPr>
          <w:pgSz w:w="11900" w:h="16838" w:orient="portrait"/>
          <w:cols w:equalWidth="0" w:num="2">
            <w:col w:w="4900" w:space="720"/>
            <w:col w:w="5620"/>
          </w:cols>
          <w:pgMar w:left="320" w:top="125" w:right="339" w:bottom="1440" w:gutter="0" w:footer="0" w:header="0"/>
          <w:type w:val="continuous"/>
        </w:sect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ind w:left="101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Derek L. Graham, certify that:</w:t>
      </w:r>
    </w:p>
    <w:p>
      <w:pPr>
        <w:spacing w:after="0" w:line="225" w:lineRule="exact"/>
        <w:rPr>
          <w:sz w:val="20"/>
          <w:szCs w:val="20"/>
          <w:color w:val="auto"/>
        </w:rPr>
      </w:pPr>
    </w:p>
    <w:p>
      <w:pPr>
        <w:ind w:left="340" w:hanging="331"/>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38" w:lineRule="exact"/>
        <w:rPr>
          <w:rFonts w:ascii="Arial" w:cs="Arial" w:eastAsia="Arial" w:hAnsi="Arial"/>
          <w:sz w:val="18"/>
          <w:szCs w:val="18"/>
          <w:color w:val="auto"/>
        </w:rPr>
      </w:pPr>
    </w:p>
    <w:p>
      <w:pPr>
        <w:jc w:val="both"/>
        <w:ind w:left="340" w:hanging="331"/>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1"/>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1"/>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80" w:hanging="335"/>
        <w:spacing w:after="0" w:line="263" w:lineRule="auto"/>
        <w:tabs>
          <w:tab w:leader="none" w:pos="6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80" w:hanging="335"/>
        <w:spacing w:after="0" w:line="263" w:lineRule="auto"/>
        <w:tabs>
          <w:tab w:leader="none" w:pos="6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80" w:hanging="335"/>
        <w:spacing w:after="0" w:line="308" w:lineRule="auto"/>
        <w:tabs>
          <w:tab w:leader="none" w:pos="680"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80" w:hanging="335"/>
        <w:spacing w:after="0" w:line="263" w:lineRule="auto"/>
        <w:tabs>
          <w:tab w:leader="none" w:pos="6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80" w:hanging="335"/>
        <w:spacing w:after="0" w:line="277" w:lineRule="auto"/>
        <w:tabs>
          <w:tab w:leader="none" w:pos="6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0" w:hanging="335"/>
        <w:spacing w:after="0" w:line="277" w:lineRule="auto"/>
        <w:tabs>
          <w:tab w:leader="none" w:pos="6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7900" w:type="dxa"/>
            <w:vAlign w:val="bottom"/>
            <w:gridSpan w:val="2"/>
          </w:tcPr>
          <w:p>
            <w:pPr>
              <w:ind w:left="2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Derek L. Graham</w:t>
            </w:r>
          </w:p>
        </w:tc>
      </w:tr>
      <w:tr>
        <w:trPr>
          <w:trHeight w:val="195"/>
        </w:trPr>
        <w:tc>
          <w:tcPr>
            <w:tcW w:w="33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Derek L. Graham</w:t>
            </w:r>
          </w:p>
        </w:tc>
      </w:tr>
      <w:tr>
        <w:trPr>
          <w:trHeight w:val="216"/>
        </w:trPr>
        <w:tc>
          <w:tcPr>
            <w:tcW w:w="33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May 15, 2023</w:t>
            </w:r>
          </w:p>
        </w:tc>
        <w:tc>
          <w:tcPr>
            <w:tcW w:w="26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80" w:hanging="335"/>
        <w:spacing w:after="0" w:line="263" w:lineRule="auto"/>
        <w:tabs>
          <w:tab w:leader="none" w:pos="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80" w:hanging="335"/>
        <w:spacing w:after="0" w:line="263" w:lineRule="auto"/>
        <w:tabs>
          <w:tab w:leader="none" w:pos="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80" w:hanging="335"/>
        <w:spacing w:after="0" w:line="308" w:lineRule="auto"/>
        <w:tabs>
          <w:tab w:leader="none" w:pos="68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80" w:hanging="335"/>
        <w:spacing w:after="0" w:line="263" w:lineRule="auto"/>
        <w:tabs>
          <w:tab w:leader="none" w:pos="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80" w:hanging="335"/>
        <w:spacing w:after="0" w:line="277" w:lineRule="auto"/>
        <w:tabs>
          <w:tab w:leader="none" w:pos="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0" w:hanging="335"/>
        <w:spacing w:after="0" w:line="277" w:lineRule="auto"/>
        <w:tabs>
          <w:tab w:leader="none" w:pos="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7900" w:type="dxa"/>
            <w:vAlign w:val="bottom"/>
            <w:gridSpan w:val="2"/>
          </w:tcPr>
          <w:p>
            <w:pPr>
              <w:ind w:left="2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195"/>
        </w:trPr>
        <w:tc>
          <w:tcPr>
            <w:tcW w:w="33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33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May 15, 2023</w:t>
            </w:r>
          </w:p>
        </w:tc>
        <w:tc>
          <w:tcPr>
            <w:tcW w:w="26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bl>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Derek L. Graham, certify, to my best knowledge and belief, pursuant to 18 U.S.C. Section 1350, as adopted pursuant to Section 906 of the Sarbanes-Oxley Act of 2002, that the Quarterly Report of ClearOne, Inc. on Form 10-Q for the quarter ended March 31, 2023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7900" w:type="dxa"/>
            <w:vAlign w:val="bottom"/>
            <w:gridSpan w:val="2"/>
          </w:tcPr>
          <w:p>
            <w:pPr>
              <w:ind w:left="2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Derek L. Graham</w:t>
            </w:r>
          </w:p>
        </w:tc>
      </w:tr>
      <w:tr>
        <w:trPr>
          <w:trHeight w:val="195"/>
        </w:trPr>
        <w:tc>
          <w:tcPr>
            <w:tcW w:w="33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Derek L. Graham</w:t>
            </w:r>
          </w:p>
        </w:tc>
      </w:tr>
      <w:tr>
        <w:trPr>
          <w:trHeight w:val="216"/>
        </w:trPr>
        <w:tc>
          <w:tcPr>
            <w:tcW w:w="33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May 15, 2023</w:t>
            </w:r>
          </w:p>
        </w:tc>
        <w:tc>
          <w:tcPr>
            <w:tcW w:w="26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Narsi Narayanan, certify, to my best knowledge and belief, pursuant to 18 U.S.C. Section 1350, as adopted pursuant to Section 906 of the Sarbanes-Oxley Act of 2002, that the Quarterly Report of ClearOne, Inc. on Form 10-Q for the quarter ended March 31, 2023,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7900" w:type="dxa"/>
            <w:vAlign w:val="bottom"/>
            <w:gridSpan w:val="2"/>
          </w:tcPr>
          <w:p>
            <w:pPr>
              <w:ind w:left="2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195"/>
        </w:trPr>
        <w:tc>
          <w:tcPr>
            <w:tcW w:w="33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33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May 15, 2023</w:t>
            </w:r>
          </w:p>
        </w:tc>
        <w:tc>
          <w:tcPr>
            <w:tcW w:w="26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2023-05-15T15:59:35Z</dcterms:created>
  <dcterms:modified xsi:type="dcterms:W3CDTF">2023-05-15T15:59:35Z</dcterms:modified>
</cp:coreProperties>
</file>