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August 25, 2020</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ClearOne,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Delaware</w:t>
            </w:r>
          </w:p>
        </w:tc>
        <w:tc>
          <w:tcPr>
            <w:tcW w:w="1780" w:type="dxa"/>
            <w:vAlign w:val="bottom"/>
            <w:gridSpan w:val="2"/>
          </w:tcPr>
          <w:p>
            <w:pPr>
              <w:jc w:val="center"/>
              <w:ind w:left="350"/>
              <w:spacing w:after="0"/>
              <w:rPr>
                <w:sz w:val="20"/>
                <w:szCs w:val="20"/>
                <w:color w:val="auto"/>
              </w:rPr>
            </w:pPr>
            <w:r>
              <w:rPr>
                <w:rFonts w:ascii="Arial" w:cs="Arial" w:eastAsia="Arial" w:hAnsi="Arial"/>
                <w:sz w:val="18"/>
                <w:szCs w:val="18"/>
                <w:b w:val="1"/>
                <w:bCs w:val="1"/>
                <w:color w:val="auto"/>
                <w:w w:val="90"/>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Arial" w:cs="Arial" w:eastAsia="Arial" w:hAnsi="Arial"/>
                <w:sz w:val="18"/>
                <w:szCs w:val="18"/>
                <w:b w:val="1"/>
                <w:bCs w:val="1"/>
                <w:color w:val="auto"/>
              </w:rPr>
              <w:t>87-0398877</w:t>
            </w:r>
          </w:p>
        </w:tc>
      </w:tr>
      <w:tr>
        <w:trPr>
          <w:trHeight w:val="224"/>
        </w:trPr>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color w:val="auto"/>
                <w:w w:val="97"/>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Arial" w:cs="Arial" w:eastAsia="Arial" w:hAnsi="Arial"/>
                <w:sz w:val="18"/>
                <w:szCs w:val="18"/>
                <w:color w:val="auto"/>
                <w:w w:val="93"/>
              </w:rPr>
              <w:t>(I.R.S. Employer Identification No.)</w:t>
            </w:r>
          </w:p>
        </w:tc>
      </w:tr>
      <w:tr>
        <w:trPr>
          <w:trHeight w:val="418"/>
        </w:trPr>
        <w:tc>
          <w:tcPr>
            <w:tcW w:w="7640" w:type="dxa"/>
            <w:vAlign w:val="bottom"/>
            <w:gridSpan w:val="8"/>
          </w:tcPr>
          <w:p>
            <w:pPr>
              <w:jc w:val="center"/>
              <w:ind w:right="20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3600" w:type="dxa"/>
            <w:vAlign w:val="bottom"/>
          </w:tcPr>
          <w:p>
            <w:pPr>
              <w:jc w:val="right"/>
              <w:ind w:right="1490"/>
              <w:spacing w:after="0"/>
              <w:rPr>
                <w:sz w:val="20"/>
                <w:szCs w:val="20"/>
                <w:color w:val="auto"/>
              </w:rPr>
            </w:pPr>
            <w:r>
              <w:rPr>
                <w:rFonts w:ascii="Arial" w:cs="Arial" w:eastAsia="Arial" w:hAnsi="Arial"/>
                <w:sz w:val="18"/>
                <w:szCs w:val="18"/>
                <w:b w:val="1"/>
                <w:bCs w:val="1"/>
                <w:color w:val="auto"/>
              </w:rPr>
              <w:t>84116</w:t>
            </w:r>
          </w:p>
        </w:tc>
      </w:tr>
      <w:tr>
        <w:trPr>
          <w:trHeight w:val="224"/>
        </w:trPr>
        <w:tc>
          <w:tcPr>
            <w:tcW w:w="7440" w:type="dxa"/>
            <w:vAlign w:val="bottom"/>
            <w:tcBorders>
              <w:top w:val="single" w:sz="8" w:color="auto"/>
            </w:tcBorders>
            <w:gridSpan w:val="7"/>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377"/>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Arial" w:cs="Arial" w:eastAsia="Arial" w:hAnsi="Arial"/>
                <w:sz w:val="18"/>
                <w:szCs w:val="18"/>
                <w:color w:val="auto"/>
                <w:w w:val="89"/>
              </w:rPr>
              <w:t>(Registrant’s telephone number, including area code)</w:t>
            </w: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 under the Exchange Act (17 CFR 240.13e-4©)</w:t>
      </w:r>
    </w:p>
    <w:p>
      <w:pPr>
        <w:spacing w:after="0" w:line="209"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17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Trading Symbol(s)</w:t>
            </w:r>
          </w:p>
        </w:tc>
        <w:tc>
          <w:tcPr>
            <w:tcW w:w="1440" w:type="dxa"/>
            <w:vAlign w:val="bottom"/>
          </w:tcPr>
          <w:p>
            <w:pPr>
              <w:spacing w:after="0"/>
              <w:rPr>
                <w:sz w:val="18"/>
                <w:szCs w:val="18"/>
                <w:color w:val="auto"/>
              </w:rPr>
            </w:pPr>
          </w:p>
        </w:tc>
        <w:tc>
          <w:tcPr>
            <w:tcW w:w="4160" w:type="dxa"/>
            <w:vAlign w:val="bottom"/>
            <w:gridSpan w:val="2"/>
          </w:tcPr>
          <w:p>
            <w:pPr>
              <w:jc w:val="center"/>
              <w:ind w:right="98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4280" w:type="dxa"/>
            <w:vAlign w:val="bottom"/>
            <w:gridSpan w:val="3"/>
          </w:tcPr>
          <w:p>
            <w:pPr>
              <w:jc w:val="center"/>
              <w:ind w:right="460"/>
              <w:spacing w:after="0"/>
              <w:rPr>
                <w:sz w:val="20"/>
                <w:szCs w:val="20"/>
                <w:color w:val="auto"/>
              </w:rPr>
            </w:pPr>
            <w:r>
              <w:rPr>
                <w:rFonts w:ascii="Arial" w:cs="Arial" w:eastAsia="Arial" w:hAnsi="Arial"/>
                <w:sz w:val="18"/>
                <w:szCs w:val="18"/>
                <w:color w:val="auto"/>
                <w:w w:val="90"/>
              </w:rPr>
              <w:t>Common Stock, $0.001</w:t>
            </w:r>
          </w:p>
        </w:tc>
        <w:tc>
          <w:tcPr>
            <w:tcW w:w="2800" w:type="dxa"/>
            <w:vAlign w:val="bottom"/>
            <w:gridSpan w:val="2"/>
          </w:tcPr>
          <w:p>
            <w:pPr>
              <w:jc w:val="center"/>
              <w:ind w:right="1440"/>
              <w:spacing w:after="0"/>
              <w:rPr>
                <w:sz w:val="20"/>
                <w:szCs w:val="20"/>
                <w:color w:val="auto"/>
              </w:rPr>
            </w:pPr>
            <w:r>
              <w:rPr>
                <w:rFonts w:ascii="Arial" w:cs="Arial" w:eastAsia="Arial" w:hAnsi="Arial"/>
                <w:sz w:val="18"/>
                <w:szCs w:val="18"/>
                <w:color w:val="auto"/>
                <w:w w:val="95"/>
              </w:rPr>
              <w:t>CLRO</w:t>
            </w:r>
          </w:p>
        </w:tc>
        <w:tc>
          <w:tcPr>
            <w:tcW w:w="4160" w:type="dxa"/>
            <w:vAlign w:val="bottom"/>
            <w:gridSpan w:val="2"/>
          </w:tcPr>
          <w:p>
            <w:pPr>
              <w:jc w:val="center"/>
              <w:ind w:right="960"/>
              <w:spacing w:after="0"/>
              <w:rPr>
                <w:sz w:val="20"/>
                <w:szCs w:val="20"/>
                <w:color w:val="auto"/>
              </w:rPr>
            </w:pPr>
            <w:r>
              <w:rPr>
                <w:rFonts w:ascii="Arial" w:cs="Arial" w:eastAsia="Arial" w:hAnsi="Arial"/>
                <w:sz w:val="18"/>
                <w:szCs w:val="18"/>
                <w:color w:val="auto"/>
                <w:w w:val="94"/>
              </w:rPr>
              <w:t>The NASDAQ Capital Market</w:t>
            </w:r>
          </w:p>
        </w:tc>
      </w:tr>
      <w:tr>
        <w:trPr>
          <w:trHeight w:val="317"/>
        </w:trPr>
        <w:tc>
          <w:tcPr>
            <w:tcW w:w="1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162" w:lineRule="exact"/>
        <w:rPr>
          <w:sz w:val="20"/>
          <w:szCs w:val="20"/>
          <w:color w:val="auto"/>
        </w:rPr>
      </w:pPr>
    </w:p>
    <w:p>
      <w:pPr>
        <w:ind w:right="180" w:firstLine="630"/>
        <w:spacing w:after="0" w:line="255" w:lineRule="auto"/>
        <w:rPr>
          <w:sz w:val="20"/>
          <w:szCs w:val="20"/>
          <w:color w:val="auto"/>
        </w:rPr>
      </w:pPr>
      <w:r>
        <w:rPr>
          <w:rFonts w:ascii="Arial" w:cs="Arial" w:eastAsia="Arial" w:hAnsi="Arial"/>
          <w:sz w:val="18"/>
          <w:szCs w:val="18"/>
          <w:color w:val="auto"/>
        </w:rPr>
        <w:t>ClearOne, Inc. (the “Company”) is filing this Current Report on Form 8-K to provide certain updates to ongoing material legal proceedings (the “Litigation Updates”) that have occurred subsequent to the end of the Company’s most recently completed fiscal quarter ended June 30, 2020. The Litigation Updates are being furnished on this Current Report on Form 8-K in lieu of the Company’s next Quarterly Report on Form 10-Q for the fiscal quarter ending September 30, 2020 to provide disclosure of the Litigation Updates under the Securities Exchange Act of 1934, as amended, concurrently with the disclosure of the Litigation Updates in the Company’s registration statement on Form S-3 being filed with the Securities and Exchange Commission on the date hereof.</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is involved in litigation against Shure Incorporated (“Shure”) as further described in Part I, Item 3 of the Company’s Annual Report on Form 10-K for the year ended December 31, 2019 (the “Annual Report”), which information is incorporated herein by reference. The following recent developments amend and supplement the disclosure of the ongoing litigation proceedings against Shure as follows:</w:t>
      </w:r>
    </w:p>
    <w:p>
      <w:pPr>
        <w:spacing w:after="0" w:line="125" w:lineRule="exact"/>
        <w:rPr>
          <w:sz w:val="20"/>
          <w:szCs w:val="20"/>
          <w:color w:val="auto"/>
        </w:rPr>
      </w:pPr>
    </w:p>
    <w:p>
      <w:pPr>
        <w:ind w:left="980" w:hanging="473"/>
        <w:spacing w:after="0" w:line="282" w:lineRule="auto"/>
        <w:tabs>
          <w:tab w:leader="none" w:pos="980" w:val="left"/>
        </w:tabs>
        <w:numPr>
          <w:ilvl w:val="0"/>
          <w:numId w:val="2"/>
        </w:numPr>
        <w:rPr>
          <w:rFonts w:ascii="Arial" w:cs="Arial" w:eastAsia="Arial" w:hAnsi="Arial"/>
          <w:sz w:val="19"/>
          <w:szCs w:val="19"/>
          <w:color w:val="auto"/>
        </w:rPr>
      </w:pPr>
      <w:r>
        <w:rPr>
          <w:rFonts w:ascii="Arial" w:cs="Arial" w:eastAsia="Arial" w:hAnsi="Arial"/>
          <w:sz w:val="16"/>
          <w:szCs w:val="16"/>
          <w:u w:val="single" w:color="auto"/>
          <w:color w:val="auto"/>
        </w:rPr>
        <w:t>Shure, Incorporated v. ClearOne, Inc.</w:t>
      </w:r>
      <w:r>
        <w:rPr>
          <w:rFonts w:ascii="Arial" w:cs="Arial" w:eastAsia="Arial" w:hAnsi="Arial"/>
          <w:sz w:val="16"/>
          <w:szCs w:val="16"/>
          <w:color w:val="auto"/>
        </w:rPr>
        <w:t>, 17-cv-3078 (N.D. of Illinois) - In this matter, the Company asserts that Shure’s MXA910, MXA910-A, and MXA910-US infringes two ClearOne patents: U.S. Patent No. 9,635,186 (the “’186 Patent”) and U.S. Patent No. 9,813,806 (the “’806 Patent”). On July 9, 2020, the Company moved for summary judgment, or partial summary judgment, of infringement by Shure of the ’186 and ’806 patents, and Shure moved on the same day for summary judgment of invalidity of the ’186 and ’806 patents. On August 12, Shure also moved for summary judgment on various other aspects of the Company’s infringement claims, including arguing that the MXA910 after a recent firmware update does not infringe the ’186 Patent, that the MXA910-A and MXA910-US do not infringe the ’806 Patent, and that the Company is not entitled to lost profits or treble damages. The motions remain pending.</w:t>
      </w:r>
    </w:p>
    <w:p>
      <w:pPr>
        <w:spacing w:after="0" w:line="282" w:lineRule="exact"/>
        <w:rPr>
          <w:rFonts w:ascii="Arial" w:cs="Arial" w:eastAsia="Arial" w:hAnsi="Arial"/>
          <w:sz w:val="19"/>
          <w:szCs w:val="19"/>
          <w:color w:val="auto"/>
        </w:rPr>
      </w:pPr>
    </w:p>
    <w:p>
      <w:pPr>
        <w:ind w:left="980" w:hanging="473"/>
        <w:spacing w:after="0" w:line="262" w:lineRule="auto"/>
        <w:tabs>
          <w:tab w:leader="none" w:pos="980" w:val="left"/>
        </w:tabs>
        <w:numPr>
          <w:ilvl w:val="0"/>
          <w:numId w:val="2"/>
        </w:numPr>
        <w:rPr>
          <w:rFonts w:ascii="Arial" w:cs="Arial" w:eastAsia="Arial" w:hAnsi="Arial"/>
          <w:sz w:val="21"/>
          <w:szCs w:val="21"/>
          <w:color w:val="auto"/>
        </w:rPr>
      </w:pPr>
      <w:r>
        <w:rPr>
          <w:rFonts w:ascii="Arial" w:cs="Arial" w:eastAsia="Arial" w:hAnsi="Arial"/>
          <w:sz w:val="17"/>
          <w:szCs w:val="17"/>
          <w:u w:val="single" w:color="auto"/>
          <w:color w:val="auto"/>
        </w:rPr>
        <w:t>ClearOne, Inc. v. Shure, Incorporated,</w:t>
      </w:r>
      <w:r>
        <w:rPr>
          <w:rFonts w:ascii="Arial" w:cs="Arial" w:eastAsia="Arial" w:hAnsi="Arial"/>
          <w:sz w:val="17"/>
          <w:szCs w:val="17"/>
          <w:color w:val="auto"/>
        </w:rPr>
        <w:t xml:space="preserve"> IPR2019-00683. On August 14, 2020, the Patent Trial and Appeals Board (the “PTAB”) issued its final written decision in this matter, holding that all but two of the original claims in Shure’s U.S. Patent No. 9,565,493 (the “’493 Patent”), claims 6 and 34, are unpatentable in light of the Company’s U.S. Patent No. 9,813,806 and other prior art, and granting Shure’s request to amend 11 claims. On August 24, the Company filed a request for rehearing with the PTAB, arguing that the eleven amended claims are not patentable because Shure withheld from the PTAB two allegedly material references that render those claims unpatentable. That request is pending. Also on August 24, the Company filed a request for sanctions with the PTAB, arguing that Shure’s failure to disclose two material references to the PTAB violated Shure’s duty of candor.</w:t>
      </w:r>
    </w:p>
    <w:p>
      <w:pPr>
        <w:spacing w:after="0" w:line="292" w:lineRule="exact"/>
        <w:rPr>
          <w:rFonts w:ascii="Arial" w:cs="Arial" w:eastAsia="Arial" w:hAnsi="Arial"/>
          <w:sz w:val="21"/>
          <w:szCs w:val="21"/>
          <w:color w:val="auto"/>
        </w:rPr>
      </w:pPr>
    </w:p>
    <w:p>
      <w:pPr>
        <w:ind w:left="980" w:hanging="473"/>
        <w:spacing w:after="0" w:line="263" w:lineRule="auto"/>
        <w:tabs>
          <w:tab w:leader="none" w:pos="980" w:val="left"/>
        </w:tabs>
        <w:numPr>
          <w:ilvl w:val="0"/>
          <w:numId w:val="2"/>
        </w:numPr>
        <w:rPr>
          <w:rFonts w:ascii="Arial" w:cs="Arial" w:eastAsia="Arial" w:hAnsi="Arial"/>
          <w:sz w:val="21"/>
          <w:szCs w:val="21"/>
          <w:color w:val="auto"/>
        </w:rPr>
      </w:pPr>
      <w:r>
        <w:rPr>
          <w:rFonts w:ascii="Arial" w:cs="Arial" w:eastAsia="Arial" w:hAnsi="Arial"/>
          <w:sz w:val="17"/>
          <w:szCs w:val="17"/>
          <w:u w:val="single" w:color="auto"/>
          <w:color w:val="auto"/>
        </w:rPr>
        <w:t>Shure, Incorporated, et al. v. ClearOne, Inc.,</w:t>
      </w:r>
      <w:r>
        <w:rPr>
          <w:rFonts w:ascii="Arial" w:cs="Arial" w:eastAsia="Arial" w:hAnsi="Arial"/>
          <w:sz w:val="17"/>
          <w:szCs w:val="17"/>
          <w:color w:val="auto"/>
        </w:rPr>
        <w:t xml:space="preserve"> 19-cv-1343 (D. of Delaware). On April 14, 2020, Shure moved for a temporary restraining order and preliminary injunction to prevent the Company from selling the BMA CT and BMA CTH, alleging that these products infringed Shure’s U.S. Patent D865723 (the “D’723 Patent”). The Company opposed the motions, and on May 1, Magistrate Judge Burke issued a report and recommendation denying Shure’s request for a temporary restraining order, finding that Shure had failed to show that it would suffer irreparable harm in the absence of injunctive relief and that ClearOne had raised a “substantial question” as to the validity of the D’723 Patent (“R&amp;R”). On May 8, Shure filed objections to the R&amp;R with the district court judge, and on May 15, the Company filed a response to Shure’s objections. Shure’s objections remain pending. Shure’s motion for a preliminary injunction also remains pending, and a hearing on the motion is scheduled for September 21. On July 28, the Court held a claim construction hearing on the D’723 Patent. On August 24, the parties informed the Court by letter of the PTAB’s final written decision in IPR2019-00683. In that letter, Shure indicated that it intended to assert “some or all of the amended new claims . . . once the [PTAB] issues a certificate confirming those claims,” which is not expected to occur for several months. Shure also informed the Court that it “does not currently plan to assert original claims 6 and 34 in the present litigation” and that it “is currently considering whether it will appeal the [PTAB’s] decision as to the claims found unpatentable.” In light of its request for rehearing, the Company requested that the stay remain in place</w:t>
      </w:r>
    </w:p>
    <w:p>
      <w:pPr>
        <w:spacing w:after="0" w:line="296" w:lineRule="exact"/>
        <w:rPr>
          <w:rFonts w:ascii="Arial" w:cs="Arial" w:eastAsia="Arial" w:hAnsi="Arial"/>
          <w:sz w:val="21"/>
          <w:szCs w:val="21"/>
          <w:color w:val="auto"/>
        </w:rPr>
      </w:pPr>
    </w:p>
    <w:p>
      <w:pPr>
        <w:ind w:left="980" w:hanging="473"/>
        <w:spacing w:after="0" w:line="283" w:lineRule="auto"/>
        <w:tabs>
          <w:tab w:leader="none" w:pos="980" w:val="left"/>
        </w:tabs>
        <w:numPr>
          <w:ilvl w:val="0"/>
          <w:numId w:val="2"/>
        </w:numPr>
        <w:rPr>
          <w:rFonts w:ascii="Arial" w:cs="Arial" w:eastAsia="Arial" w:hAnsi="Arial"/>
          <w:sz w:val="19"/>
          <w:szCs w:val="19"/>
          <w:color w:val="auto"/>
        </w:rPr>
      </w:pPr>
      <w:r>
        <w:rPr>
          <w:rFonts w:ascii="Arial" w:cs="Arial" w:eastAsia="Arial" w:hAnsi="Arial"/>
          <w:sz w:val="16"/>
          <w:szCs w:val="16"/>
          <w:u w:val="single" w:color="auto"/>
          <w:color w:val="auto"/>
        </w:rPr>
        <w:t>ClearOne, Inc. v. Shure, Incorporated, et al.</w:t>
      </w:r>
      <w:r>
        <w:rPr>
          <w:rFonts w:ascii="Arial" w:cs="Arial" w:eastAsia="Arial" w:hAnsi="Arial"/>
          <w:sz w:val="16"/>
          <w:szCs w:val="16"/>
          <w:color w:val="auto"/>
        </w:rPr>
        <w:t>, 19-cv-7285 (N.D. of Illinois) – In this matter, the Company sought a declaratory judgment of non-infringement of Shure’s D’723 Patent. The parties disputed where Shure’s D’723 Patent should be litigated. The Company argued that it should be litigated in this case in the Northern District of Illinois. Shure argued that it should be litigated in Case No. 19-cv-1343 in Delaware (discussed in the preceding section). The Delaware court decided that the dispute over the D’723 Patent should be decided in the District of Delaware. Therefore, the Company voluntarily dismissed its action in the Northern District of Illinois without prejudice.</w:t>
      </w:r>
    </w:p>
    <w:p>
      <w:pPr>
        <w:spacing w:after="0" w:line="224" w:lineRule="exact"/>
        <w:rPr>
          <w:rFonts w:ascii="Arial" w:cs="Arial" w:eastAsia="Arial" w:hAnsi="Arial"/>
          <w:sz w:val="19"/>
          <w:szCs w:val="19"/>
          <w:color w:val="auto"/>
        </w:rPr>
      </w:pPr>
    </w:p>
    <w:p>
      <w:pPr>
        <w:ind w:left="980" w:hanging="473"/>
        <w:spacing w:after="0" w:line="259" w:lineRule="auto"/>
        <w:tabs>
          <w:tab w:leader="none" w:pos="980" w:val="left"/>
        </w:tabs>
        <w:numPr>
          <w:ilvl w:val="0"/>
          <w:numId w:val="2"/>
        </w:numPr>
        <w:rPr>
          <w:rFonts w:ascii="Arial" w:cs="Arial" w:eastAsia="Arial" w:hAnsi="Arial"/>
          <w:sz w:val="21"/>
          <w:szCs w:val="21"/>
          <w:color w:val="auto"/>
        </w:rPr>
      </w:pPr>
      <w:r>
        <w:rPr>
          <w:rFonts w:ascii="Arial" w:cs="Arial" w:eastAsia="Arial" w:hAnsi="Arial"/>
          <w:sz w:val="17"/>
          <w:szCs w:val="17"/>
          <w:u w:val="single" w:color="auto"/>
          <w:color w:val="auto"/>
        </w:rPr>
        <w:t>Shure, Incorporated v. ClearOne. Inc.,</w:t>
      </w:r>
      <w:r>
        <w:rPr>
          <w:rFonts w:ascii="Arial" w:cs="Arial" w:eastAsia="Arial" w:hAnsi="Arial"/>
          <w:sz w:val="17"/>
          <w:szCs w:val="17"/>
          <w:color w:val="auto"/>
        </w:rPr>
        <w:t xml:space="preserve"> PGR2020-00079 (PTAB). In this matter, Shure challenges the patentability of the Company’s U.S. Patent No. 10,728,653 in a post grant review proceeding before the PTAB. The petition was filed on July 28, 2020, and the Company may file a response within three months. The PTAB will decide whether to grant the petition to institute the proceeding within five months of the petition, and if the PTAB institutes the proceeding, a final determination must be made no more than one year 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91"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7900" w:type="dxa"/>
            <w:vAlign w:val="bottom"/>
            <w:gridSpan w:val="2"/>
          </w:tcPr>
          <w:p>
            <w:pPr>
              <w:ind w:left="1700"/>
              <w:spacing w:after="0"/>
              <w:rPr>
                <w:sz w:val="20"/>
                <w:szCs w:val="20"/>
                <w:color w:val="auto"/>
              </w:rPr>
            </w:pPr>
            <w:r>
              <w:rPr>
                <w:rFonts w:ascii="Arial" w:cs="Arial" w:eastAsia="Arial" w:hAnsi="Arial"/>
                <w:sz w:val="18"/>
                <w:szCs w:val="18"/>
                <w:color w:val="auto"/>
              </w:rPr>
              <w:t>CLEARONE, INC.</w:t>
            </w:r>
          </w:p>
        </w:tc>
      </w:tr>
      <w:tr>
        <w:trPr>
          <w:trHeight w:val="459"/>
        </w:trPr>
        <w:tc>
          <w:tcPr>
            <w:tcW w:w="3340" w:type="dxa"/>
            <w:vAlign w:val="bottom"/>
          </w:tcPr>
          <w:p>
            <w:pPr>
              <w:spacing w:after="0"/>
              <w:rPr>
                <w:sz w:val="20"/>
                <w:szCs w:val="20"/>
                <w:color w:val="auto"/>
              </w:rPr>
            </w:pPr>
            <w:r>
              <w:rPr>
                <w:rFonts w:ascii="Arial" w:cs="Arial" w:eastAsia="Arial" w:hAnsi="Arial"/>
                <w:sz w:val="18"/>
                <w:szCs w:val="18"/>
                <w:color w:val="auto"/>
              </w:rPr>
              <w:t>Date: August 25, 2020</w:t>
            </w:r>
          </w:p>
        </w:tc>
        <w:tc>
          <w:tcPr>
            <w:tcW w:w="7900" w:type="dxa"/>
            <w:vAlign w:val="bottom"/>
            <w:gridSpan w:val="2"/>
          </w:tcPr>
          <w:p>
            <w:pPr>
              <w:ind w:left="17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i w:val="1"/>
                <w:iCs w:val="1"/>
                <w:color w:val="auto"/>
              </w:rPr>
              <w:t>/s/ Zeynep Hakimoglu</w:t>
            </w:r>
          </w:p>
        </w:tc>
      </w:tr>
      <w:tr>
        <w:trPr>
          <w:trHeight w:val="224"/>
        </w:trPr>
        <w:tc>
          <w:tcPr>
            <w:tcW w:w="33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5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Zeynep Hakimoglu</w:t>
            </w:r>
          </w:p>
        </w:tc>
      </w:tr>
      <w:tr>
        <w:trPr>
          <w:trHeight w:val="445"/>
        </w:trPr>
        <w:tc>
          <w:tcPr>
            <w:tcW w:w="33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bl>
    <w:p>
      <w:pPr>
        <w:spacing w:after="0" w:line="1" w:lineRule="exact"/>
        <w:rPr>
          <w:sz w:val="20"/>
          <w:szCs w:val="20"/>
          <w:color w:val="auto"/>
        </w:rPr>
      </w:pP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2020-08-25T15:13:22Z</dcterms:created>
  <dcterms:modified xsi:type="dcterms:W3CDTF">2020-08-25T15:13:22Z</dcterms:modified>
</cp:coreProperties>
</file>