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November 8, 2016</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ClearOne,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Utah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940" w:type="dxa"/>
            <w:vAlign w:val="bottom"/>
          </w:tcPr>
          <w:p>
            <w:pPr>
              <w:jc w:val="center"/>
              <w:ind w:left="630"/>
              <w:spacing w:after="0"/>
              <w:rPr>
                <w:sz w:val="20"/>
                <w:szCs w:val="20"/>
                <w:color w:val="auto"/>
              </w:rPr>
            </w:pPr>
            <w:r>
              <w:rPr>
                <w:rFonts w:ascii="Arial" w:cs="Arial" w:eastAsia="Arial" w:hAnsi="Arial"/>
                <w:sz w:val="18"/>
                <w:szCs w:val="18"/>
                <w:b w:val="1"/>
                <w:bCs w:val="1"/>
                <w:color w:val="auto"/>
                <w:w w:val="94"/>
              </w:rPr>
              <w:t>Utah</w:t>
            </w:r>
          </w:p>
        </w:tc>
        <w:tc>
          <w:tcPr>
            <w:tcW w:w="3460" w:type="dxa"/>
            <w:vAlign w:val="bottom"/>
            <w:gridSpan w:val="4"/>
          </w:tcPr>
          <w:p>
            <w:pPr>
              <w:jc w:val="center"/>
              <w:ind w:left="2030"/>
              <w:spacing w:after="0"/>
              <w:rPr>
                <w:sz w:val="20"/>
                <w:szCs w:val="20"/>
                <w:color w:val="auto"/>
              </w:rPr>
            </w:pPr>
            <w:r>
              <w:rPr>
                <w:rFonts w:ascii="Arial" w:cs="Arial" w:eastAsia="Arial" w:hAnsi="Arial"/>
                <w:sz w:val="18"/>
                <w:szCs w:val="18"/>
                <w:b w:val="1"/>
                <w:bCs w:val="1"/>
                <w:color w:val="auto"/>
                <w:w w:val="90"/>
              </w:rPr>
              <w:t>001-33660</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87-0398877</w:t>
            </w:r>
          </w:p>
        </w:tc>
      </w:tr>
      <w:tr>
        <w:trPr>
          <w:trHeight w:val="48"/>
        </w:trPr>
        <w:tc>
          <w:tcPr>
            <w:tcW w:w="29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440" w:type="dxa"/>
            <w:vAlign w:val="bottom"/>
            <w:tcBorders>
              <w:bottom w:val="single" w:sz="8" w:color="auto"/>
            </w:tcBorders>
          </w:tcPr>
          <w:p>
            <w:pPr>
              <w:spacing w:after="0"/>
              <w:rPr>
                <w:sz w:val="4"/>
                <w:szCs w:val="4"/>
                <w:color w:val="auto"/>
              </w:rPr>
            </w:pPr>
          </w:p>
        </w:tc>
      </w:tr>
      <w:tr>
        <w:trPr>
          <w:trHeight w:val="202"/>
        </w:trPr>
        <w:tc>
          <w:tcPr>
            <w:tcW w:w="2940" w:type="dxa"/>
            <w:vAlign w:val="bottom"/>
          </w:tcPr>
          <w:p>
            <w:pPr>
              <w:jc w:val="center"/>
              <w:ind w:left="650"/>
              <w:spacing w:after="0" w:line="201" w:lineRule="exact"/>
              <w:rPr>
                <w:sz w:val="20"/>
                <w:szCs w:val="20"/>
                <w:color w:val="auto"/>
              </w:rPr>
            </w:pPr>
            <w:r>
              <w:rPr>
                <w:rFonts w:ascii="Arial" w:cs="Arial" w:eastAsia="Arial" w:hAnsi="Arial"/>
                <w:sz w:val="18"/>
                <w:szCs w:val="18"/>
                <w:color w:val="auto"/>
                <w:w w:val="91"/>
              </w:rPr>
              <w:t>(State or other jurisdiction</w:t>
            </w: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520" w:type="dxa"/>
            <w:vAlign w:val="bottom"/>
            <w:gridSpan w:val="2"/>
          </w:tcPr>
          <w:p>
            <w:pPr>
              <w:jc w:val="center"/>
              <w:ind w:right="1140"/>
              <w:spacing w:after="0" w:line="201" w:lineRule="exact"/>
              <w:rPr>
                <w:sz w:val="20"/>
                <w:szCs w:val="20"/>
                <w:color w:val="auto"/>
              </w:rPr>
            </w:pPr>
            <w:r>
              <w:rPr>
                <w:rFonts w:ascii="Arial" w:cs="Arial" w:eastAsia="Arial" w:hAnsi="Arial"/>
                <w:sz w:val="18"/>
                <w:szCs w:val="18"/>
                <w:color w:val="auto"/>
                <w:w w:val="93"/>
              </w:rPr>
              <w:t>(Commission</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40" w:type="dxa"/>
            <w:vAlign w:val="bottom"/>
          </w:tcPr>
          <w:p>
            <w:pPr>
              <w:jc w:val="center"/>
              <w:ind w:right="11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2940" w:type="dxa"/>
            <w:vAlign w:val="bottom"/>
          </w:tcPr>
          <w:p>
            <w:pPr>
              <w:jc w:val="center"/>
              <w:ind w:left="650"/>
              <w:spacing w:after="0"/>
              <w:rPr>
                <w:sz w:val="20"/>
                <w:szCs w:val="20"/>
                <w:color w:val="auto"/>
              </w:rPr>
            </w:pPr>
            <w:r>
              <w:rPr>
                <w:rFonts w:ascii="Arial" w:cs="Arial" w:eastAsia="Arial" w:hAnsi="Arial"/>
                <w:sz w:val="18"/>
                <w:szCs w:val="18"/>
                <w:color w:val="auto"/>
                <w:w w:val="95"/>
              </w:rPr>
              <w:t>of incorporation)</w:t>
            </w: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740" w:type="dxa"/>
            <w:vAlign w:val="bottom"/>
            <w:gridSpan w:val="3"/>
          </w:tcPr>
          <w:p>
            <w:pPr>
              <w:jc w:val="center"/>
              <w:ind w:right="1360"/>
              <w:spacing w:after="0"/>
              <w:rPr>
                <w:sz w:val="20"/>
                <w:szCs w:val="20"/>
                <w:color w:val="auto"/>
              </w:rPr>
            </w:pPr>
            <w:r>
              <w:rPr>
                <w:rFonts w:ascii="Arial" w:cs="Arial" w:eastAsia="Arial" w:hAnsi="Arial"/>
                <w:sz w:val="18"/>
                <w:szCs w:val="18"/>
                <w:color w:val="auto"/>
                <w:w w:val="94"/>
              </w:rPr>
              <w:t>File Number)</w:t>
            </w:r>
          </w:p>
        </w:tc>
        <w:tc>
          <w:tcPr>
            <w:tcW w:w="200" w:type="dxa"/>
            <w:vAlign w:val="bottom"/>
          </w:tcPr>
          <w:p>
            <w:pPr>
              <w:spacing w:after="0"/>
              <w:rPr>
                <w:sz w:val="20"/>
                <w:szCs w:val="20"/>
                <w:color w:val="auto"/>
              </w:rPr>
            </w:pPr>
          </w:p>
        </w:tc>
        <w:tc>
          <w:tcPr>
            <w:tcW w:w="3440" w:type="dxa"/>
            <w:vAlign w:val="bottom"/>
          </w:tcPr>
          <w:p>
            <w:pPr>
              <w:jc w:val="center"/>
              <w:ind w:right="130"/>
              <w:spacing w:after="0"/>
              <w:rPr>
                <w:sz w:val="20"/>
                <w:szCs w:val="20"/>
                <w:color w:val="auto"/>
              </w:rPr>
            </w:pPr>
            <w:r>
              <w:rPr>
                <w:rFonts w:ascii="Arial" w:cs="Arial" w:eastAsia="Arial" w:hAnsi="Arial"/>
                <w:sz w:val="18"/>
                <w:szCs w:val="18"/>
                <w:color w:val="auto"/>
                <w:w w:val="95"/>
              </w:rPr>
              <w:t>Identification No.)</w:t>
            </w:r>
          </w:p>
        </w:tc>
      </w:tr>
      <w:tr>
        <w:trPr>
          <w:trHeight w:val="454"/>
        </w:trPr>
        <w:tc>
          <w:tcPr>
            <w:tcW w:w="7780" w:type="dxa"/>
            <w:vAlign w:val="bottom"/>
            <w:gridSpan w:val="7"/>
          </w:tcPr>
          <w:p>
            <w:pPr>
              <w:jc w:val="center"/>
              <w:spacing w:after="0"/>
              <w:rPr>
                <w:sz w:val="20"/>
                <w:szCs w:val="20"/>
                <w:color w:val="auto"/>
              </w:rPr>
            </w:pPr>
            <w:r>
              <w:rPr>
                <w:rFonts w:ascii="Arial" w:cs="Arial" w:eastAsia="Arial" w:hAnsi="Arial"/>
                <w:sz w:val="18"/>
                <w:szCs w:val="18"/>
                <w:b w:val="1"/>
                <w:bCs w:val="1"/>
                <w:color w:val="auto"/>
                <w:w w:val="90"/>
              </w:rPr>
              <w:t>5225 Wiley Post Way, Suite 500</w:t>
            </w:r>
          </w:p>
        </w:tc>
        <w:tc>
          <w:tcPr>
            <w:tcW w:w="20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41"/>
        </w:trPr>
        <w:tc>
          <w:tcPr>
            <w:tcW w:w="2940" w:type="dxa"/>
            <w:vAlign w:val="bottom"/>
          </w:tcPr>
          <w:p>
            <w:pPr>
              <w:spacing w:after="0"/>
              <w:rPr>
                <w:sz w:val="20"/>
                <w:szCs w:val="20"/>
                <w:color w:val="auto"/>
              </w:rPr>
            </w:pPr>
          </w:p>
        </w:tc>
        <w:tc>
          <w:tcPr>
            <w:tcW w:w="4840" w:type="dxa"/>
            <w:vAlign w:val="bottom"/>
            <w:gridSpan w:val="6"/>
          </w:tcPr>
          <w:p>
            <w:pPr>
              <w:jc w:val="center"/>
              <w:ind w:right="2940"/>
              <w:spacing w:after="0"/>
              <w:rPr>
                <w:sz w:val="20"/>
                <w:szCs w:val="20"/>
                <w:color w:val="auto"/>
              </w:rPr>
            </w:pPr>
            <w:r>
              <w:rPr>
                <w:rFonts w:ascii="Arial" w:cs="Arial" w:eastAsia="Arial" w:hAnsi="Arial"/>
                <w:sz w:val="18"/>
                <w:szCs w:val="18"/>
                <w:b w:val="1"/>
                <w:bCs w:val="1"/>
                <w:color w:val="auto"/>
                <w:w w:val="93"/>
              </w:rPr>
              <w:t>Salt Lake City, Utah</w:t>
            </w:r>
          </w:p>
        </w:tc>
        <w:tc>
          <w:tcPr>
            <w:tcW w:w="3640" w:type="dxa"/>
            <w:vAlign w:val="bottom"/>
            <w:gridSpan w:val="2"/>
          </w:tcPr>
          <w:p>
            <w:pPr>
              <w:jc w:val="right"/>
              <w:ind w:right="1410"/>
              <w:spacing w:after="0"/>
              <w:rPr>
                <w:sz w:val="20"/>
                <w:szCs w:val="20"/>
                <w:color w:val="auto"/>
              </w:rPr>
            </w:pPr>
            <w:r>
              <w:rPr>
                <w:rFonts w:ascii="Arial" w:cs="Arial" w:eastAsia="Arial" w:hAnsi="Arial"/>
                <w:sz w:val="18"/>
                <w:szCs w:val="18"/>
                <w:b w:val="1"/>
                <w:bCs w:val="1"/>
                <w:color w:val="auto"/>
              </w:rPr>
              <w:t>84116</w:t>
            </w:r>
          </w:p>
        </w:tc>
      </w:tr>
      <w:tr>
        <w:trPr>
          <w:trHeight w:val="230"/>
        </w:trPr>
        <w:tc>
          <w:tcPr>
            <w:tcW w:w="7780" w:type="dxa"/>
            <w:vAlign w:val="bottom"/>
            <w:tcBorders>
              <w:top w:val="single" w:sz="8" w:color="auto"/>
            </w:tcBorders>
            <w:gridSpan w:val="7"/>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377"/>
        </w:trPr>
        <w:tc>
          <w:tcPr>
            <w:tcW w:w="2940" w:type="dxa"/>
            <w:vAlign w:val="bottom"/>
          </w:tcPr>
          <w:p>
            <w:pPr>
              <w:spacing w:after="0"/>
              <w:rPr>
                <w:sz w:val="24"/>
                <w:szCs w:val="24"/>
                <w:color w:val="auto"/>
              </w:rPr>
            </w:pPr>
          </w:p>
        </w:tc>
        <w:tc>
          <w:tcPr>
            <w:tcW w:w="3460" w:type="dxa"/>
            <w:vAlign w:val="bottom"/>
            <w:gridSpan w:val="4"/>
          </w:tcPr>
          <w:p>
            <w:pPr>
              <w:jc w:val="center"/>
              <w:ind w:left="2010"/>
              <w:spacing w:after="0"/>
              <w:rPr>
                <w:sz w:val="20"/>
                <w:szCs w:val="20"/>
                <w:color w:val="auto"/>
              </w:rPr>
            </w:pPr>
            <w:r>
              <w:rPr>
                <w:rFonts w:ascii="Arial" w:cs="Arial" w:eastAsia="Arial" w:hAnsi="Arial"/>
                <w:sz w:val="18"/>
                <w:szCs w:val="18"/>
                <w:b w:val="1"/>
                <w:bCs w:val="1"/>
                <w:color w:val="auto"/>
                <w:w w:val="91"/>
              </w:rPr>
              <w:t>+1 (801) 975-7200</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0"/>
        </w:trPr>
        <w:tc>
          <w:tcPr>
            <w:tcW w:w="2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237"/>
        </w:trPr>
        <w:tc>
          <w:tcPr>
            <w:tcW w:w="2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120" w:type="dxa"/>
            <w:vAlign w:val="bottom"/>
            <w:gridSpan w:val="5"/>
          </w:tcPr>
          <w:p>
            <w:pPr>
              <w:jc w:val="center"/>
              <w:spacing w:after="0"/>
              <w:rPr>
                <w:sz w:val="20"/>
                <w:szCs w:val="20"/>
                <w:color w:val="auto"/>
              </w:rPr>
            </w:pPr>
            <w:r>
              <w:rPr>
                <w:rFonts w:ascii="Arial" w:cs="Arial" w:eastAsia="Arial" w:hAnsi="Arial"/>
                <w:sz w:val="18"/>
                <w:szCs w:val="18"/>
                <w:color w:val="auto"/>
                <w:w w:val="91"/>
              </w:rPr>
              <w:t>(Registrant’s Telephone Number, Including Area Code)</w:t>
            </w:r>
          </w:p>
        </w:tc>
        <w:tc>
          <w:tcPr>
            <w:tcW w:w="200" w:type="dxa"/>
            <w:vAlign w:val="bottom"/>
          </w:tcPr>
          <w:p>
            <w:pPr>
              <w:spacing w:after="0"/>
              <w:rPr>
                <w:sz w:val="20"/>
                <w:szCs w:val="20"/>
                <w:color w:val="auto"/>
              </w:rPr>
            </w:pPr>
          </w:p>
        </w:tc>
        <w:tc>
          <w:tcPr>
            <w:tcW w:w="344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November 8, 2016, ClearOne, Inc. issued a press release announcing its financial results for the three and nine months ended September 30, 2016. The full text of the press release is attached as Exhibit 99.1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6"/>
          <w:szCs w:val="16"/>
          <w:color w:val="auto"/>
        </w:rPr>
        <w:t>Press Release dated November 8, 2016 titled “ClearOne Reports 2016 Third Quarter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ClearOne, Inc.,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November 8, 2016</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577975" cy="3689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7797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ClearOne Reports 2016 Third Quarter Financial Results</w:t>
      </w:r>
    </w:p>
    <w:p>
      <w:pPr>
        <w:spacing w:after="0" w:line="22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Receives Excellent Response to Early Introduction of Next Gen Audio Conferencing Platform</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Grows Video Products Year-over-Year Sales for Fourth Consecutive Quarter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Continues Commitment to Shareholder Value with Dividends and Stock Repurchases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SALT LAKE CITY, UTAH – Nov. 8, 2016 – ClearOne (NASDAQ: CLRO), a global provider of audio and visual communication solutions, today reported financial results for the three and nine months ended Sept. 30, 2016.</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2016, we are executing our business plan, and now we offer the most technically innovative products in the marketplace to meet the growing demand for audio conferencing, network media streaming, video conferencing and media collaboration, supported by a growing portfolio of more than 100 patents and patent applications,” said Zee Hakimoglu, president and chief executive officer. “Combined with the strength of our diverse and loyal channel and extensive global installed customer base, we are well-positioned to benefit from our advanced line of products and the anticipated improvement in the global macroeconomic environment. While our third quarter results were negatively impacted by the transition to our next generation professional audio conferencing platform launched this June, we are pleased our video product sales more than doubled year-over-year and posted revenue growth in eight out of the nine recent quarters.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the only player bringing the full value chain to the professional AV market, ClearOne is well positioned to return to growth in 2017. Also, our strong balance sheet enables us to pay dividends and repurchase stock, creating shareholder value.”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certain non-GAAP financial measures and reconciles those to GAAP measures in the attached tables.</w:t>
      </w:r>
    </w:p>
    <w:p>
      <w:pPr>
        <w:spacing w:after="0" w:line="225" w:lineRule="exact"/>
        <w:rPr>
          <w:sz w:val="20"/>
          <w:szCs w:val="20"/>
          <w:color w:val="auto"/>
        </w:rPr>
      </w:pPr>
    </w:p>
    <w:p>
      <w:pPr>
        <w:jc w:val="both"/>
        <w:ind w:left="340" w:hanging="332"/>
        <w:spacing w:after="0" w:line="259"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Q3’16 revenue was $12.9 million. Revenue in Q3’15 of $15.9 million included three quarters of licensing fees per terms of a specific agreement. The year-over-year reduction also reflects the global economic slowdown and the transition to the next generation professional audio conferencing platform launched in June. Sequentially, revenue grew 8%, compared to $12.0 million in Q2’16, driven by growth in video and professional audio conferencing products.</w:t>
      </w:r>
    </w:p>
    <w:p>
      <w:pPr>
        <w:spacing w:after="0" w:line="186"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profit in Q3’16 was $7.7 million, compared to $10.2 million in Q3’15. Gross profit margin declined from 64% to 59%, caused mainly by reduced revenue, scrapping a portion of inventory related to the move from the manufacturing facility acquired with Sabine to an overseas outsourced manufacturing facility, and a shift in product and licensing mix offset partially by a lower inventory obsolescence costs in 2016. Non-GAAP Gross profit margin was 62% compared to 64%.</w:t>
      </w:r>
    </w:p>
    <w:p>
      <w:pPr>
        <w:spacing w:after="0" w:line="186"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income in Q3’16 was $1.2 million, or $0.13 per diluted share, compared to $2.4 million in Q3’15, or $0.25 per diluted share. Non-GAAP net income was $2.0 million in Q3’16, or $0.22 per diluted share, compared to $2.8 million in Q3’15, or $0.30 per diluted share. Third quarter of 2016 was positively impacted by lower effective tax rate when compared to the third quarter of 2015.</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w:t>
      </w:r>
      <w:r>
        <w:rPr>
          <w:rFonts w:ascii="Arial" w:cs="Arial" w:eastAsia="Arial" w:hAnsi="Arial"/>
          <w:sz w:val="18"/>
          <w:szCs w:val="18"/>
          <w:color w:val="auto"/>
        </w:rPr>
        <w:t xml:space="preserve"> of </w:t>
      </w:r>
      <w:r>
        <w:rPr>
          <w:rFonts w:ascii="Arial" w:cs="Arial" w:eastAsia="Arial" w:hAnsi="Arial"/>
          <w:sz w:val="18"/>
          <w:szCs w:val="18"/>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5"/>
        </w:trPr>
        <w:tc>
          <w:tcPr>
            <w:tcW w:w="3140" w:type="dxa"/>
            <w:vAlign w:val="bottom"/>
            <w:gridSpan w:val="4"/>
          </w:tcPr>
          <w:p>
            <w:pPr>
              <w:spacing w:after="0"/>
              <w:rPr>
                <w:sz w:val="20"/>
                <w:szCs w:val="20"/>
                <w:color w:val="auto"/>
              </w:rPr>
            </w:pPr>
            <w:r>
              <w:rPr>
                <w:rFonts w:ascii="Arial" w:cs="Arial" w:eastAsia="Arial" w:hAnsi="Arial"/>
                <w:sz w:val="18"/>
                <w:szCs w:val="18"/>
                <w:b w:val="1"/>
                <w:bCs w:val="1"/>
                <w:color w:val="auto"/>
              </w:rPr>
              <w:t>($ in 000, except per share)</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80" w:type="dxa"/>
            <w:vAlign w:val="bottom"/>
            <w:gridSpan w:val="8"/>
          </w:tcPr>
          <w:p>
            <w:pPr>
              <w:jc w:val="center"/>
              <w:ind w:right="440"/>
              <w:spacing w:after="0"/>
              <w:rPr>
                <w:sz w:val="20"/>
                <w:szCs w:val="20"/>
                <w:color w:val="auto"/>
              </w:rPr>
            </w:pPr>
            <w:r>
              <w:rPr>
                <w:rFonts w:ascii="Arial" w:cs="Arial" w:eastAsia="Arial" w:hAnsi="Arial"/>
                <w:sz w:val="18"/>
                <w:szCs w:val="18"/>
                <w:b w:val="1"/>
                <w:bCs w:val="1"/>
                <w:color w:val="auto"/>
                <w:w w:val="89"/>
              </w:rPr>
              <w:t>Three months ended September 30,</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20" w:type="dxa"/>
            <w:vAlign w:val="bottom"/>
            <w:gridSpan w:val="8"/>
          </w:tcPr>
          <w:p>
            <w:pPr>
              <w:jc w:val="center"/>
              <w:ind w:right="360"/>
              <w:spacing w:after="0"/>
              <w:rPr>
                <w:sz w:val="20"/>
                <w:szCs w:val="20"/>
                <w:color w:val="auto"/>
              </w:rPr>
            </w:pPr>
            <w:r>
              <w:rPr>
                <w:rFonts w:ascii="Arial" w:cs="Arial" w:eastAsia="Arial" w:hAnsi="Arial"/>
                <w:sz w:val="18"/>
                <w:szCs w:val="18"/>
                <w:b w:val="1"/>
                <w:bCs w:val="1"/>
                <w:color w:val="auto"/>
                <w:w w:val="88"/>
              </w:rPr>
              <w:t>Nine months ended September 30,</w:t>
            </w:r>
          </w:p>
        </w:tc>
      </w:tr>
      <w:tr>
        <w:trPr>
          <w:trHeight w:val="237"/>
        </w:trPr>
        <w:tc>
          <w:tcPr>
            <w:tcW w:w="20" w:type="dxa"/>
            <w:vAlign w:val="bottom"/>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224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top w:val="single" w:sz="8" w:color="auto"/>
              <w:bottom w:val="single" w:sz="8" w:color="CCEEFF"/>
            </w:tcBorders>
          </w:tcPr>
          <w:p>
            <w:pPr>
              <w:spacing w:after="0"/>
              <w:rPr>
                <w:sz w:val="20"/>
                <w:szCs w:val="20"/>
                <w:color w:val="auto"/>
              </w:rPr>
            </w:pPr>
          </w:p>
        </w:tc>
        <w:tc>
          <w:tcPr>
            <w:tcW w:w="10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rPr>
              <w:t>Change</w:t>
            </w: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top w:val="single" w:sz="8" w:color="auto"/>
              <w:bottom w:val="single" w:sz="8" w:color="CCEEFF"/>
            </w:tcBorders>
          </w:tcPr>
          <w:p>
            <w:pPr>
              <w:spacing w:after="0"/>
              <w:rPr>
                <w:sz w:val="20"/>
                <w:szCs w:val="20"/>
                <w:color w:val="auto"/>
              </w:rPr>
            </w:pPr>
          </w:p>
        </w:tc>
        <w:tc>
          <w:tcPr>
            <w:tcW w:w="10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rPr>
              <w:t>Change</w:t>
            </w:r>
          </w:p>
        </w:tc>
        <w:tc>
          <w:tcPr>
            <w:tcW w:w="160" w:type="dxa"/>
            <w:vAlign w:val="bottom"/>
            <w:tcBorders>
              <w:bottom w:val="single" w:sz="8" w:color="CCEEFF"/>
            </w:tcBorders>
          </w:tcPr>
          <w:p>
            <w:pPr>
              <w:spacing w:after="0"/>
              <w:rPr>
                <w:sz w:val="20"/>
                <w:szCs w:val="20"/>
                <w:color w:val="auto"/>
              </w:rPr>
            </w:pPr>
          </w:p>
        </w:tc>
      </w:tr>
      <w:tr>
        <w:trPr>
          <w:trHeight w:val="196"/>
        </w:trPr>
        <w:tc>
          <w:tcPr>
            <w:tcW w:w="20" w:type="dxa"/>
            <w:vAlign w:val="bottom"/>
          </w:tcPr>
          <w:p>
            <w:pPr>
              <w:spacing w:after="0"/>
              <w:rPr>
                <w:sz w:val="17"/>
                <w:szCs w:val="17"/>
                <w:color w:val="auto"/>
              </w:rPr>
            </w:pPr>
          </w:p>
        </w:tc>
        <w:tc>
          <w:tcPr>
            <w:tcW w:w="50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2"/>
              </w:rPr>
              <w:t>GAAP</w:t>
            </w:r>
          </w:p>
        </w:tc>
        <w:tc>
          <w:tcPr>
            <w:tcW w:w="2620" w:type="dxa"/>
            <w:vAlign w:val="bottom"/>
            <w:tcBorders>
              <w:bottom w:val="single" w:sz="8" w:color="CCEEFF"/>
            </w:tcBorders>
            <w:gridSpan w:val="2"/>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auto"/>
              </w:rPr>
              <w:t>Revenue</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12,908</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15,913</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37,907</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43,513</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7,668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10,188</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23,797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27,640</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auto"/>
              </w:rPr>
              <w:t>Operating Income</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1,424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3,508</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4,717</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7,700</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r>
      <w:tr>
        <w:trPr>
          <w:trHeight w:val="216"/>
        </w:trPr>
        <w:tc>
          <w:tcPr>
            <w:tcW w:w="20" w:type="dxa"/>
            <w:vAlign w:val="bottom"/>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2,417</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5,204</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r>
      <w:tr>
        <w:trPr>
          <w:trHeight w:val="216"/>
        </w:trPr>
        <w:tc>
          <w:tcPr>
            <w:tcW w:w="20" w:type="dxa"/>
            <w:vAlign w:val="bottom"/>
          </w:tcPr>
          <w:p>
            <w:pPr>
              <w:spacing w:after="0"/>
              <w:rPr>
                <w:sz w:val="18"/>
                <w:szCs w:val="18"/>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auto"/>
              </w:rPr>
              <w:t>Earnings Per Share (Diluted)</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0.13</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0.25</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0.37</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0.54</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r>
      <w:tr>
        <w:trPr>
          <w:trHeight w:val="196"/>
        </w:trPr>
        <w:tc>
          <w:tcPr>
            <w:tcW w:w="20" w:type="dxa"/>
            <w:vAlign w:val="bottom"/>
          </w:tcPr>
          <w:p>
            <w:pPr>
              <w:spacing w:after="0"/>
              <w:rPr>
                <w:sz w:val="17"/>
                <w:szCs w:val="17"/>
                <w:color w:val="auto"/>
              </w:rPr>
            </w:pPr>
          </w:p>
        </w:tc>
        <w:tc>
          <w:tcPr>
            <w:tcW w:w="88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2"/>
              </w:rPr>
              <w:t>Non-GAAP</w:t>
            </w:r>
          </w:p>
        </w:tc>
        <w:tc>
          <w:tcPr>
            <w:tcW w:w="2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auto"/>
              </w:rPr>
              <w:t>Non-GAAP Gross Profit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7,958</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10,193</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24,098</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27,656</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Non-GAAP Operating Income</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4,188</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9,621</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r>
      <w:tr>
        <w:trPr>
          <w:trHeight w:val="216"/>
        </w:trPr>
        <w:tc>
          <w:tcPr>
            <w:tcW w:w="20" w:type="dxa"/>
            <w:vAlign w:val="bottom"/>
          </w:tcPr>
          <w:p>
            <w:pPr>
              <w:spacing w:after="0"/>
              <w:rPr>
                <w:sz w:val="18"/>
                <w:szCs w:val="18"/>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auto"/>
              </w:rPr>
              <w:t>Non-GAAP Net Income</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2,001</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2,843</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5,162</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6,426</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r>
      <w:tr>
        <w:trPr>
          <w:trHeight w:val="216"/>
        </w:trPr>
        <w:tc>
          <w:tcPr>
            <w:tcW w:w="20" w:type="dxa"/>
            <w:vAlign w:val="bottom"/>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Non-GAAP Adjusted EBITDA</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4,436</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10,470</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r>
      <w:tr>
        <w:trPr>
          <w:trHeight w:val="230"/>
        </w:trPr>
        <w:tc>
          <w:tcPr>
            <w:tcW w:w="20" w:type="dxa"/>
            <w:vAlign w:val="bottom"/>
          </w:tcPr>
          <w:p>
            <w:pPr>
              <w:spacing w:after="0"/>
              <w:rPr>
                <w:sz w:val="20"/>
                <w:szCs w:val="20"/>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auto"/>
              </w:rPr>
              <w:t>Non-GAAP EPS (Diluted)</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0.22</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0.30</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0.55</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0.67</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 2016 Financial Results as compared to Year-to-date 2015</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nine months ended September 30, 2016, revenue was $37.9 million, compared to $43.5 million, reflecting, a reduced demand for our products across most regions. Net income was $3.5 million, or $0.37 per diluted share, compared to $5.2 million, or $0.54 per diluted share. Non-GAAP net income was $5.2 million, or $0.55 per diluted share, compared to $6.4 million, or $0.67 per diluted share. Non-GAAP Adjusted EBITDA was $7.7 million, compared to $10.5 million.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Continued Investment in Shareholder Value</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the third quarter of 2016, the Company paid a cash dividend of $0.05 per share and repurchased approximately 92,000 (See Note below) shares of its common stock under its $10 million stock repurchase program announced in March 2016. As of Sept. 30, 2016, the Company has acquired approximately 456,000 shares amounting to $5.1 million under the stock repurchase program. The Company intends to continue to repurchase shares of its common stock in the open market, subject to price, volume and other safe harbor restrictions. After payments totaling $8.3 million for the dividend and stock and option repurchases during the first nine months of 2016, cash, cash equivalents and investments were $40.0 million at Sept. 30, 2016, compared with $39.8 million at December 31, 2015. The Company continued to have no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ClearOne senior management will host an investor conference call today, Nov. 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at 11:30 a.m. Eastern Time to review the company’s financial results. The conference call will be available to interested parties by dialing +1-877-369-6586 (domestic) or +1-253-237-1165 (international). The conference ID is 10250716. The call will also be available through a live, listen-only audio Internet broadcast at </w:t>
      </w:r>
      <w:r>
        <w:rPr>
          <w:rFonts w:ascii="Arial" w:cs="Arial" w:eastAsia="Arial" w:hAnsi="Arial"/>
          <w:sz w:val="16"/>
          <w:szCs w:val="16"/>
          <w:u w:val="single" w:color="auto"/>
          <w:color w:val="auto"/>
        </w:rPr>
        <w:t>http://investors.clearone.com/events.cfm</w:t>
      </w:r>
      <w:r>
        <w:rPr>
          <w:rFonts w:ascii="Arial" w:cs="Arial" w:eastAsia="Arial" w:hAnsi="Arial"/>
          <w:sz w:val="16"/>
          <w:szCs w:val="16"/>
          <w:color w:val="auto"/>
        </w:rPr>
        <w:t>. For those who are not available to listen to the live broadcast, the call will be archived on the same web site for at least three months.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ClearOne</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ClearOne is a global company that designs, develops and sells conferencing, collaboration, and network streaming &amp; signage solutions for voice and visual communications. The performance and simplicity of its advanced comprehensive solutions offer unprecedented levels of functionality, reliability and scalability. More information about the Company can be found at </w:t>
      </w:r>
      <w:r>
        <w:rPr>
          <w:rFonts w:ascii="Arial" w:cs="Arial" w:eastAsia="Arial" w:hAnsi="Arial"/>
          <w:sz w:val="18"/>
          <w:szCs w:val="18"/>
          <w:u w:val="single" w:color="auto"/>
          <w:color w:val="auto"/>
        </w:rPr>
        <w:t>www.clearone.com</w:t>
      </w:r>
      <w:r>
        <w:rPr>
          <w:rFonts w:ascii="Arial" w:cs="Arial" w:eastAsia="Arial" w:hAnsi="Arial"/>
          <w:sz w:val="18"/>
          <w:szCs w:val="18"/>
          <w:color w:val="auto"/>
        </w:rPr>
        <w: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Non-GAAP Financial Measures</w:t>
      </w:r>
    </w:p>
    <w:p>
      <w:pPr>
        <w:spacing w:after="0" w:line="2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To supplement our consolidated financial statements presented on a GAAP basis, ClearOne uses non-GAAP measures of gross profit, operating income, net income, adjusted Earnings Before Interest, Taxes, Depreciation and Amortization (EBITDA) and net income per share, which are adjusted to exclude certain costs, expenses, gains and losses we believe appropriate to enhance an overall understanding of our past financial performance from period to period and also our prospects for the future. These adjustments to our current period GAAP results are made with the intent of providing both management and investors a more complete understanding of ClearOne’s underlying operational results and trends and our marketplace performance. The non-GAAP results are an indication of our baseline performance before certain gains, losses, or other charges that are considered by management to be outside of our core operating results. In addition, these adjusted non-GAAP results are among the primary indicators management uses as a basis for our planning and forecasting of future periods. The presentation of this additional non-GAAP financial information is not meant to be considered in isolation or as a substitute for gross profit, operating income, net income, income per share or other financial measures prepared in accordance with GAAP. There are limitations to the use of non-GAAP financial measures. Other companies, including companies in ClearOne’s industry, may calculate non-GAAP financial measures differently than ClearOne does, limiting the usefulness of those measures for comparative purposes. A detailed reconciliation of non-GAAP financial measures to the most directly comparable GAAP financial measures is included with this release below.</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and any statements of the plans and objectives of management for future operations and forecasts of future growth and value,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+1-801-975-7200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investor_relations@clearone.com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http://investors.clearone.com</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Note: In the earlier version of this press release the number of shares repurchased was inadvertently reported incorrectly as 226,000 instead of 92,000.</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par value)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tcPr>
          <w:p>
            <w:pPr>
              <w:ind w:left="16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76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2016</w:t>
            </w:r>
          </w:p>
        </w:tc>
        <w:tc>
          <w:tcPr>
            <w:tcW w:w="3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2015</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ASSETS</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12,273</w:t>
            </w: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Marketable securities</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tcPr>
          <w:p>
            <w:pPr>
              <w:jc w:val="right"/>
              <w:ind w:right="320"/>
              <w:spacing w:after="0"/>
              <w:rPr>
                <w:sz w:val="20"/>
                <w:szCs w:val="20"/>
                <w:color w:val="auto"/>
              </w:rPr>
            </w:pPr>
            <w:r>
              <w:rPr>
                <w:rFonts w:ascii="Arial" w:cs="Arial" w:eastAsia="Arial" w:hAnsi="Arial"/>
                <w:sz w:val="18"/>
                <w:szCs w:val="18"/>
                <w:color w:val="auto"/>
              </w:rPr>
              <w:t>7,060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7,161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Receivables, net of allowance for doubtful accounts of $49 and $54, respectively</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8,483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Inventories, net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tcPr>
          <w:p>
            <w:pPr>
              <w:jc w:val="right"/>
              <w:ind w:right="320"/>
              <w:spacing w:after="0"/>
              <w:rPr>
                <w:sz w:val="20"/>
                <w:szCs w:val="20"/>
                <w:color w:val="auto"/>
              </w:rPr>
            </w:pPr>
            <w:r>
              <w:rPr>
                <w:rFonts w:ascii="Arial" w:cs="Arial" w:eastAsia="Arial" w:hAnsi="Arial"/>
                <w:sz w:val="18"/>
                <w:szCs w:val="18"/>
                <w:color w:val="auto"/>
              </w:rPr>
              <w:t>11,991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13,447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Distributor channel inventories</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1,538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gridSpan w:val="2"/>
          </w:tcPr>
          <w:p>
            <w:pPr>
              <w:jc w:val="right"/>
              <w:ind w:right="320"/>
              <w:spacing w:after="0"/>
              <w:rPr>
                <w:sz w:val="20"/>
                <w:szCs w:val="20"/>
                <w:color w:val="auto"/>
              </w:rPr>
            </w:pPr>
            <w:r>
              <w:rPr>
                <w:rFonts w:ascii="Arial" w:cs="Arial" w:eastAsia="Arial" w:hAnsi="Arial"/>
                <w:sz w:val="18"/>
                <w:szCs w:val="18"/>
                <w:color w:val="auto"/>
              </w:rPr>
              <w:t>2,216</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1,806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43,561</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46,146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Long-term marketable securities</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tcPr>
          <w:p>
            <w:pPr>
              <w:jc w:val="right"/>
              <w:ind w:right="320"/>
              <w:spacing w:after="0"/>
              <w:rPr>
                <w:sz w:val="20"/>
                <w:szCs w:val="20"/>
                <w:color w:val="auto"/>
              </w:rPr>
            </w:pPr>
            <w:r>
              <w:rPr>
                <w:rFonts w:ascii="Arial" w:cs="Arial" w:eastAsia="Arial" w:hAnsi="Arial"/>
                <w:sz w:val="18"/>
                <w:szCs w:val="18"/>
                <w:color w:val="auto"/>
              </w:rPr>
              <w:t>20,721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19,204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Long-term inventories, net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1,753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tcPr>
          <w:p>
            <w:pPr>
              <w:jc w:val="right"/>
              <w:ind w:right="320"/>
              <w:spacing w:after="0"/>
              <w:rPr>
                <w:sz w:val="20"/>
                <w:szCs w:val="20"/>
                <w:color w:val="auto"/>
              </w:rPr>
            </w:pPr>
            <w:r>
              <w:rPr>
                <w:rFonts w:ascii="Arial" w:cs="Arial" w:eastAsia="Arial" w:hAnsi="Arial"/>
                <w:sz w:val="18"/>
                <w:szCs w:val="18"/>
                <w:color w:val="auto"/>
              </w:rPr>
              <w:t>1,409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1,589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5,902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tcPr>
          <w:p>
            <w:pPr>
              <w:jc w:val="right"/>
              <w:ind w:right="320"/>
              <w:spacing w:after="0"/>
              <w:rPr>
                <w:sz w:val="20"/>
                <w:szCs w:val="20"/>
                <w:color w:val="auto"/>
              </w:rPr>
            </w:pPr>
            <w:r>
              <w:rPr>
                <w:rFonts w:ascii="Arial" w:cs="Arial" w:eastAsia="Arial" w:hAnsi="Arial"/>
                <w:sz w:val="18"/>
                <w:szCs w:val="18"/>
                <w:color w:val="auto"/>
              </w:rPr>
              <w:t>12,724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12,724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5,093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gridSpan w:val="2"/>
          </w:tcPr>
          <w:p>
            <w:pPr>
              <w:jc w:val="right"/>
              <w:ind w:right="320"/>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3"/>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91,280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93,529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LIABILITIES AND SHAREHOLDERS’ EQUITY</w:t>
            </w: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7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Accounts payable</w:t>
            </w:r>
          </w:p>
        </w:tc>
        <w:tc>
          <w:tcPr>
            <w:tcW w:w="5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320"/>
              <w:spacing w:after="0"/>
              <w:rPr>
                <w:sz w:val="20"/>
                <w:szCs w:val="20"/>
                <w:color w:val="auto"/>
              </w:rPr>
            </w:pPr>
            <w:r>
              <w:rPr>
                <w:rFonts w:ascii="Arial" w:cs="Arial" w:eastAsia="Arial" w:hAnsi="Arial"/>
                <w:sz w:val="18"/>
                <w:szCs w:val="18"/>
                <w:color w:val="auto"/>
              </w:rPr>
              <w:t>3,587</w:t>
            </w: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2,815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2,085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Deferred product revenue</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gridSpan w:val="2"/>
          </w:tcPr>
          <w:p>
            <w:pPr>
              <w:jc w:val="right"/>
              <w:ind w:right="320"/>
              <w:spacing w:after="0"/>
              <w:rPr>
                <w:sz w:val="20"/>
                <w:szCs w:val="20"/>
                <w:color w:val="auto"/>
              </w:rPr>
            </w:pPr>
            <w:r>
              <w:rPr>
                <w:rFonts w:ascii="Arial" w:cs="Arial" w:eastAsia="Arial" w:hAnsi="Arial"/>
                <w:sz w:val="18"/>
                <w:szCs w:val="18"/>
                <w:color w:val="auto"/>
              </w:rPr>
              <w:t>4,271</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4,549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9,943</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Deferred rent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tcPr>
          <w:p>
            <w:pPr>
              <w:jc w:val="right"/>
              <w:ind w:right="320"/>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1,260</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liabilities</w:t>
            </w:r>
          </w:p>
        </w:tc>
        <w:tc>
          <w:tcPr>
            <w:tcW w:w="3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11,325</w:t>
            </w:r>
          </w:p>
        </w:tc>
        <w:tc>
          <w:tcPr>
            <w:tcW w:w="3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10,960</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Shareholders’ equity:</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Common stock, par value $0.001, 50,000,000 shares authorized, 8,892,042 and 9,183,957</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shares issued and outstanding</w:t>
            </w: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tcPr>
          <w:p>
            <w:pPr>
              <w:jc w:val="right"/>
              <w:ind w:right="320"/>
              <w:spacing w:after="0"/>
              <w:rPr>
                <w:sz w:val="20"/>
                <w:szCs w:val="20"/>
                <w:color w:val="auto"/>
              </w:rPr>
            </w:pPr>
            <w:r>
              <w:rPr>
                <w:rFonts w:ascii="Arial" w:cs="Arial" w:eastAsia="Arial" w:hAnsi="Arial"/>
                <w:sz w:val="18"/>
                <w:szCs w:val="18"/>
                <w:color w:val="auto"/>
              </w:rPr>
              <w:t>46,455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46,291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Retained earnings</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gridSpan w:val="2"/>
          </w:tcPr>
          <w:p>
            <w:pPr>
              <w:jc w:val="right"/>
              <w:ind w:right="320"/>
              <w:spacing w:after="0"/>
              <w:rPr>
                <w:sz w:val="20"/>
                <w:szCs w:val="20"/>
                <w:color w:val="auto"/>
              </w:rPr>
            </w:pPr>
            <w:r>
              <w:rPr>
                <w:rFonts w:ascii="Arial" w:cs="Arial" w:eastAsia="Arial" w:hAnsi="Arial"/>
                <w:sz w:val="18"/>
                <w:szCs w:val="18"/>
                <w:color w:val="auto"/>
              </w:rPr>
              <w:t>33,459</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36,435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79,955</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82,569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32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91,280</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93,529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w:t>
      </w:r>
      <w:r>
        <w:rPr>
          <w:rFonts w:ascii="Arial" w:cs="Arial" w:eastAsia="Arial" w:hAnsi="Arial"/>
          <w:sz w:val="18"/>
          <w:szCs w:val="18"/>
          <w:color w:val="auto"/>
        </w:rPr>
        <w:t xml:space="preserve"> of </w:t>
      </w:r>
      <w:r>
        <w:rPr>
          <w:rFonts w:ascii="Arial" w:cs="Arial" w:eastAsia="Arial" w:hAnsi="Arial"/>
          <w:sz w:val="18"/>
          <w:szCs w:val="18"/>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values)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4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w w:val="93"/>
              </w:rPr>
              <w:t>Three months ended September 30,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60" w:type="dxa"/>
            <w:vAlign w:val="bottom"/>
            <w:gridSpan w:val="6"/>
          </w:tcPr>
          <w:p>
            <w:pPr>
              <w:ind w:left="16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2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Cost of goods sold</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5,240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5,725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14,110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15,873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Sales and marketing</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7,695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Research and product development</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1,739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1,796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4,904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5,686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5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Income before income taxes</w:t>
            </w:r>
          </w:p>
        </w:tc>
        <w:tc>
          <w:tcPr>
            <w:tcW w:w="5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1,524</w:t>
            </w: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3,562</w:t>
            </w: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4,911</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7,944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5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315</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1,379</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2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Net income</w:t>
            </w:r>
          </w:p>
        </w:tc>
        <w:tc>
          <w:tcPr>
            <w:tcW w:w="500" w:type="dxa"/>
            <w:vAlign w:val="bottom"/>
            <w:tcBorders>
              <w:top w:val="single" w:sz="8" w:color="CCEEFF"/>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1,209</w:t>
            </w:r>
          </w:p>
        </w:tc>
        <w:tc>
          <w:tcPr>
            <w:tcW w:w="12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CCEEFF"/>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2,417</w:t>
            </w:r>
          </w:p>
        </w:tc>
        <w:tc>
          <w:tcPr>
            <w:tcW w:w="12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CCEEFF"/>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3,532</w:t>
            </w:r>
          </w:p>
        </w:tc>
        <w:tc>
          <w:tcPr>
            <w:tcW w:w="10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CCEEFF"/>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5,204</w:t>
            </w:r>
          </w:p>
        </w:tc>
        <w:tc>
          <w:tcPr>
            <w:tcW w:w="10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7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Basic weighted average shares outstanding</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8,921,480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9,139,329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9,076,305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9,119,925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 outstanding</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9,164,165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9,615,684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9,452,616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9,583,951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7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0.14</w:t>
            </w:r>
          </w:p>
        </w:tc>
        <w:tc>
          <w:tcPr>
            <w:tcW w:w="4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0.26</w:t>
            </w: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0.39</w:t>
            </w:r>
          </w:p>
        </w:tc>
        <w:tc>
          <w:tcPr>
            <w:tcW w:w="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7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0.13</w:t>
            </w: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0.25</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0.37</w:t>
            </w:r>
          </w:p>
        </w:tc>
        <w:tc>
          <w:tcPr>
            <w:tcW w:w="4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5</w:t>
      </w:r>
      <w:r>
        <w:rPr>
          <w:rFonts w:ascii="Arial" w:cs="Arial" w:eastAsia="Arial" w:hAnsi="Arial"/>
          <w:sz w:val="18"/>
          <w:szCs w:val="18"/>
          <w:color w:val="auto"/>
        </w:rPr>
        <w:t xml:space="preserve"> of </w:t>
      </w:r>
      <w:r>
        <w:rPr>
          <w:rFonts w:ascii="Arial" w:cs="Arial" w:eastAsia="Arial" w:hAnsi="Arial"/>
          <w:sz w:val="18"/>
          <w:szCs w:val="18"/>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RECONCILIATION OF GAAP MEASURES TO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values)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80" w:type="dxa"/>
            <w:vAlign w:val="bottom"/>
            <w:gridSpan w:val="6"/>
          </w:tcPr>
          <w:p>
            <w:pPr>
              <w:jc w:val="right"/>
              <w:ind w:right="520"/>
              <w:spacing w:after="0"/>
              <w:rPr>
                <w:sz w:val="20"/>
                <w:szCs w:val="20"/>
                <w:color w:val="auto"/>
              </w:rPr>
            </w:pPr>
            <w:r>
              <w:rPr>
                <w:rFonts w:ascii="Arial" w:cs="Arial" w:eastAsia="Arial" w:hAnsi="Arial"/>
                <w:sz w:val="18"/>
                <w:szCs w:val="18"/>
                <w:b w:val="1"/>
                <w:bCs w:val="1"/>
                <w:color w:val="auto"/>
                <w:w w:val="93"/>
              </w:rPr>
              <w:t>Three months ended September 30,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6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w w:val="93"/>
              </w:rPr>
              <w:t>Nine months ended 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top w:val="single" w:sz="8" w:color="auto"/>
              <w:bottom w:val="single" w:sz="8" w:color="CCEEFF"/>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top w:val="single" w:sz="8" w:color="auto"/>
              <w:bottom w:val="single" w:sz="8" w:color="CCEEFF"/>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gross profit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w w:val="93"/>
              </w:rPr>
              <w:t>Inventory scrap related to wireless manufacturing move</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283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4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b w:val="1"/>
                <w:bCs w:val="1"/>
                <w:color w:val="auto"/>
              </w:rPr>
              <w:t>Non-GAAP gross profit</w:t>
            </w:r>
          </w:p>
        </w:tc>
        <w:tc>
          <w:tcPr>
            <w:tcW w:w="80" w:type="dxa"/>
            <w:vAlign w:val="bottom"/>
            <w:tcBorders>
              <w:top w:val="single" w:sz="8" w:color="CCEEFF"/>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7,958</w:t>
            </w:r>
          </w:p>
        </w:tc>
        <w:tc>
          <w:tcPr>
            <w:tcW w:w="14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CCEEFF"/>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10,193</w:t>
            </w:r>
          </w:p>
        </w:tc>
        <w:tc>
          <w:tcPr>
            <w:tcW w:w="16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24,098</w:t>
            </w:r>
          </w:p>
        </w:tc>
        <w:tc>
          <w:tcPr>
            <w:tcW w:w="14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27,656</w:t>
            </w:r>
          </w:p>
        </w:tc>
        <w:tc>
          <w:tcPr>
            <w:tcW w:w="10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b w:val="1"/>
                <w:bCs w:val="1"/>
                <w:color w:val="auto"/>
              </w:rPr>
              <w:t>GAAP operating Income</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1,424</w:t>
            </w:r>
          </w:p>
        </w:tc>
        <w:tc>
          <w:tcPr>
            <w:tcW w:w="140" w:type="dxa"/>
            <w:vAlign w:val="bottom"/>
          </w:tcPr>
          <w:p>
            <w:pPr>
              <w:spacing w:after="0"/>
              <w:rPr>
                <w:sz w:val="18"/>
                <w:szCs w:val="18"/>
                <w:color w:val="auto"/>
              </w:rPr>
            </w:pPr>
          </w:p>
        </w:tc>
        <w:tc>
          <w:tcPr>
            <w:tcW w:w="46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3,508</w:t>
            </w:r>
          </w:p>
        </w:tc>
        <w:tc>
          <w:tcPr>
            <w:tcW w:w="160" w:type="dxa"/>
            <w:vAlign w:val="bottom"/>
          </w:tcPr>
          <w:p>
            <w:pPr>
              <w:spacing w:after="0"/>
              <w:rPr>
                <w:sz w:val="18"/>
                <w:szCs w:val="18"/>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4,717</w:t>
            </w: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w w:val="93"/>
              </w:rPr>
              <w:t>Inventory scrap related to wireless manufacturing move</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494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40" w:type="dxa"/>
            <w:vAlign w:val="bottom"/>
          </w:tcPr>
          <w:p>
            <w:pPr>
              <w:spacing w:after="0" w:line="201" w:lineRule="exact"/>
              <w:rPr>
                <w:sz w:val="20"/>
                <w:szCs w:val="20"/>
                <w:color w:val="auto"/>
              </w:rPr>
            </w:pPr>
            <w:r>
              <w:rPr>
                <w:rFonts w:ascii="Arial" w:cs="Arial" w:eastAsia="Arial" w:hAnsi="Arial"/>
                <w:sz w:val="18"/>
                <w:szCs w:val="18"/>
                <w:color w:val="auto"/>
                <w:w w:val="89"/>
              </w:rPr>
              <w:t>Legal expenses, acquisition expenses, re-audit expenses,</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restructuring expenses, etc. not related to regular</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4160" w:type="dxa"/>
            <w:vAlign w:val="bottom"/>
            <w:gridSpan w:val="2"/>
          </w:tcPr>
          <w:p>
            <w:pPr>
              <w:spacing w:after="0"/>
              <w:rPr>
                <w:sz w:val="20"/>
                <w:szCs w:val="20"/>
                <w:color w:val="auto"/>
              </w:rPr>
            </w:pPr>
            <w:r>
              <w:rPr>
                <w:rFonts w:ascii="Arial" w:cs="Arial" w:eastAsia="Arial" w:hAnsi="Arial"/>
                <w:sz w:val="18"/>
                <w:szCs w:val="18"/>
                <w:color w:val="auto"/>
              </w:rPr>
              <w:t>operations</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173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580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Non-GAAP operating Income</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net income</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3,532</w:t>
            </w: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w w:val="93"/>
              </w:rPr>
              <w:t>Inventory scrap related to wireless manufacturing move</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283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314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856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Legal expenses, acquisition expenses, re-audit expenses,</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expenses, etc. not related to regular</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operations</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580</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40" w:type="dxa"/>
            <w:vAlign w:val="bottom"/>
          </w:tcPr>
          <w:p>
            <w:pPr>
              <w:spacing w:after="0" w:line="201" w:lineRule="exact"/>
              <w:rPr>
                <w:sz w:val="20"/>
                <w:szCs w:val="20"/>
                <w:color w:val="auto"/>
              </w:rPr>
            </w:pPr>
            <w:r>
              <w:rPr>
                <w:rFonts w:ascii="Arial" w:cs="Arial" w:eastAsia="Arial" w:hAnsi="Arial"/>
                <w:sz w:val="18"/>
                <w:szCs w:val="18"/>
                <w:color w:val="auto"/>
              </w:rPr>
              <w:t>Loss on disposal of assets related to wireless</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spacing w:after="0"/>
              <w:rPr>
                <w:sz w:val="20"/>
                <w:szCs w:val="20"/>
                <w:color w:val="auto"/>
              </w:rPr>
            </w:pPr>
            <w:r>
              <w:rPr>
                <w:rFonts w:ascii="Arial" w:cs="Arial" w:eastAsia="Arial" w:hAnsi="Arial"/>
                <w:sz w:val="18"/>
                <w:szCs w:val="18"/>
                <w:color w:val="auto"/>
              </w:rPr>
              <w:t>microphones manufacturing</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Tax effect of non-GAAP adjustments</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(636)</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4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b w:val="1"/>
                <w:bCs w:val="1"/>
                <w:color w:val="auto"/>
              </w:rPr>
              <w:t>Non-GAAP net income</w:t>
            </w:r>
          </w:p>
        </w:tc>
        <w:tc>
          <w:tcPr>
            <w:tcW w:w="80" w:type="dxa"/>
            <w:vAlign w:val="bottom"/>
            <w:tcBorders>
              <w:top w:val="single" w:sz="8" w:color="CCEEFF"/>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2,001</w:t>
            </w:r>
          </w:p>
        </w:tc>
        <w:tc>
          <w:tcPr>
            <w:tcW w:w="14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CCEEFF"/>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2,843</w:t>
            </w:r>
          </w:p>
        </w:tc>
        <w:tc>
          <w:tcPr>
            <w:tcW w:w="16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5,162</w:t>
            </w:r>
          </w:p>
        </w:tc>
        <w:tc>
          <w:tcPr>
            <w:tcW w:w="14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6,426</w:t>
            </w:r>
          </w:p>
        </w:tc>
        <w:tc>
          <w:tcPr>
            <w:tcW w:w="10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GAAP net income</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1,209</w:t>
            </w:r>
          </w:p>
        </w:tc>
        <w:tc>
          <w:tcPr>
            <w:tcW w:w="140" w:type="dxa"/>
            <w:vAlign w:val="bottom"/>
          </w:tcPr>
          <w:p>
            <w:pPr>
              <w:spacing w:after="0"/>
              <w:rPr>
                <w:sz w:val="18"/>
                <w:szCs w:val="18"/>
                <w:color w:val="auto"/>
              </w:rPr>
            </w:pPr>
          </w:p>
        </w:tc>
        <w:tc>
          <w:tcPr>
            <w:tcW w:w="46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2,417</w:t>
            </w:r>
          </w:p>
        </w:tc>
        <w:tc>
          <w:tcPr>
            <w:tcW w:w="160" w:type="dxa"/>
            <w:vAlign w:val="bottom"/>
          </w:tcPr>
          <w:p>
            <w:pPr>
              <w:spacing w:after="0"/>
              <w:rPr>
                <w:sz w:val="18"/>
                <w:szCs w:val="18"/>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3,532</w:t>
            </w: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5,204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Number of shares used in computing GAAP income per</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share (diluted)</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9,164,165</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9,615,684</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9,452,616</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9,583,951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b w:val="1"/>
                <w:bCs w:val="1"/>
                <w:color w:val="auto"/>
              </w:rPr>
              <w:t>GAAP income per share (diluted)</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0.13</w:t>
            </w:r>
          </w:p>
        </w:tc>
        <w:tc>
          <w:tcPr>
            <w:tcW w:w="46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0.25</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0.37</w:t>
            </w: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5,162</w:t>
            </w: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40" w:type="dxa"/>
            <w:vAlign w:val="bottom"/>
          </w:tcPr>
          <w:p>
            <w:pPr>
              <w:spacing w:after="0" w:line="201" w:lineRule="exact"/>
              <w:rPr>
                <w:sz w:val="20"/>
                <w:szCs w:val="20"/>
                <w:color w:val="auto"/>
              </w:rPr>
            </w:pPr>
            <w:r>
              <w:rPr>
                <w:rFonts w:ascii="Arial" w:cs="Arial" w:eastAsia="Arial" w:hAnsi="Arial"/>
                <w:sz w:val="18"/>
                <w:szCs w:val="18"/>
                <w:color w:val="auto"/>
              </w:rPr>
              <w:t>Number of shares used in computing Non-GAAP</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spacing w:after="0"/>
              <w:rPr>
                <w:sz w:val="20"/>
                <w:szCs w:val="20"/>
                <w:color w:val="auto"/>
              </w:rPr>
            </w:pPr>
            <w:r>
              <w:rPr>
                <w:rFonts w:ascii="Arial" w:cs="Arial" w:eastAsia="Arial" w:hAnsi="Arial"/>
                <w:sz w:val="18"/>
                <w:szCs w:val="18"/>
                <w:color w:val="auto"/>
              </w:rPr>
              <w:t>income per share (diluted)</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9,164,165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9,615,684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9,452,616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9,583,951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Non-GAAP income per share (diluted)</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0.22</w:t>
            </w:r>
          </w:p>
        </w:tc>
        <w:tc>
          <w:tcPr>
            <w:tcW w:w="46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0.30</w:t>
            </w: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0.55</w:t>
            </w: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total net Income</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3,532</w:t>
            </w: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w w:val="93"/>
              </w:rPr>
              <w:t>Inventory scrap related to wireless manufacturing move</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283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Depreciation</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194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552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40" w:type="dxa"/>
            <w:vAlign w:val="bottom"/>
          </w:tcPr>
          <w:p>
            <w:pPr>
              <w:spacing w:after="0" w:line="201" w:lineRule="exact"/>
              <w:rPr>
                <w:sz w:val="20"/>
                <w:szCs w:val="20"/>
                <w:color w:val="auto"/>
              </w:rPr>
            </w:pPr>
            <w:r>
              <w:rPr>
                <w:rFonts w:ascii="Arial" w:cs="Arial" w:eastAsia="Arial" w:hAnsi="Arial"/>
                <w:sz w:val="18"/>
                <w:szCs w:val="18"/>
                <w:color w:val="auto"/>
                <w:w w:val="89"/>
              </w:rPr>
              <w:t>Legal expenses, acquisition expenses, re-audit expenses,</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restructuring expenses, etc. not related to regular</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spacing w:after="0"/>
              <w:rPr>
                <w:sz w:val="20"/>
                <w:szCs w:val="20"/>
                <w:color w:val="auto"/>
              </w:rPr>
            </w:pPr>
            <w:r>
              <w:rPr>
                <w:rFonts w:ascii="Arial" w:cs="Arial" w:eastAsia="Arial" w:hAnsi="Arial"/>
                <w:sz w:val="18"/>
                <w:szCs w:val="18"/>
                <w:color w:val="auto"/>
              </w:rPr>
              <w:t>operations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173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580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Loss on disposal of assets related to wireless</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microphones manufacturing</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1,145</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1,379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2,740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Non-GAAP Adjusted EBITDA</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6</w:t>
      </w:r>
      <w:r>
        <w:rPr>
          <w:rFonts w:ascii="Arial" w:cs="Arial" w:eastAsia="Arial" w:hAnsi="Arial"/>
          <w:sz w:val="18"/>
          <w:szCs w:val="18"/>
          <w:color w:val="auto"/>
        </w:rPr>
        <w:t xml:space="preserve"> of </w:t>
      </w:r>
      <w:r>
        <w:rPr>
          <w:rFonts w:ascii="Arial" w:cs="Arial" w:eastAsia="Arial" w:hAnsi="Arial"/>
          <w:sz w:val="18"/>
          <w:szCs w:val="18"/>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2019-12-05T22:28:41Z</dcterms:created>
  <dcterms:modified xsi:type="dcterms:W3CDTF">2019-12-05T22:28:41Z</dcterms:modified>
</cp:coreProperties>
</file>