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HAKIMOGLU ZEYNEP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07/11/2017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8"/>
          </w:tcPr>
          <w:p>
            <w:pPr>
              <w:jc w:val="center"/>
              <w:ind w:right="2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3"/>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07/11/2017</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91"/>
                <w:vertAlign w:val="subscript"/>
              </w:rPr>
              <w:t>F</w:t>
            </w:r>
            <w:r>
              <w:rPr>
                <w:rFonts w:ascii="Arial" w:cs="Arial" w:eastAsia="Arial" w:hAnsi="Arial"/>
                <w:sz w:val="11"/>
                <w:szCs w:val="11"/>
                <w:color w:val="008000"/>
                <w:w w:val="91"/>
              </w:rPr>
              <w:t>(1)</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31,866</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194,918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07/11/2017</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50,000</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244,918</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07/11/2017</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42"/>
              <w:spacing w:after="0"/>
              <w:rPr>
                <w:sz w:val="20"/>
                <w:szCs w:val="20"/>
                <w:color w:val="auto"/>
              </w:rPr>
            </w:pPr>
            <w:r>
              <w:rPr>
                <w:rFonts w:ascii="Arial" w:cs="Arial" w:eastAsia="Arial" w:hAnsi="Arial"/>
                <w:sz w:val="26"/>
                <w:szCs w:val="26"/>
                <w:color w:val="0000FF"/>
                <w:w w:val="91"/>
                <w:vertAlign w:val="subscript"/>
              </w:rPr>
              <w:t>F</w:t>
            </w:r>
            <w:r>
              <w:rPr>
                <w:rFonts w:ascii="Arial" w:cs="Arial" w:eastAsia="Arial" w:hAnsi="Arial"/>
                <w:sz w:val="11"/>
                <w:szCs w:val="11"/>
                <w:color w:val="008000"/>
                <w:w w:val="91"/>
              </w:rPr>
              <w:t>(2)</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8,515</w:t>
            </w:r>
            <w:r>
              <w:rPr>
                <w:rFonts w:ascii="Arial" w:cs="Arial" w:eastAsia="Arial" w:hAnsi="Arial"/>
                <w:sz w:val="22"/>
                <w:szCs w:val="22"/>
                <w:color w:val="008000"/>
                <w:w w:val="85"/>
                <w:vertAlign w:val="superscript"/>
              </w:rPr>
              <w:t>(2)</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1"/>
                <w:szCs w:val="11"/>
                <w:color w:val="008000"/>
              </w:rPr>
              <w:t>(2)</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236,403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6.15</w:t>
            </w:r>
          </w:p>
        </w:tc>
        <w:tc>
          <w:tcPr>
            <w:tcW w:w="140" w:type="dxa"/>
            <w:vAlign w:val="bottom"/>
          </w:tcPr>
          <w:p>
            <w:pPr>
              <w:spacing w:after="0"/>
              <w:rPr>
                <w:sz w:val="17"/>
                <w:szCs w:val="17"/>
                <w:color w:val="auto"/>
              </w:rPr>
            </w:pPr>
          </w:p>
        </w:tc>
        <w:tc>
          <w:tcPr>
            <w:tcW w:w="1080" w:type="dxa"/>
            <w:vAlign w:val="bottom"/>
          </w:tcPr>
          <w:p>
            <w:pPr>
              <w:ind w:left="280"/>
              <w:spacing w:after="0"/>
              <w:rPr>
                <w:sz w:val="20"/>
                <w:szCs w:val="20"/>
                <w:color w:val="auto"/>
              </w:rPr>
            </w:pPr>
            <w:r>
              <w:rPr>
                <w:rFonts w:ascii="Arial" w:cs="Arial" w:eastAsia="Arial" w:hAnsi="Arial"/>
                <w:sz w:val="13"/>
                <w:szCs w:val="13"/>
                <w:color w:val="0000FF"/>
              </w:rPr>
              <w:t>07/11/2017</w:t>
            </w:r>
          </w:p>
        </w:tc>
        <w:tc>
          <w:tcPr>
            <w:tcW w:w="1180" w:type="dxa"/>
            <w:vAlign w:val="bottom"/>
          </w:tcPr>
          <w:p>
            <w:pPr>
              <w:spacing w:after="0"/>
              <w:rPr>
                <w:sz w:val="17"/>
                <w:szCs w:val="17"/>
                <w:color w:val="auto"/>
              </w:rPr>
            </w:pPr>
          </w:p>
        </w:tc>
        <w:tc>
          <w:tcPr>
            <w:tcW w:w="760" w:type="dxa"/>
            <w:vAlign w:val="bottom"/>
            <w:gridSpan w:val="2"/>
          </w:tcPr>
          <w:p>
            <w:pPr>
              <w:ind w:left="100"/>
              <w:spacing w:after="0" w:line="199"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940" w:type="dxa"/>
            <w:vAlign w:val="bottom"/>
          </w:tcPr>
          <w:p>
            <w:pPr>
              <w:ind w:left="460"/>
              <w:spacing w:after="0"/>
              <w:rPr>
                <w:sz w:val="20"/>
                <w:szCs w:val="20"/>
                <w:color w:val="auto"/>
              </w:rPr>
            </w:pPr>
            <w:r>
              <w:rPr>
                <w:rFonts w:ascii="Arial" w:cs="Arial" w:eastAsia="Arial" w:hAnsi="Arial"/>
                <w:sz w:val="13"/>
                <w:szCs w:val="13"/>
                <w:color w:val="0000FF"/>
              </w:rPr>
              <w:t>50,000</w:t>
            </w:r>
          </w:p>
        </w:tc>
        <w:tc>
          <w:tcPr>
            <w:tcW w:w="800" w:type="dxa"/>
            <w:vAlign w:val="bottom"/>
            <w:gridSpan w:val="2"/>
          </w:tcPr>
          <w:p>
            <w:pPr>
              <w:jc w:val="center"/>
              <w:ind w:right="2"/>
              <w:spacing w:after="0"/>
              <w:rPr>
                <w:sz w:val="20"/>
                <w:szCs w:val="20"/>
                <w:color w:val="auto"/>
              </w:rPr>
            </w:pPr>
            <w:r>
              <w:rPr>
                <w:rFonts w:ascii="Arial" w:cs="Arial" w:eastAsia="Arial" w:hAnsi="Arial"/>
                <w:sz w:val="13"/>
                <w:szCs w:val="13"/>
                <w:color w:val="0000FF"/>
                <w:w w:val="95"/>
              </w:rPr>
              <w:t>08/14/2008</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08/14/2017</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50,000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6.15</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3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July 11, 2017, the reporting person exercised options to purchase 50,000 shares of common stock at an exercise price of $6.15 per share (the "Options"). As payment of the exercise price of the Options, the reporting person forfeited to the issuer 31,866 shares of common stock beneficially owned by the reporting person prior to the exercise of the Options with a market value equal to the exercise price for the Options based on the closing price of the issuer's common stock as reported on the Nasdaq Capital Market on the date of exercise.</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connection with the exercise of the Options, the issuer withheld 8,515 shares in satisfaction of U.S. federal income tax withholding obligations with respect to the exercise of the Options.</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Zeynep Hakimoglu</w:t>
            </w:r>
          </w:p>
        </w:tc>
        <w:tc>
          <w:tcPr>
            <w:tcW w:w="780" w:type="dxa"/>
            <w:vAlign w:val="bottom"/>
          </w:tcPr>
          <w:p>
            <w:pPr>
              <w:spacing w:after="0"/>
              <w:rPr>
                <w:sz w:val="20"/>
                <w:szCs w:val="20"/>
                <w:color w:val="auto"/>
              </w:rPr>
            </w:pPr>
            <w:r>
              <w:rPr>
                <w:rFonts w:ascii="Arial" w:cs="Arial" w:eastAsia="Arial" w:hAnsi="Arial"/>
                <w:sz w:val="17"/>
                <w:szCs w:val="17"/>
                <w:color w:val="0000FF"/>
                <w:w w:val="89"/>
              </w:rPr>
              <w:t>07/13/2017</w:t>
            </w:r>
          </w:p>
        </w:tc>
      </w:tr>
      <w:tr>
        <w:trPr>
          <w:trHeight w:val="20"/>
        </w:trPr>
        <w:tc>
          <w:tcPr>
            <w:tcW w:w="15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2019-12-23T21:46:31Z</dcterms:created>
  <dcterms:modified xsi:type="dcterms:W3CDTF">2019-12-23T21:46:31Z</dcterms:modified>
</cp:coreProperties>
</file>