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4930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930775"/>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8"/>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BAGLEY EDWARD D</w:t>
              </w:r>
            </w:hyperlink>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60" w:type="dxa"/>
            <w:vAlign w:val="bottom"/>
            <w:gridSpan w:val="7"/>
          </w:tcPr>
          <w:p>
            <w:pPr>
              <w:ind w:left="8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CLEARONE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CLRO</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Director</w:t>
            </w:r>
          </w:p>
        </w:tc>
        <w:tc>
          <w:tcPr>
            <w:tcW w:w="620" w:type="dxa"/>
            <w:vAlign w:val="bottom"/>
          </w:tcPr>
          <w:p>
            <w:pPr>
              <w:spacing w:after="0"/>
              <w:rPr>
                <w:sz w:val="2"/>
                <w:szCs w:val="2"/>
                <w:color w:val="auto"/>
              </w:rPr>
            </w:pPr>
          </w:p>
        </w:tc>
        <w:tc>
          <w:tcPr>
            <w:tcW w:w="340" w:type="dxa"/>
            <w:vAlign w:val="bottom"/>
            <w:vMerge w:val="restart"/>
          </w:tcPr>
          <w:p>
            <w:pPr>
              <w:ind w:left="180"/>
              <w:spacing w:after="0"/>
              <w:rPr>
                <w:sz w:val="20"/>
                <w:szCs w:val="20"/>
                <w:color w:val="auto"/>
              </w:rPr>
            </w:pPr>
            <w:r>
              <w:rPr>
                <w:rFonts w:ascii="Arial" w:cs="Arial" w:eastAsia="Arial" w:hAnsi="Arial"/>
                <w:sz w:val="17"/>
                <w:szCs w:val="17"/>
                <w:color w:val="0000FF"/>
              </w:rPr>
              <w:t>X</w:t>
            </w:r>
          </w:p>
        </w:tc>
        <w:tc>
          <w:tcPr>
            <w:tcW w:w="1480" w:type="dxa"/>
            <w:vAlign w:val="bottom"/>
            <w:gridSpan w:val="4"/>
            <w:vMerge w:val="restart"/>
          </w:tcPr>
          <w:p>
            <w:pPr>
              <w:ind w:left="1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148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4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340" w:type="dxa"/>
            <w:vAlign w:val="bottom"/>
          </w:tcPr>
          <w:p>
            <w:pPr>
              <w:spacing w:after="0"/>
              <w:rPr>
                <w:sz w:val="7"/>
                <w:szCs w:val="7"/>
                <w:color w:val="auto"/>
              </w:rPr>
            </w:pPr>
          </w:p>
        </w:tc>
        <w:tc>
          <w:tcPr>
            <w:tcW w:w="1480" w:type="dxa"/>
            <w:vAlign w:val="bottom"/>
            <w:gridSpan w:val="4"/>
            <w:vMerge w:val="restart"/>
          </w:tcPr>
          <w:p>
            <w:pPr>
              <w:ind w:left="1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48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40" w:type="dxa"/>
            <w:vAlign w:val="bottom"/>
            <w:gridSpan w:val="8"/>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34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40" w:type="dxa"/>
            <w:vAlign w:val="bottom"/>
            <w:gridSpan w:val="8"/>
            <w:vMerge w:val="continue"/>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ind w:left="18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7"/>
                <w:szCs w:val="17"/>
                <w:color w:val="0000FF"/>
              </w:rPr>
              <w:t>2350 OAK HILL LANE</w:t>
            </w:r>
          </w:p>
        </w:tc>
        <w:tc>
          <w:tcPr>
            <w:tcW w:w="1140" w:type="dxa"/>
            <w:vAlign w:val="bottom"/>
          </w:tcPr>
          <w:p>
            <w:pPr>
              <w:spacing w:after="0"/>
              <w:rPr>
                <w:sz w:val="19"/>
                <w:szCs w:val="19"/>
                <w:color w:val="auto"/>
              </w:rPr>
            </w:pPr>
          </w:p>
        </w:tc>
        <w:tc>
          <w:tcPr>
            <w:tcW w:w="1360" w:type="dxa"/>
            <w:vAlign w:val="bottom"/>
            <w:gridSpan w:val="5"/>
          </w:tcPr>
          <w:p>
            <w:pPr>
              <w:ind w:left="280"/>
              <w:spacing w:after="0"/>
              <w:rPr>
                <w:sz w:val="20"/>
                <w:szCs w:val="20"/>
                <w:color w:val="auto"/>
              </w:rPr>
            </w:pPr>
            <w:r>
              <w:rPr>
                <w:rFonts w:ascii="Arial" w:cs="Arial" w:eastAsia="Arial" w:hAnsi="Arial"/>
                <w:sz w:val="17"/>
                <w:szCs w:val="17"/>
                <w:color w:val="0000FF"/>
              </w:rPr>
              <w:t>06/01/2017</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560" w:type="dxa"/>
            <w:vAlign w:val="bottom"/>
            <w:tcBorders>
              <w:bottom w:val="single" w:sz="8" w:color="2C2C2C"/>
            </w:tcBorders>
            <w:gridSpan w:val="4"/>
          </w:tcPr>
          <w:p>
            <w:pPr>
              <w:spacing w:after="0"/>
              <w:rPr>
                <w:sz w:val="12"/>
                <w:szCs w:val="12"/>
                <w:color w:val="auto"/>
              </w:rPr>
            </w:pPr>
          </w:p>
        </w:tc>
        <w:tc>
          <w:tcPr>
            <w:tcW w:w="2100" w:type="dxa"/>
            <w:vAlign w:val="bottom"/>
            <w:tcBorders>
              <w:bottom w:val="single" w:sz="8" w:color="2C2C2C"/>
            </w:tcBorders>
            <w:gridSpan w:val="4"/>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gridSpan w:val="2"/>
          </w:tcPr>
          <w:p>
            <w:pPr>
              <w:spacing w:after="0"/>
              <w:rPr>
                <w:sz w:val="12"/>
                <w:szCs w:val="12"/>
                <w:color w:val="auto"/>
              </w:rPr>
            </w:pPr>
          </w:p>
        </w:tc>
        <w:tc>
          <w:tcPr>
            <w:tcW w:w="2960" w:type="dxa"/>
            <w:vAlign w:val="bottom"/>
            <w:tcBorders>
              <w:bottom w:val="single" w:sz="8" w:color="2C2C2C"/>
            </w:tcBorders>
            <w:gridSpan w:val="5"/>
          </w:tcPr>
          <w:p>
            <w:pPr>
              <w:spacing w:after="0"/>
              <w:rPr>
                <w:sz w:val="12"/>
                <w:szCs w:val="12"/>
                <w:color w:val="auto"/>
              </w:rPr>
            </w:pPr>
          </w:p>
        </w:tc>
        <w:tc>
          <w:tcPr>
            <w:tcW w:w="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660" w:type="dxa"/>
            <w:vAlign w:val="bottom"/>
            <w:tcBorders>
              <w:bottom w:val="single" w:sz="8" w:color="9A9A9A"/>
            </w:tcBorders>
          </w:tcPr>
          <w:p>
            <w:pPr>
              <w:spacing w:after="0"/>
              <w:rPr>
                <w:sz w:val="4"/>
                <w:szCs w:val="4"/>
                <w:color w:val="auto"/>
              </w:rPr>
            </w:pPr>
          </w:p>
        </w:tc>
        <w:tc>
          <w:tcPr>
            <w:tcW w:w="140" w:type="dxa"/>
            <w:vAlign w:val="bottom"/>
            <w:tcBorders>
              <w:bottom w:val="single" w:sz="8" w:color="9A9A9A"/>
            </w:tcBorders>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480" w:type="dxa"/>
            <w:vAlign w:val="bottom"/>
            <w:tcBorders>
              <w:bottom w:val="single" w:sz="8" w:color="9A9A9A"/>
            </w:tcBorders>
          </w:tcPr>
          <w:p>
            <w:pPr>
              <w:spacing w:after="0"/>
              <w:rPr>
                <w:sz w:val="4"/>
                <w:szCs w:val="4"/>
                <w:color w:val="auto"/>
              </w:rPr>
            </w:pPr>
          </w:p>
        </w:tc>
        <w:tc>
          <w:tcPr>
            <w:tcW w:w="1140" w:type="dxa"/>
            <w:vAlign w:val="bottom"/>
            <w:tcBorders>
              <w:bottom w:val="single" w:sz="8" w:color="9A9A9A"/>
            </w:tcBorders>
          </w:tcPr>
          <w:p>
            <w:pPr>
              <w:spacing w:after="0"/>
              <w:rPr>
                <w:sz w:val="4"/>
                <w:szCs w:val="4"/>
                <w:color w:val="auto"/>
              </w:rPr>
            </w:pPr>
          </w:p>
        </w:tc>
        <w:tc>
          <w:tcPr>
            <w:tcW w:w="12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740" w:type="dxa"/>
            <w:vAlign w:val="bottom"/>
            <w:gridSpan w:val="9"/>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4"/>
                <w:szCs w:val="4"/>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9"/>
            <w:vMerge w:val="continue"/>
          </w:tcPr>
          <w:p>
            <w:pPr>
              <w:spacing w:after="0"/>
              <w:rPr>
                <w:sz w:val="11"/>
                <w:szCs w:val="11"/>
                <w:color w:val="auto"/>
              </w:rPr>
            </w:pPr>
          </w:p>
        </w:tc>
        <w:tc>
          <w:tcPr>
            <w:tcW w:w="240" w:type="dxa"/>
            <w:vAlign w:val="bottom"/>
          </w:tcPr>
          <w:p>
            <w:pPr>
              <w:spacing w:after="0"/>
              <w:rPr>
                <w:sz w:val="11"/>
                <w:szCs w:val="11"/>
                <w:color w:val="auto"/>
              </w:rPr>
            </w:pPr>
          </w:p>
        </w:tc>
        <w:tc>
          <w:tcPr>
            <w:tcW w:w="35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gridSpan w:val="2"/>
          </w:tcPr>
          <w:p>
            <w:pPr>
              <w:ind w:left="8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spacing w:after="0"/>
              <w:rPr>
                <w:sz w:val="20"/>
                <w:szCs w:val="20"/>
                <w:color w:val="auto"/>
              </w:rPr>
            </w:pPr>
            <w:r>
              <w:rPr>
                <w:rFonts w:ascii="Arial" w:cs="Arial" w:eastAsia="Arial" w:hAnsi="Arial"/>
                <w:sz w:val="17"/>
                <w:szCs w:val="17"/>
                <w:color w:val="0000FF"/>
              </w:rPr>
              <w:t>SALT LAKE</w:t>
            </w:r>
          </w:p>
        </w:tc>
        <w:tc>
          <w:tcPr>
            <w:tcW w:w="1260" w:type="dxa"/>
            <w:vAlign w:val="bottom"/>
            <w:gridSpan w:val="3"/>
            <w:vMerge w:val="restart"/>
          </w:tcPr>
          <w:p>
            <w:pPr>
              <w:spacing w:after="0"/>
              <w:rPr>
                <w:sz w:val="20"/>
                <w:szCs w:val="20"/>
                <w:color w:val="auto"/>
              </w:rPr>
            </w:pPr>
            <w:r>
              <w:rPr>
                <w:rFonts w:ascii="Arial" w:cs="Arial" w:eastAsia="Arial" w:hAnsi="Arial"/>
                <w:sz w:val="17"/>
                <w:szCs w:val="17"/>
                <w:color w:val="0000FF"/>
              </w:rPr>
              <w:t>UT</w:t>
            </w:r>
          </w:p>
        </w:tc>
        <w:tc>
          <w:tcPr>
            <w:tcW w:w="1140" w:type="dxa"/>
            <w:vAlign w:val="bottom"/>
            <w:vMerge w:val="restart"/>
          </w:tcPr>
          <w:p>
            <w:pPr>
              <w:ind w:left="20"/>
              <w:spacing w:after="0"/>
              <w:rPr>
                <w:sz w:val="20"/>
                <w:szCs w:val="20"/>
                <w:color w:val="auto"/>
              </w:rPr>
            </w:pPr>
            <w:r>
              <w:rPr>
                <w:rFonts w:ascii="Arial" w:cs="Arial" w:eastAsia="Arial" w:hAnsi="Arial"/>
                <w:sz w:val="17"/>
                <w:szCs w:val="17"/>
                <w:color w:val="0000FF"/>
              </w:rPr>
              <w:t>84121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540" w:type="dxa"/>
            <w:vAlign w:val="bottom"/>
            <w:gridSpan w:val="10"/>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CITY</w:t>
            </w:r>
          </w:p>
        </w:tc>
        <w:tc>
          <w:tcPr>
            <w:tcW w:w="66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8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160"/>
              <w:spacing w:after="0" w:line="135" w:lineRule="exact"/>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74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2340" w:type="dxa"/>
            <w:vAlign w:val="bottom"/>
            <w:tcBorders>
              <w:bottom w:val="single" w:sz="8" w:color="2C2C2C"/>
            </w:tcBorders>
            <w:gridSpan w:val="5"/>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900" w:type="dxa"/>
            <w:vAlign w:val="bottom"/>
            <w:tcBorders>
              <w:top w:val="single" w:sz="8" w:color="2C2C2C"/>
            </w:tcBorders>
            <w:gridSpan w:val="18"/>
          </w:tcPr>
          <w:p>
            <w:pPr>
              <w:ind w:left="2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ind w:left="80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5"/>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900" w:type="dxa"/>
            <w:vAlign w:val="bottom"/>
            <w:gridSpan w:val="5"/>
          </w:tcPr>
          <w:p>
            <w:pPr>
              <w:ind w:left="80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gridSpan w:val="5"/>
          </w:tcPr>
          <w:p>
            <w:pPr>
              <w:spacing w:after="0"/>
              <w:rPr>
                <w:sz w:val="7"/>
                <w:szCs w:val="7"/>
                <w:color w:val="auto"/>
              </w:rPr>
            </w:pPr>
          </w:p>
        </w:tc>
        <w:tc>
          <w:tcPr>
            <w:tcW w:w="1560" w:type="dxa"/>
            <w:vAlign w:val="bottom"/>
            <w:tcBorders>
              <w:bottom w:val="single" w:sz="8" w:color="2C2C2C"/>
            </w:tcBorders>
            <w:gridSpan w:val="4"/>
          </w:tcPr>
          <w:p>
            <w:pPr>
              <w:spacing w:after="0"/>
              <w:rPr>
                <w:sz w:val="7"/>
                <w:szCs w:val="7"/>
                <w:color w:val="auto"/>
              </w:rPr>
            </w:pPr>
          </w:p>
        </w:tc>
        <w:tc>
          <w:tcPr>
            <w:tcW w:w="2660" w:type="dxa"/>
            <w:vAlign w:val="bottom"/>
            <w:tcBorders>
              <w:bottom w:val="single" w:sz="8" w:color="2C2C2C"/>
            </w:tcBorders>
            <w:gridSpan w:val="6"/>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8"/>
          </w:tcPr>
          <w:p>
            <w:pPr>
              <w:ind w:left="4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700" w:type="dxa"/>
            <w:vAlign w:val="bottom"/>
            <w:gridSpan w:val="15"/>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340" w:type="dxa"/>
            <w:vAlign w:val="bottom"/>
          </w:tcPr>
          <w:p>
            <w:pPr>
              <w:spacing w:after="0"/>
              <w:rPr>
                <w:sz w:val="11"/>
                <w:szCs w:val="11"/>
                <w:color w:val="auto"/>
              </w:rPr>
            </w:pP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9.9</w:t>
            </w:r>
          </w:p>
        </w:tc>
        <w:tc>
          <w:tcPr>
            <w:tcW w:w="140" w:type="dxa"/>
            <w:vAlign w:val="bottom"/>
          </w:tcPr>
          <w:p>
            <w:pPr>
              <w:spacing w:after="0"/>
              <w:rPr>
                <w:sz w:val="17"/>
                <w:szCs w:val="17"/>
                <w:color w:val="auto"/>
              </w:rPr>
            </w:pPr>
          </w:p>
        </w:tc>
        <w:tc>
          <w:tcPr>
            <w:tcW w:w="1120" w:type="dxa"/>
            <w:vAlign w:val="bottom"/>
            <w:gridSpan w:val="2"/>
          </w:tcPr>
          <w:p>
            <w:pPr>
              <w:jc w:val="right"/>
              <w:ind w:right="153"/>
              <w:spacing w:after="0"/>
              <w:rPr>
                <w:sz w:val="20"/>
                <w:szCs w:val="20"/>
                <w:color w:val="auto"/>
              </w:rPr>
            </w:pPr>
            <w:r>
              <w:rPr>
                <w:rFonts w:ascii="Arial" w:cs="Arial" w:eastAsia="Arial" w:hAnsi="Arial"/>
                <w:sz w:val="13"/>
                <w:szCs w:val="13"/>
                <w:color w:val="0000FF"/>
              </w:rPr>
              <w:t>06/01/2017</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3"/>
          </w:tcPr>
          <w:p>
            <w:pPr>
              <w:ind w:left="6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10,000</w:t>
            </w:r>
          </w:p>
        </w:tc>
        <w:tc>
          <w:tcPr>
            <w:tcW w:w="340" w:type="dxa"/>
            <w:vAlign w:val="bottom"/>
          </w:tcPr>
          <w:p>
            <w:pPr>
              <w:spacing w:after="0"/>
              <w:rPr>
                <w:sz w:val="17"/>
                <w:szCs w:val="17"/>
                <w:color w:val="auto"/>
              </w:rPr>
            </w:pP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06/01/2027</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gridSpan w:val="2"/>
          </w:tcPr>
          <w:p>
            <w:pPr>
              <w:spacing w:after="0"/>
              <w:rPr>
                <w:sz w:val="20"/>
                <w:szCs w:val="20"/>
                <w:color w:val="auto"/>
              </w:rPr>
            </w:pPr>
            <w:r>
              <w:rPr>
                <w:rFonts w:ascii="Arial" w:cs="Arial" w:eastAsia="Arial" w:hAnsi="Arial"/>
                <w:sz w:val="17"/>
                <w:szCs w:val="17"/>
                <w:color w:val="0000FF"/>
              </w:rPr>
              <w:t>10,000</w:t>
            </w:r>
          </w:p>
        </w:tc>
        <w:tc>
          <w:tcPr>
            <w:tcW w:w="60" w:type="dxa"/>
            <w:vAlign w:val="bottom"/>
          </w:tcPr>
          <w:p>
            <w:pPr>
              <w:spacing w:after="0"/>
              <w:rPr>
                <w:sz w:val="17"/>
                <w:szCs w:val="17"/>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10,000</w:t>
            </w:r>
          </w:p>
        </w:tc>
        <w:tc>
          <w:tcPr>
            <w:tcW w:w="340" w:type="dxa"/>
            <w:vAlign w:val="bottom"/>
          </w:tcPr>
          <w:p>
            <w:pPr>
              <w:spacing w:after="0"/>
              <w:rPr>
                <w:sz w:val="17"/>
                <w:szCs w:val="17"/>
                <w:color w:val="auto"/>
              </w:rPr>
            </w:pPr>
          </w:p>
        </w:tc>
        <w:tc>
          <w:tcPr>
            <w:tcW w:w="640" w:type="dxa"/>
            <w:vAlign w:val="bottom"/>
          </w:tcPr>
          <w:p>
            <w:pPr>
              <w:ind w:left="28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(Right to</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2"/>
          <w:szCs w:val="12"/>
          <w:color w:val="008000"/>
        </w:rPr>
        <w:t>1. One-third of the options granted will vest on the first anniversary of the date of grant, which is June 1, 2018. The remaining options will vest in equal monthly increments over the subsequent 24-month period.</w:t>
      </w:r>
    </w:p>
    <w:p>
      <w:pPr>
        <w:spacing w:after="0" w:line="80"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2"/>
          </w:tcPr>
          <w:p>
            <w:pPr>
              <w:spacing w:after="0"/>
              <w:rPr>
                <w:sz w:val="20"/>
                <w:szCs w:val="20"/>
                <w:color w:val="auto"/>
              </w:rPr>
            </w:pPr>
            <w:r>
              <w:rPr>
                <w:rFonts w:ascii="Arial" w:cs="Arial" w:eastAsia="Arial" w:hAnsi="Arial"/>
                <w:sz w:val="17"/>
                <w:szCs w:val="17"/>
                <w:color w:val="0000FF"/>
              </w:rPr>
              <w:t>/s/ Edward Dallin Bagley</w:t>
            </w:r>
          </w:p>
        </w:tc>
        <w:tc>
          <w:tcPr>
            <w:tcW w:w="780" w:type="dxa"/>
            <w:vAlign w:val="bottom"/>
          </w:tcPr>
          <w:p>
            <w:pPr>
              <w:spacing w:after="0"/>
              <w:rPr>
                <w:sz w:val="20"/>
                <w:szCs w:val="20"/>
                <w:color w:val="auto"/>
              </w:rPr>
            </w:pPr>
            <w:r>
              <w:rPr>
                <w:rFonts w:ascii="Arial" w:cs="Arial" w:eastAsia="Arial" w:hAnsi="Arial"/>
                <w:sz w:val="17"/>
                <w:szCs w:val="17"/>
                <w:color w:val="0000FF"/>
                <w:w w:val="89"/>
              </w:rPr>
              <w:t>06/02/2017</w:t>
            </w:r>
          </w:p>
        </w:tc>
      </w:tr>
      <w:tr>
        <w:trPr>
          <w:trHeight w:val="20"/>
        </w:trPr>
        <w:tc>
          <w:tcPr>
            <w:tcW w:w="17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5"/>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0897911" TargetMode="External"/><Relationship Id="rId13" Type="http://schemas.openxmlformats.org/officeDocument/2006/relationships/hyperlink" Target="http://www.sec.gov/cgi-bin/browse-edgar?action=getcompany&amp;CIK=00008407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2019-12-03T23:32:57Z</dcterms:created>
  <dcterms:modified xsi:type="dcterms:W3CDTF">2019-12-03T23:32:57Z</dcterms:modified>
</cp:coreProperties>
</file>