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u w:val="single" w:color="auto"/>
          <w:color w:val="auto"/>
        </w:rPr>
        <w:t>April 26, 2018 (April 20,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jc w:val="center"/>
              <w:ind w:right="114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50"/>
              <w:spacing w:after="0"/>
              <w:rPr>
                <w:sz w:val="20"/>
                <w:szCs w:val="20"/>
                <w:color w:val="auto"/>
              </w:rPr>
            </w:pPr>
            <w:r>
              <w:rPr>
                <w:rFonts w:ascii="Arial" w:cs="Arial" w:eastAsia="Arial" w:hAnsi="Arial"/>
                <w:sz w:val="18"/>
                <w:szCs w:val="18"/>
                <w:b w:val="1"/>
                <w:bCs w:val="1"/>
                <w:color w:val="auto"/>
              </w:rPr>
              <w:t>84116</w:t>
            </w:r>
          </w:p>
        </w:tc>
      </w:tr>
      <w:tr>
        <w:trPr>
          <w:trHeight w:val="224"/>
        </w:trPr>
        <w:tc>
          <w:tcPr>
            <w:tcW w:w="754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1"/>
              </w:rPr>
              <w:t>(Zip Code)</w:t>
            </w:r>
          </w:p>
        </w:tc>
      </w:tr>
      <w:tr>
        <w:trPr>
          <w:trHeight w:val="377"/>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26, 2018, ClearOne, Inc. (the “Company”) issued a press release announcing its compliance with Nasdaq listing requirements as confirmed by Nasdaq.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43" w:lineRule="exact"/>
        <w:rPr>
          <w:sz w:val="20"/>
          <w:szCs w:val="20"/>
          <w:color w:val="auto"/>
        </w:rPr>
      </w:pPr>
    </w:p>
    <w:p>
      <w:pPr>
        <w:spacing w:after="0"/>
        <w:tabs>
          <w:tab w:leader="none" w:pos="740" w:val="left"/>
        </w:tabs>
        <w:rPr>
          <w:sz w:val="20"/>
          <w:szCs w:val="20"/>
          <w:color w:val="auto"/>
        </w:rPr>
      </w:pPr>
      <w:r>
        <w:rPr>
          <w:rFonts w:ascii="Arial" w:cs="Arial" w:eastAsia="Arial" w:hAnsi="Arial"/>
          <w:sz w:val="36"/>
          <w:szCs w:val="36"/>
          <w:b w:val="1"/>
          <w:bCs w:val="1"/>
          <w:color w:val="auto"/>
          <w:vertAlign w:val="superscript"/>
        </w:rPr>
        <w:t>Exhibit</w:t>
      </w:r>
      <w:r>
        <w:rPr>
          <w:sz w:val="20"/>
          <w:szCs w:val="20"/>
          <w:color w:val="auto"/>
        </w:rPr>
        <w:tab/>
      </w:r>
      <w:r>
        <w:rPr>
          <w:rFonts w:ascii="Arial" w:cs="Arial" w:eastAsia="Arial" w:hAnsi="Arial"/>
          <w:sz w:val="15"/>
          <w:szCs w:val="15"/>
          <w:b w:val="1"/>
          <w:bCs w:val="1"/>
          <w:color w:val="auto"/>
        </w:rPr>
        <w:t>Description</w:t>
      </w: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spacing w:after="0"/>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Exhibit</w:t>
      </w:r>
      <w:r>
        <w:rPr>
          <w:sz w:val="20"/>
          <w:szCs w:val="20"/>
          <w:color w:val="auto"/>
        </w:rPr>
        <w:tab/>
      </w:r>
      <w:hyperlink w:anchor="page5">
        <w:r>
          <w:rPr>
            <w:rFonts w:ascii="Arial" w:cs="Arial" w:eastAsia="Arial" w:hAnsi="Arial"/>
            <w:sz w:val="18"/>
            <w:szCs w:val="18"/>
            <w:u w:val="single" w:color="auto"/>
            <w:color w:val="0000EE"/>
          </w:rPr>
          <w:t>Press Release dated April 26, 2018 titled “ClearOne Announces Compliance with NASDAQ”.</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CLEARONE,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April 26, 2018</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195"/>
        </w:trPr>
        <w:tc>
          <w:tcPr>
            <w:tcW w:w="3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5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47" w:lineRule="exact"/>
        <w:rPr>
          <w:sz w:val="20"/>
          <w:szCs w:val="20"/>
          <w:color w:val="auto"/>
        </w:rPr>
      </w:pPr>
    </w:p>
    <w:p>
      <w:pPr>
        <w:spacing w:after="0"/>
        <w:tabs>
          <w:tab w:leader="none" w:pos="740" w:val="left"/>
        </w:tabs>
        <w:rPr>
          <w:sz w:val="20"/>
          <w:szCs w:val="20"/>
          <w:color w:val="auto"/>
        </w:rPr>
      </w:pPr>
      <w:r>
        <w:rPr>
          <w:rFonts w:ascii="Arial" w:cs="Arial" w:eastAsia="Arial" w:hAnsi="Arial"/>
          <w:sz w:val="36"/>
          <w:szCs w:val="36"/>
          <w:b w:val="1"/>
          <w:bCs w:val="1"/>
          <w:color w:val="auto"/>
          <w:vertAlign w:val="superscript"/>
        </w:rPr>
        <w:t>Exhibit</w:t>
      </w:r>
      <w:r>
        <w:rPr>
          <w:sz w:val="20"/>
          <w:szCs w:val="20"/>
          <w:color w:val="auto"/>
        </w:rPr>
        <w:tab/>
      </w:r>
      <w:r>
        <w:rPr>
          <w:rFonts w:ascii="Arial" w:cs="Arial" w:eastAsia="Arial" w:hAnsi="Arial"/>
          <w:sz w:val="15"/>
          <w:szCs w:val="15"/>
          <w:b w:val="1"/>
          <w:bCs w:val="1"/>
          <w:color w:val="auto"/>
        </w:rPr>
        <w:t>Description</w:t>
      </w: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Exhibit</w:t>
        <w:tab/>
        <w:t>Press Release dated April 26, 2018 titled “ClearOne Announces Compliance with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ectPr>
          <w:pgSz w:w="11900" w:h="16838" w:orient="portrait"/>
          <w:cols w:equalWidth="0" w:num="1">
            <w:col w:w="10219"/>
          </w:cols>
          <w:pgMar w:left="24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17145</wp:posOffset>
            </wp:positionV>
            <wp:extent cx="196405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405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Announces Compliance with NASDAQ</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SALT LAKE CITY, April 26, 2018 /PRNewswire/ -- ClearOne (NASDAQ: CLRO), a global provider of audio and visual communications solutions, today announced that the NASDAQ Stock Market has confirmed the Company is in compliance with NASDAQ Listing Rule 5250(c)(1), after the Company filed its Annual Report on Form 10-K for the year ended December 31, 2017 with the U.S. Securities and Exchange Commission on April 20,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 http://investors.clearone.com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2019-12-28T23:02:20Z</dcterms:created>
  <dcterms:modified xsi:type="dcterms:W3CDTF">2019-12-28T23:02:20Z</dcterms:modified>
</cp:coreProperties>
</file>