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ClearOne,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32"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3167380</wp:posOffset>
            </wp:positionH>
            <wp:positionV relativeFrom="page">
              <wp:posOffset>183515</wp:posOffset>
            </wp:positionV>
            <wp:extent cx="123507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188595"/>
                    </a:xfrm>
                    <a:prstGeom prst="rect">
                      <a:avLst/>
                    </a:prstGeom>
                    <a:noFill/>
                  </pic:spPr>
                </pic:pic>
              </a:graphicData>
            </a:graphic>
          </wp:anchor>
        </w:drawing>
        <w:t>CLEARONE,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 2013</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Annual Meeting of Shareholders of ClearOne, Inc., a Utah corporation, will be held at 9:00 a.m., local time, on December 3, 2013, at our corporate offices, 5225 Wiley Post Way, Suite 500, Salt Lake City, Utah 84116.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describes the purpose of the Annual Meeting:</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four members of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our independent public accountants;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compensation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frequency of advisory vote on compensation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 proposal not to restore voting rights to certain control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shareholders of record at the close of business on October 15, 2013 are entitled to notice of and to vote at the meeting.</w:t>
      </w:r>
    </w:p>
    <w:p>
      <w:pPr>
        <w:spacing w:after="0" w:line="225"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(801) 975-7200.</w:t>
      </w:r>
    </w:p>
    <w:p>
      <w:pPr>
        <w:spacing w:after="0" w:line="15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2013 Annual Meeting of Shareholders to be held on December 3, 2013. </w:t>
      </w:r>
      <w:r>
        <w:rPr>
          <w:rFonts w:ascii="Arial" w:cs="Arial" w:eastAsia="Arial" w:hAnsi="Arial"/>
          <w:sz w:val="16"/>
          <w:szCs w:val="16"/>
          <w:color w:val="auto"/>
        </w:rPr>
        <w:t xml:space="preserve">Because we have elected to 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2012 are available on our corporate website and may be accessed at </w:t>
      </w:r>
      <w:r>
        <w:rPr>
          <w:rFonts w:ascii="Arial" w:cs="Arial" w:eastAsia="Arial" w:hAnsi="Arial"/>
          <w:sz w:val="16"/>
          <w:szCs w:val="16"/>
          <w:i w:val="1"/>
          <w:iCs w:val="1"/>
          <w:color w:val="auto"/>
        </w:rPr>
        <w:t>www.clearone.com</w:t>
      </w:r>
      <w:r>
        <w:rPr>
          <w:rFonts w:ascii="Arial" w:cs="Arial" w:eastAsia="Arial" w:hAnsi="Arial"/>
          <w:sz w:val="16"/>
          <w:szCs w:val="16"/>
          <w:color w:val="auto"/>
        </w:rPr>
        <w:t xml:space="preserve"> under “Investor Relations”</w:t>
      </w:r>
      <w:r>
        <w:rPr>
          <w:rFonts w:ascii="Arial" w:cs="Arial" w:eastAsia="Arial" w:hAnsi="Arial"/>
          <w:sz w:val="16"/>
          <w:szCs w:val="16"/>
          <w:i w:val="1"/>
          <w:iCs w:val="1"/>
          <w:color w:val="auto"/>
        </w:rPr>
        <w:t>.</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169545</wp:posOffset>
            </wp:positionV>
            <wp:extent cx="82359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8, 2013</w:t>
      </w:r>
    </w:p>
    <w:p>
      <w:pPr>
        <w:sectPr>
          <w:pgSz w:w="11900" w:h="16838" w:orient="portrait"/>
          <w:cols w:equalWidth="0" w:num="1">
            <w:col w:w="11380"/>
          </w:cols>
          <w:pgMar w:left="240" w:top="783" w:right="2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CLEARONE,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This Proxy Statement is solicited by and on behalf of the Board of Directors of ClearOne, Inc., a Utah corporation (hereinafter referred to as the “Company,” “ClearOne,” “we,” “us” or “our”) for use at the Annual Meeting of Shareholders (the “Annual Meeting”), to be held on December 3, 2013 at our corporate offices located at 5225 Wiley Post Way, Suite 500, Salt Lake City, Utah 84116, at 9:00 a.m. local time, or at any continuations thereof.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proxy solicitation materials will be distributed on or about November 8, 2013 to all shareholders entitled to vote at the meeting.</w:t>
      </w:r>
    </w:p>
    <w:p>
      <w:pPr>
        <w:spacing w:after="0" w:line="329" w:lineRule="exact"/>
        <w:rPr>
          <w:sz w:val="20"/>
          <w:szCs w:val="20"/>
          <w:color w:val="auto"/>
        </w:rPr>
      </w:pPr>
    </w:p>
    <w:p>
      <w:pPr>
        <w:ind w:right="5640"/>
        <w:spacing w:after="0" w:line="425" w:lineRule="auto"/>
        <w:rPr>
          <w:sz w:val="20"/>
          <w:szCs w:val="20"/>
          <w:color w:val="auto"/>
        </w:rPr>
      </w:pPr>
      <w:r>
        <w:rPr>
          <w:rFonts w:ascii="Arial" w:cs="Arial" w:eastAsia="Arial" w:hAnsi="Arial"/>
          <w:sz w:val="16"/>
          <w:szCs w:val="16"/>
          <w:b w:val="1"/>
          <w:bCs w:val="1"/>
          <w:color w:val="auto"/>
        </w:rPr>
        <w:t>QUESTIONS AND ANSWERS REGARDING THE ANNUAL MEETING What is the purpose of this Proxy Statement and accompanying Proxy?</w:t>
      </w:r>
    </w:p>
    <w:p>
      <w:pPr>
        <w:spacing w:after="0" w:line="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as proxies for the Annual Meeting. These officers are Zeynep (“Zee”) Hakimoglu and Narasimhan (“Narsi”) Narayanan.</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purpose of the Annual Meeting is to: (i) elect four directors; (ii) ratify the appointment of McGladrey LLP as our independent public accountants for the year ending December 31, 2013; (iii) approve, by non-binding advisory vote, the compensation of our named executive officers; (iv) approve, by non-binding advisory vote, the frequency of advisory vote on compensation of our named executive officers; (v) vote on a proposal not to restore voting rights to certain control shares; and (vi)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voting at the Annual Meeting?</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October 15, 2013 (the “Record Date”). As of the Record Date, 8,989,153 shares of common stock were issued and outstanding. No other series of stock is outstanding. Holders of the shares of common stock have no preemptive rights. The transfer agent for the common stock is Broadridge.</w:t>
      </w:r>
    </w:p>
    <w:p>
      <w:pPr>
        <w:sectPr>
          <w:pgSz w:w="11900" w:h="16838" w:orient="portrait"/>
          <w:cols w:equalWidth="0" w:num="1">
            <w:col w:w="11380"/>
          </w:cols>
          <w:pgMar w:left="240" w:top="27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is the quorum requirement for the Annual Meeting?</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which are described below, will be counted as “represented” for the purpose of determining the presence or absence of a quorum.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broker can register your shares as present at the Annual Meeting for purposes of attendance and obtaining a quorum, but will not be able to vote on those matters for which specific authorization is required. Similar to abstentions, broker non-votes are not considered votes cast. Broker non-votes will have no effect on the voting of Proposals One through Four that are on the agenda to be presented at the meeting and will not be counted as a vote against Proposal Five.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ratification of the independent public accountants is the only routine matter on which brokers may vote in their discretion on behalf of customers who have not provided voting instructions.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election of directors, the advisory vote on the compensation of named executive officers, the advisory vote on the frequency of advisory vote on the compensation of named executive officers, and the proposal not to restore voting rights to control shares are non-routine matters on which brokers are not allowed to vote unless they have received voting instructions from their customers. Your broker will not be allowed to vote your shares on any of these non-routine matters without your specific instructions. Accordingly, it is particularly important that beneficial owners instruct their brokers on how they wish to vote their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all matters other than Proposal Five and except as provided by Utah law as set forth herein, each holder of common stock will be entitled to one vote for each share of common stock held on the Record Date. Shareholders holding “interested shares” as defined by Utah law are not eligible to vote on Proposal Five, but all shareholders otherwise entitled to vote will have one vote for each share of common stock held on the Record Date on Proposal Five. See “Proposal Five - Proposal Not To Restore Voting Rights to Certain Control Shares.” Assuming that a quorum is present, the votes needed to approve each Proposal are set forth below.</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Proposals One Through Four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election of directors, shareholders will not be allowed to cumulate their votes. The election of directors will be determined by plurality vote.</w:t>
      </w:r>
    </w:p>
    <w:p>
      <w:pPr>
        <w:spacing w:after="0" w:line="23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Proposal to ratify the appointment of McGladrey LLP to serve as our independent public accountants for the year ending December 31, 2013 and the Proposal for approval of the compensation of our named executive officers require that the votes cast in favor of the Proposal must exceed the votes cast against the Proposal.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5" w:name="page6"/>
    <w:bookmarkEnd w:id="5"/>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option that receives the highest number of votes cast by shareholders for the frequency of advisory vote on compensation of our named executive officers will be considered to be the shareholders’ preferred frequency for such advisory vote.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Abstentions and broker non-votes will not affect the outcome of the election of directors, the Proposal to ratify the appointment our independent public accountants, the Proposals for approval of the compensation of our named executive officers or the frequency of advisory vote on compensation of our named executive officers.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Five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vote “for” Proposal Five will count in favor of not restoring voting rights to the control shares.</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Proposal not to restore voting rights to certain control shares requires the number of votes cast “for”, along with the number of abstentions and broker non-votes, to total at least a majority of all the votes entitled to be cast, which, solely for purposes of such Proposal Five, excludes any “interested shares.”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Any other matter properly presented for approval by the shareholders at the Annual Meeting will generally be approved if the number of votes cast in favor of such matter exceeds the number of votes cast in opposition. With respect to any such matter, abstentions and broker non-votes are not likely to affect the outcome of a vote on such matter. We are currently not aware of any other matters to be presented at the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 of Director’s recommendations on the Proposals?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shareholders cast their votes on the Proposals as follows:</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all director nominees listed in this Proxy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our independent public accountants,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by non-binding advisory vote, the approval of the compensation of our named executive officers,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by non-binding advisory vote, the option of once every three years as the preferred frequency of advisory vote on compensation of our named executive officers,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Proposal not to restore voting rights to certain control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an “advisory” vote?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Because your votes with respect to approval of our named executive officer compensation and the frequency of future advisory votes on the approval of our named executive officer compensation are advisory, they will not be binding upon the Board. However, our Compensation Committee and the Board will take the outcomes of the votes into account when considering future executive compensation arrangements of our named executive officers and when determining the frequency of future advisory votes on the approval of named executive officer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121" w:lineRule="exact"/>
        <w:rPr>
          <w:sz w:val="20"/>
          <w:szCs w:val="20"/>
          <w:color w:val="auto"/>
        </w:rPr>
      </w:pPr>
    </w:p>
    <w:p>
      <w:pPr>
        <w:jc w:val="both"/>
        <w:ind w:right="520" w:firstLine="456"/>
        <w:spacing w:after="0" w:line="342"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do I vote?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your shares of common stock are held in street name by a broker, bank, trust or other nominee, you will receive information from your nominee as to how to instruct them to vote your shares of common stock for each of the Proposals discussed in this proxy statement.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you are a shareholder of record and hold common stock in your own name, you may give instructions on how to vote your shares of common stock by following the instructions on the proxy card on how to vote over the Internet, by phone, or by mail by completing, signing, dating and returning the proxy card.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the election of each of the nominees set forth in this proxy statement, FOR the ratification of the appointment of our independent public accountants, FOR the approval of compensation of our named executive officers, FOR the option of once every three years as the preferred frequency of advisory vote on compensation of named executive officers and FOR the proposal not to restore voting rights to certain control shares. Votes will be tabulated by Broadridge.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before the vote is taken at the Annual Meeting by:</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signing and submitting a new proxy with a later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a signed, written notice of revocation with the Corporate Secretary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 attendance at the Annual Meeting will not automatically revoke your proxy.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You may obtain an additional proxy card by writing to ClearOne, Inc., 5225 Wiley Post Way, Suite 500, Salt Lake City, Utah 84116, Attention: Corporate Secretary. If the Common Stock you own is held on your behalf by a broker, bank, trust or other nominee, you must contact the nominee to receive instructions as to how you can revoke your proxy.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(4) business days after the final voting results are known. You may access or obtain a copy of these and our other reports filed with the SEC free of charge on our web site at </w:t>
      </w:r>
      <w:r>
        <w:rPr>
          <w:rFonts w:ascii="Arial" w:cs="Arial" w:eastAsia="Arial" w:hAnsi="Arial"/>
          <w:sz w:val="18"/>
          <w:szCs w:val="18"/>
          <w:i w:val="1"/>
          <w:iCs w:val="1"/>
          <w:color w:val="auto"/>
        </w:rPr>
        <w:t>http://www.clearone.com</w:t>
      </w:r>
      <w:r>
        <w:rPr>
          <w:rFonts w:ascii="Arial" w:cs="Arial" w:eastAsia="Arial" w:hAnsi="Arial"/>
          <w:sz w:val="18"/>
          <w:szCs w:val="18"/>
          <w:color w:val="auto"/>
        </w:rPr>
        <w:t xml:space="preserve">. Also, such Form 8-K, any amendments thereto and other reports we file with the SEC are available to you over the Internet at 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view the shareholder list?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 complete list of shareholders of record will be available for viewing during ordinary business hours for a period of ten (10) days before the Annual Meeting at our offices located at 5225 Wiley Post Way, Suite 500, Salt Lake City, Utah 84116.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pays for the proxy solicitation related to the Annual Meeting?</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will bear the costs of the solicitation. The solicitation of proxies by the Board of Directors will be conducted primarily by mail and through the Internet. To assist us in our solicitation, we have retained the services of Okapi Partners LLC, a professional proxy solicitation firm. Additionally, our officers, directors and employees may solicit proxies personally or by telephone, email or other forms of electronic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the Annual Report on Form 10-K?</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Our 2012 Annual Report on Form 10-K, as amended, has been made available to shareholders with or preceding this proxy statement. The 2012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73"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We will provide, without charge, a printed copy of our 2012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REGARDING PROPOSAL FIVE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including “Proposal Five - Proposal Not to Restore Voting Rights to Certain Control Shares” in this Proxy Statement?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Utah law requires us to put Proposal Five to the Company’s disinterested shareholders for a vote. Under Utah law, a person who acquires “control shares” of an issuing public corporation, such as us, may not vote such shares unless such voting rights are restored by at least a majority of all votes entitled to be cast by the disinterested shareholders. For these purposes, “control shares” are shares acquired by a person that, when added to all other shares owned by such person or in respect of which that person may exercise or direct the exercise of voting power, would otherwise entitle that person to exercise or direct the exercise of the voting power of the issuing public corporation in the election of directors within any of the following ranges: (i) one-fifth or more but less than one-third; (ii) one-third or more but less than a majority; or (iii) a majority or more.</w:t>
      </w:r>
    </w:p>
    <w:p>
      <w:pPr>
        <w:spacing w:after="0" w:line="17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Mr. Edward Dallin Bagley, our largest shareholder and only shareholder that owns more than one-fifth of our issued and outstanding common stock, currently owns approximately 30.6% of our outstanding shares of common stock. The purpose of Proposal Five is to vote on whether or not disinterested shareholders approve the restoration of voting rights to the control shares owned by Edward Dallin Bagley which represent one-fifth or more but less than one-third of the voting power of our common stock in the election of its directors. For purposes of Proposal Five, “certain control shares” are only</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Bagley’s shares exceeding 20% or more of the shares of the Company’s outstanding shares held by him. Regardless of the outcome of the Proposal Five, Mr. Bagley will still be free to vote his shares up to the 20% threshold.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know if I am a disinterested shareholder entitled to vote on Proposal Five?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Shareholders who </w:t>
      </w:r>
      <w:r>
        <w:rPr>
          <w:rFonts w:ascii="Arial" w:cs="Arial" w:eastAsia="Arial" w:hAnsi="Arial"/>
          <w:sz w:val="18"/>
          <w:szCs w:val="18"/>
          <w:i w:val="1"/>
          <w:iCs w:val="1"/>
          <w:u w:val="single" w:color="auto"/>
          <w:color w:val="auto"/>
        </w:rPr>
        <w:t>do not</w:t>
      </w:r>
      <w:r>
        <w:rPr>
          <w:rFonts w:ascii="Arial" w:cs="Arial" w:eastAsia="Arial" w:hAnsi="Arial"/>
          <w:sz w:val="18"/>
          <w:szCs w:val="18"/>
          <w:color w:val="auto"/>
        </w:rPr>
        <w:t xml:space="preserve"> fall within one of the following categories of persons are entitled to vote on Proposal Five:</w:t>
      </w:r>
    </w:p>
    <w:p>
      <w:pPr>
        <w:spacing w:after="0" w:line="131" w:lineRule="exact"/>
        <w:rPr>
          <w:sz w:val="20"/>
          <w:szCs w:val="20"/>
          <w:color w:val="auto"/>
        </w:rPr>
      </w:pPr>
    </w:p>
    <w:p>
      <w:pPr>
        <w:jc w:val="center"/>
        <w:ind w:left="5660" w:right="1140" w:hanging="5206"/>
        <w:spacing w:after="0" w:line="449" w:lineRule="auto"/>
        <w:tabs>
          <w:tab w:leader="none" w:pos="8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Edward Dallin Bagley, as the owner of the control shares at issue or any member of a group with respect to the control shares; 5</w:t>
      </w:r>
    </w:p>
    <w:p>
      <w:pPr>
        <w:sectPr>
          <w:pgSz w:w="11900" w:h="16838" w:orient="portrait"/>
          <w:cols w:equalWidth="0" w:num="1">
            <w:col w:w="11420"/>
          </w:cols>
          <w:pgMar w:left="240" w:top="270" w:right="239" w:bottom="1440" w:gutter="0" w:footer="0" w:header="0"/>
        </w:sectPr>
      </w:pPr>
    </w:p>
    <w:bookmarkStart w:id="8" w:name="page9"/>
    <w:bookmarkEnd w:id="8"/>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our officers;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employee of ours who also serves as a director.</w:t>
      </w:r>
    </w:p>
    <w:p>
      <w:pPr>
        <w:spacing w:after="0" w:line="32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How does the Board recommend that shareholders vote on the restoration of voting rights to the control shares owned by Mr. Edward Dallin Bagley?</w:t>
      </w:r>
    </w:p>
    <w:p>
      <w:pPr>
        <w:spacing w:after="0" w:line="5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After careful consideration of the best interests of the Company and all of its shareholders, including a thorough review of Utah law with our legal and other advisors with respect to the control shares held by Mr. Bagley, and consultation with the appropriate executive officers, the Board has determined to recommend </w:t>
      </w:r>
      <w:r>
        <w:rPr>
          <w:rFonts w:ascii="Arial" w:cs="Arial" w:eastAsia="Arial" w:hAnsi="Arial"/>
          <w:sz w:val="17"/>
          <w:szCs w:val="17"/>
          <w:u w:val="single" w:color="auto"/>
          <w:color w:val="auto"/>
        </w:rPr>
        <w:t>for</w:t>
      </w:r>
      <w:r>
        <w:rPr>
          <w:rFonts w:ascii="Arial" w:cs="Arial" w:eastAsia="Arial" w:hAnsi="Arial"/>
          <w:sz w:val="17"/>
          <w:szCs w:val="17"/>
          <w:color w:val="auto"/>
        </w:rPr>
        <w:t xml:space="preserve"> the proposal not to restore voting rights to the control shares held by Mr. Bagley. (Note: a vote “against” Proposal Five will count in favor of restoring voting rights to the control shares held by Mr. Bagley). The factors considered by the Board in reaching this determination are described below in Proposal Five under the section titled “Recommendation by the Board of Directors.”</w:t>
      </w:r>
    </w:p>
    <w:p>
      <w:pPr>
        <w:spacing w:after="0" w:line="2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Since the Board has determined to recommend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restore voting rights to the control shares owned by Mr. Bagley, why are we soliciting proxies from shareholders?</w:t>
      </w:r>
    </w:p>
    <w:p>
      <w:pPr>
        <w:spacing w:after="0" w:line="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Utah law reserves the decision of whether or not to restore voting rights to the control shares owned by Mr. Bagley to our disinterested shareholders. Our Board has determined to recommend for the proposal not to restore voting rights to the control shares owned by Mr. Bagley, and the Board desires to provide shareholders with the factors reviewed by the Board in providing their recommendation. The Board also believes that it is important that shareholders be assured that the voting process for the Annual Meeting will be handled fairly and properly and in accordance with prevailing laws and regulations. The proxies designated on the proxy card will vote, as directed by you, as designated on the completed, signed and returned proxy card that is not subsequently revoked.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What happens if the Proposal not to restore voting rights to certain shares </w:t>
      </w:r>
      <w:r>
        <w:rPr>
          <w:rFonts w:ascii="Arial" w:cs="Arial" w:eastAsia="Arial" w:hAnsi="Arial"/>
          <w:sz w:val="18"/>
          <w:szCs w:val="18"/>
          <w:b w:val="1"/>
          <w:bCs w:val="1"/>
          <w:u w:val="single" w:color="auto"/>
          <w:color w:val="auto"/>
        </w:rPr>
        <w:t>is</w:t>
      </w:r>
      <w:r>
        <w:rPr>
          <w:rFonts w:ascii="Arial" w:cs="Arial" w:eastAsia="Arial" w:hAnsi="Arial"/>
          <w:sz w:val="18"/>
          <w:szCs w:val="18"/>
          <w:b w:val="1"/>
          <w:bCs w:val="1"/>
          <w:color w:val="auto"/>
        </w:rPr>
        <w:t xml:space="preserve"> approved?</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Proposal Five is approved, Mr. Bagley will not be able to vote his shares exceeding 20% or more of the Company’s outstanding shares, but he will still be able to vote his shares amounting to up to 20% of the Company’s outstanding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What if the Proposal not to restore voting rights to certain control shares </w:t>
      </w:r>
      <w:r>
        <w:rPr>
          <w:rFonts w:ascii="Arial" w:cs="Arial" w:eastAsia="Arial" w:hAnsi="Arial"/>
          <w:sz w:val="18"/>
          <w:szCs w:val="18"/>
          <w:b w:val="1"/>
          <w:bCs w:val="1"/>
          <w:u w:val="single" w:color="auto"/>
          <w:color w:val="auto"/>
        </w:rPr>
        <w:t>is not</w:t>
      </w:r>
      <w:r>
        <w:rPr>
          <w:rFonts w:ascii="Arial" w:cs="Arial" w:eastAsia="Arial" w:hAnsi="Arial"/>
          <w:sz w:val="18"/>
          <w:szCs w:val="18"/>
          <w:b w:val="1"/>
          <w:bCs w:val="1"/>
          <w:color w:val="auto"/>
        </w:rPr>
        <w:t xml:space="preserve"> approved?</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the proposal not to restore voting rights to the control shares owned by Mr. Bagley is not approved, Mr. Bagley will be allowed to vote all common stock held by him, which is currently 30.6% of our outstanding common stock. Mr. Bagley is currently the only shareholder who owns control shares under Utah law, and this vote will not apply to any control shares that may be obtained by other shareholders in the future or control shares that may be obtained by Mr. Bagley in the future that are more than one-third of our outstanding common stock; upon any such acquisition, our shareholders would be entitled to a new, separate vote to restore voting rights to any such additional control share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want to vote to restore voting power to the control shares held by Mr. Bagley?</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 xml:space="preserve">In order for voting rights to be </w:t>
      </w:r>
      <w:r>
        <w:rPr>
          <w:rFonts w:ascii="Arial" w:cs="Arial" w:eastAsia="Arial" w:hAnsi="Arial"/>
          <w:sz w:val="16"/>
          <w:szCs w:val="16"/>
          <w:i w:val="1"/>
          <w:iCs w:val="1"/>
          <w:color w:val="auto"/>
        </w:rPr>
        <w:t>restored</w:t>
      </w:r>
      <w:r>
        <w:rPr>
          <w:rFonts w:ascii="Arial" w:cs="Arial" w:eastAsia="Arial" w:hAnsi="Arial"/>
          <w:sz w:val="16"/>
          <w:szCs w:val="16"/>
          <w:color w:val="auto"/>
        </w:rPr>
        <w:t xml:space="preserve"> to the control shares, the number of votes cast “against” Proposal Five must be at least a majority of all the votes entitled to be cast. Abstentions and broker non-votes are not considered votes cast and will not be counted as votes against Proposal Five.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Articles of Incorporation and bylaws provide that our Board of Directors shall consist of not less than three (3) nor more than nine (9) members as determined by the Board of Directors or our shareholders from time to time. The Board of Directors fixed the number of directors at four (4) in December 2012. The term of each of our directors expires at the 2013 Annual Meeting. We have nominated all four (4) existing directors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29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ELECTION OF THE DIRECTOR NOMINEES NAMED HEREIN.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our directors and nominees for directors.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96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8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Director Since</w:t>
            </w:r>
          </w:p>
        </w:tc>
      </w:tr>
      <w:tr>
        <w:trPr>
          <w:trHeight w:val="189"/>
        </w:trPr>
        <w:tc>
          <w:tcPr>
            <w:tcW w:w="3880" w:type="dxa"/>
            <w:vAlign w:val="bottom"/>
            <w:gridSpan w:val="2"/>
          </w:tcPr>
          <w:p>
            <w:pPr>
              <w:spacing w:after="0" w:line="189" w:lineRule="exact"/>
              <w:rPr>
                <w:sz w:val="20"/>
                <w:szCs w:val="20"/>
                <w:color w:val="auto"/>
              </w:rPr>
            </w:pPr>
            <w:r>
              <w:rPr>
                <w:rFonts w:ascii="Arial" w:cs="Arial" w:eastAsia="Arial" w:hAnsi="Arial"/>
                <w:sz w:val="18"/>
                <w:szCs w:val="18"/>
                <w:color w:val="auto"/>
              </w:rPr>
              <w:t>Zeynep “Zee” Hakimoglu</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60</w:t>
            </w:r>
          </w:p>
        </w:tc>
        <w:tc>
          <w:tcPr>
            <w:tcW w:w="2960" w:type="dxa"/>
            <w:vAlign w:val="bottom"/>
          </w:tcPr>
          <w:p>
            <w:pPr>
              <w:ind w:left="520"/>
              <w:spacing w:after="0" w:line="189" w:lineRule="exact"/>
              <w:rPr>
                <w:sz w:val="20"/>
                <w:szCs w:val="20"/>
                <w:color w:val="auto"/>
              </w:rPr>
            </w:pPr>
            <w:r>
              <w:rPr>
                <w:rFonts w:ascii="Arial" w:cs="Arial" w:eastAsia="Arial" w:hAnsi="Arial"/>
                <w:sz w:val="18"/>
                <w:szCs w:val="18"/>
                <w:color w:val="auto"/>
                <w:w w:val="87"/>
              </w:rPr>
              <w:t>Chairman, Chief Executive Officer,</w:t>
            </w:r>
          </w:p>
        </w:tc>
        <w:tc>
          <w:tcPr>
            <w:tcW w:w="500" w:type="dxa"/>
            <w:vAlign w:val="bottom"/>
          </w:tcPr>
          <w:p>
            <w:pPr>
              <w:ind w:left="160"/>
              <w:spacing w:after="0" w:line="189" w:lineRule="exact"/>
              <w:rPr>
                <w:sz w:val="20"/>
                <w:szCs w:val="20"/>
                <w:color w:val="auto"/>
              </w:rPr>
            </w:pPr>
            <w:r>
              <w:rPr>
                <w:rFonts w:ascii="Arial" w:cs="Arial" w:eastAsia="Arial" w:hAnsi="Arial"/>
                <w:sz w:val="18"/>
                <w:szCs w:val="18"/>
                <w:color w:val="auto"/>
              </w:rPr>
              <w:t>and</w:t>
            </w:r>
          </w:p>
        </w:tc>
        <w:tc>
          <w:tcPr>
            <w:tcW w:w="2860" w:type="dxa"/>
            <w:vAlign w:val="bottom"/>
          </w:tcPr>
          <w:p>
            <w:pPr>
              <w:spacing w:after="0" w:line="189" w:lineRule="exact"/>
              <w:rPr>
                <w:sz w:val="20"/>
                <w:szCs w:val="20"/>
                <w:color w:val="auto"/>
              </w:rPr>
            </w:pPr>
            <w:r>
              <w:rPr>
                <w:rFonts w:ascii="Arial" w:cs="Arial" w:eastAsia="Arial" w:hAnsi="Arial"/>
                <w:sz w:val="18"/>
                <w:szCs w:val="18"/>
                <w:color w:val="auto"/>
              </w:rPr>
              <w:t>President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2006</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Brad R. Baldwin</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6320" w:type="dxa"/>
            <w:vAlign w:val="bottom"/>
            <w:gridSpan w:val="3"/>
          </w:tcPr>
          <w:p>
            <w:pPr>
              <w:ind w:left="520"/>
              <w:spacing w:after="0"/>
              <w:rPr>
                <w:sz w:val="20"/>
                <w:szCs w:val="20"/>
                <w:color w:val="auto"/>
              </w:rPr>
            </w:pPr>
            <w:r>
              <w:rPr>
                <w:rFonts w:ascii="Arial" w:cs="Arial" w:eastAsia="Arial" w:hAnsi="Arial"/>
                <w:sz w:val="18"/>
                <w:szCs w:val="18"/>
                <w:color w:val="auto"/>
              </w:rPr>
              <w:t>Director (1)(2)(3)</w:t>
            </w:r>
          </w:p>
        </w:tc>
        <w:tc>
          <w:tcPr>
            <w:tcW w:w="88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6320" w:type="dxa"/>
            <w:vAlign w:val="bottom"/>
            <w:gridSpan w:val="3"/>
          </w:tcPr>
          <w:p>
            <w:pPr>
              <w:ind w:left="520"/>
              <w:spacing w:after="0"/>
              <w:rPr>
                <w:sz w:val="20"/>
                <w:szCs w:val="20"/>
                <w:color w:val="auto"/>
              </w:rPr>
            </w:pPr>
            <w:r>
              <w:rPr>
                <w:rFonts w:ascii="Arial" w:cs="Arial" w:eastAsia="Arial" w:hAnsi="Arial"/>
                <w:sz w:val="18"/>
                <w:szCs w:val="18"/>
                <w:color w:val="auto"/>
              </w:rPr>
              <w:t>Director (1)(2)(3)</w:t>
            </w: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Scott M. Huntsman</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6320" w:type="dxa"/>
            <w:vAlign w:val="bottom"/>
            <w:gridSpan w:val="3"/>
          </w:tcPr>
          <w:p>
            <w:pPr>
              <w:ind w:left="520"/>
              <w:spacing w:after="0"/>
              <w:rPr>
                <w:sz w:val="20"/>
                <w:szCs w:val="20"/>
                <w:color w:val="auto"/>
              </w:rPr>
            </w:pPr>
            <w:r>
              <w:rPr>
                <w:rFonts w:ascii="Arial" w:cs="Arial" w:eastAsia="Arial" w:hAnsi="Arial"/>
                <w:sz w:val="18"/>
                <w:szCs w:val="18"/>
                <w:color w:val="auto"/>
              </w:rPr>
              <w:t>Director (1)(2)(3)</w:t>
            </w: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2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has served as a director of our company since April 2006. Ms. Hakimoglu joined our company in December 2003 with more than 15</w:t>
      </w:r>
      <w:r>
        <w:rPr>
          <w:rFonts w:ascii="Arial" w:cs="Arial" w:eastAsia="Arial" w:hAnsi="Arial"/>
          <w:sz w:val="16"/>
          <w:szCs w:val="16"/>
          <w:b w:val="1"/>
          <w:bCs w:val="1"/>
          <w:color w:val="auto"/>
        </w:rPr>
        <w:t xml:space="preserve"> </w:t>
      </w:r>
      <w:r>
        <w:rPr>
          <w:rFonts w:ascii="Arial" w:cs="Arial" w:eastAsia="Arial" w:hAnsi="Arial"/>
          <w:sz w:val="16"/>
          <w:szCs w:val="16"/>
          <w:color w:val="auto"/>
        </w:rPr>
        <w:t>years of executive and senior-level, high-tech management experience and was appointed as President and Chief Executive Officer in July 2004 and Chairman of the Board in July 2007. She served in a variety of executive business development, product marketing, engineering and product line management roles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She also served as Vice President of Product Line Management for ClearOne from December 2003 to July 2004.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jc w:val="both"/>
        <w:ind w:right="80" w:firstLine="456"/>
        <w:spacing w:after="0" w:line="289" w:lineRule="auto"/>
        <w:rPr>
          <w:sz w:val="20"/>
          <w:szCs w:val="20"/>
          <w:color w:val="auto"/>
        </w:rPr>
      </w:pPr>
      <w:r>
        <w:rPr>
          <w:rFonts w:ascii="Arial" w:cs="Arial" w:eastAsia="Arial" w:hAnsi="Arial"/>
          <w:sz w:val="17"/>
          <w:szCs w:val="17"/>
          <w:b w:val="1"/>
          <w:bCs w:val="1"/>
          <w:color w:val="auto"/>
        </w:rPr>
        <w:t xml:space="preserve">Brad R. Baldwin </w:t>
      </w:r>
      <w:r>
        <w:rPr>
          <w:rFonts w:ascii="Arial" w:cs="Arial" w:eastAsia="Arial" w:hAnsi="Arial"/>
          <w:sz w:val="17"/>
          <w:szCs w:val="17"/>
          <w:color w:val="auto"/>
        </w:rPr>
        <w:t>has served as a director of our company since October 1988, and was appointed “lead independent director” in 2013. Mr. Baldwin is</w:t>
      </w:r>
      <w:r>
        <w:rPr>
          <w:rFonts w:ascii="Arial" w:cs="Arial" w:eastAsia="Arial" w:hAnsi="Arial"/>
          <w:sz w:val="17"/>
          <w:szCs w:val="17"/>
          <w:b w:val="1"/>
          <w:bCs w:val="1"/>
          <w:color w:val="auto"/>
        </w:rPr>
        <w:t xml:space="preserve"> </w:t>
      </w:r>
      <w:r>
        <w:rPr>
          <w:rFonts w:ascii="Arial" w:cs="Arial" w:eastAsia="Arial" w:hAnsi="Arial"/>
          <w:sz w:val="17"/>
          <w:szCs w:val="17"/>
          <w:color w:val="auto"/>
        </w:rPr>
        <w:t>an attorney licensed to practice in Utah. Since April 2009, Mr. Baldwin has served as general counsel to the Wasatch Front Regional Multiple Listing Service (“WFRMLS”). The WFRMLS currently assists over 10,000 brokers, agents and appraisers with their MLS needs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services. Mr. Baldwin is a Director and Vice-Chairman of First Utah Bank, a community bank based in Utah.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continue to serve as a director.</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Larry R. Hendricks </w:t>
      </w:r>
      <w:r>
        <w:rPr>
          <w:rFonts w:ascii="Arial" w:cs="Arial" w:eastAsia="Arial" w:hAnsi="Arial"/>
          <w:sz w:val="18"/>
          <w:szCs w:val="18"/>
          <w:color w:val="auto"/>
        </w:rPr>
        <w:t>has served as a director of our company since June 2003. Mr. Hendricks is a Certified Public Accountant who retired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2002 after serving as Vice President of Finance and General Manager of Daily Foods, Inc., a national meat processing company. Mr. Hendricks has served on the National Advisory Board of Utah State University College of Business since 2006.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In light of Mr. Hendricks’ background in finance and accounting and his deep understanding of our business after his service on our Board, the Board has concluded Mr. Hendricks should continue to serve as a director.</w:t>
      </w:r>
    </w:p>
    <w:p>
      <w:pPr>
        <w:spacing w:after="0" w:line="1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Scott M. Huntsman </w:t>
      </w:r>
      <w:r>
        <w:rPr>
          <w:rFonts w:ascii="Arial" w:cs="Arial" w:eastAsia="Arial" w:hAnsi="Arial"/>
          <w:sz w:val="16"/>
          <w:szCs w:val="16"/>
          <w:color w:val="auto"/>
        </w:rPr>
        <w:t>has served as a director of our company since June 2003. Mr. Huntsman has served as President of GlobalSim, a technology and</w:t>
      </w:r>
      <w:r>
        <w:rPr>
          <w:rFonts w:ascii="Arial" w:cs="Arial" w:eastAsia="Arial" w:hAnsi="Arial"/>
          <w:sz w:val="16"/>
          <w:szCs w:val="16"/>
          <w:b w:val="1"/>
          <w:bCs w:val="1"/>
          <w:color w:val="auto"/>
        </w:rPr>
        <w:t xml:space="preserve"> </w:t>
      </w:r>
      <w:r>
        <w:rPr>
          <w:rFonts w:ascii="Arial" w:cs="Arial" w:eastAsia="Arial" w:hAnsi="Arial"/>
          <w:sz w:val="16"/>
          <w:szCs w:val="16"/>
          <w:color w:val="auto"/>
        </w:rPr>
        <w:t>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serves as Treasurer, Board Member and Member of the Executive Committee for Ballet West, as well as a Board Member of the Utah Community Foundation and the Gifted Music School.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164" w:lineRule="exact"/>
        <w:rPr>
          <w:sz w:val="20"/>
          <w:szCs w:val="20"/>
          <w:color w:val="auto"/>
        </w:rPr>
      </w:pPr>
    </w:p>
    <w:p>
      <w:pPr>
        <w:ind w:right="520" w:firstLine="456"/>
        <w:spacing w:after="0" w:line="257" w:lineRule="auto"/>
        <w:rPr>
          <w:sz w:val="20"/>
          <w:szCs w:val="20"/>
          <w:color w:val="auto"/>
        </w:rPr>
      </w:pPr>
      <w:r>
        <w:rPr>
          <w:rFonts w:ascii="Arial" w:cs="Arial" w:eastAsia="Arial" w:hAnsi="Arial"/>
          <w:sz w:val="18"/>
          <w:szCs w:val="18"/>
          <w:color w:val="auto"/>
        </w:rPr>
        <w:t>Security holders who would like to send communications to any director or the entire Board may do so by submitting such communications to ClearOne, Inc., 5225 Wiley Post Way, Suite 500, Salt Lake City, Utah 84116, Attention: Investor Relations or investor_relations@clearone.com.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70"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7"/>
          <w:szCs w:val="17"/>
          <w:i w:val="1"/>
          <w:iCs w:val="1"/>
          <w:color w:val="auto"/>
        </w:rPr>
        <w:t>www.clearone.com</w:t>
      </w:r>
      <w:r>
        <w:rPr>
          <w:rFonts w:ascii="Arial" w:cs="Arial" w:eastAsia="Arial" w:hAnsi="Arial"/>
          <w:sz w:val="17"/>
          <w:szCs w:val="17"/>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Lead Independent Director</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provides the appropriate balance between independent oversight of management and the development of strategy.</w:t>
      </w:r>
    </w:p>
    <w:p>
      <w:pPr>
        <w:spacing w:after="0" w:line="18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independent directors have selected Mr. Brad Baldwin to serve as the Board of Directors’ lead independent director. The lead independent director chairs all meetings of the non-employee and independent directors of the Board of Directors, including executive sessions. Interested parties who would like to contact Mr. Baldwin, or the non-employee or independent directors, on a confidential basis, may do so by mailing a written communication to Lead Independent Director, ClearOne, Inc., 5225 Wiley Post Way, Suite 500, Salt Lake City, Utah 84116.</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Role in Risk Oversight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The Audit and Compliance Committee meets to review and discuss our accounting practices and procedures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9"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The members of the Audit and Compliance Committee are Scott M. Huntsman (Chairman), Brad R. Baldwin, and Larry R. Hendricks. Each member of the Audit and Compliance Committee, in addition to being independent under the standards of NASDAQ, is independent under the standards of the Securities and Exchange Commission’s rules and regulations pertaining to listed company audit committees. The Board of Directors has determined that Scott M. Huntsman is an “audit committee financial expert” in accordance with applicable rules and regulations of the SEC.</w:t>
      </w:r>
    </w:p>
    <w:p>
      <w:pPr>
        <w:spacing w:after="0" w:line="16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Scott M. Huntsman.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attract and retain highly qualified individuals capable of making significant contributions to the long-term success of our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align the interest of our executives with the interests of our shareholders such that the risks and rewards of strategic decisions are shared;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i w:val="1"/>
          <w:iCs w:val="1"/>
          <w:color w:val="auto"/>
        </w:rPr>
        <w:t>Policies and Practices Related to ClearOne’s Compensation Program</w:t>
      </w:r>
      <w:r>
        <w:rPr>
          <w:rFonts w:ascii="Arial" w:cs="Arial" w:eastAsia="Arial" w:hAnsi="Arial"/>
          <w:sz w:val="18"/>
          <w:szCs w:val="18"/>
          <w:color w:val="auto"/>
        </w:rPr>
        <w:t>. We strive to create an overall compensation package for each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that satisfies the aforementioned objectives, recognizing that certain elements of compensation are better suited to reflect different compensation objectives. For example,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3" w:name="page14"/>
    <w:bookmarkEnd w:id="1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6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Comparable Companies</w:t>
      </w:r>
      <w:r>
        <w:rPr>
          <w:rFonts w:ascii="Arial" w:cs="Arial" w:eastAsia="Arial" w:hAnsi="Arial"/>
          <w:sz w:val="18"/>
          <w:szCs w:val="18"/>
          <w:color w:val="auto"/>
        </w:rPr>
        <w:t>. In making compensation decisions, including assessing the competitiveness of the total compensation structure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 the Compensation Committee considers compensation survey data from companies that the Compensation Committee has selected as comparable companies, namely comparable in terms of size and location. The Compensation Committee periodically reviews the companies that are included as comparable companies and makes revisions to the group as appropriate. The Compensation Committee reviews surveys and relevant articles on executive compensation practices and receives an annual report from Equilar, Inc. on CEO pay strategies and trends for publicly traded small cap companies.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9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Equity Grant Practices</w:t>
      </w:r>
      <w:r>
        <w:rPr>
          <w:rFonts w:ascii="Arial" w:cs="Arial" w:eastAsia="Arial" w:hAnsi="Arial"/>
          <w:sz w:val="18"/>
          <w:szCs w:val="18"/>
          <w:color w:val="auto"/>
        </w:rPr>
        <w:t>. The Compensation Committee recognizes the importance of equity ownership in the alignment of shareholder and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8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w:t>
      </w:r>
    </w:p>
    <w:p>
      <w:pPr>
        <w:spacing w:after="0" w:line="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2012.</w:t>
      </w:r>
    </w:p>
    <w:p>
      <w:pPr>
        <w:spacing w:after="0" w:line="18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Scott M. Huntsman.</w:t>
      </w:r>
    </w:p>
    <w:p>
      <w:pPr>
        <w:spacing w:after="0" w:line="1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will consider recommendations by shareholders for director nominees if the names of those nominees and relevant biographical information are submitted in writing to our company’s Corporate Secretary in the manner described for shareholder nominations below under the heading “Deadline for Receipt of Shareholder Proposals.” The Nominating Committee identifies and evaluates nominees for our Board of Directors, including nominees recommended by shareholders, based on numerous factors it considers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of Directors will possess the appropriate talent, skills and expertise to oversee the Company’s business.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held a total of 15 meetings in 2012.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Directors attended the 2012 Annual Meeting of Shareholders.</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2012, the Audit and Compliance Committee held five meetings, the Compensation Committee held four meetings, and the Nominating Committee held one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i w:val="1"/>
          <w:iCs w:val="1"/>
          <w:color w:val="auto"/>
        </w:rPr>
        <w:t>www.clearone.com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w:t>
      </w:r>
    </w:p>
    <w:p>
      <w:pPr>
        <w:ind w:firstLine="8"/>
        <w:spacing w:after="0" w:line="287"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Officers, directors, and greater than 10% shareholders are required to furnish us with copies of all Section 16(a) reports they file. Based solely on a review of the reports and amendments to reports furnished to us for the year ended December 31, 2012, and written representations that no other reports were required, we believe that each person who, at any time during such fiscal year, was a director, officer, or beneficial owner of more than 10% of our common stock complied with all Section 16(a) filing requirements during such period, except for the following: Edward Dallin Bagley, a beneficial owner of more than 10% of our common stock, filed two Forms 4 late for one transaction each and another Form 4 late for two transactions; E. Bryan Bagley, a former director, filed one Form 4 late for two transactions; Brad Baldwin, a director, filed one Form 4 late for one transaction; Michael Braithwaite, an officer, filed one Form 4 late for three transactions and another Form 4 late for one transaction; Zee Hakimoglu, a director and an officer, filed two Forms 4 late for one transaction each; Larry Hendricks, a director, filed one Form 4 late for one transaction; and Narsi Narayanan, an officer, filed one Form 4 late for one transaction.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700"/>
              <w:spacing w:after="0"/>
              <w:rPr>
                <w:sz w:val="20"/>
                <w:szCs w:val="20"/>
                <w:color w:val="auto"/>
              </w:rPr>
            </w:pPr>
            <w:r>
              <w:rPr>
                <w:rFonts w:ascii="Arial" w:cs="Arial" w:eastAsia="Arial" w:hAnsi="Arial"/>
                <w:sz w:val="18"/>
                <w:szCs w:val="18"/>
                <w:b w:val="1"/>
                <w:bCs w:val="1"/>
                <w:color w:val="auto"/>
              </w:rPr>
              <w:t>EXECUTIVE OFFICERS</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8220" w:type="dxa"/>
            <w:vAlign w:val="bottom"/>
            <w:gridSpan w:val="6"/>
          </w:tcPr>
          <w:p>
            <w:pPr>
              <w:ind w:left="80"/>
              <w:spacing w:after="0"/>
              <w:rPr>
                <w:sz w:val="20"/>
                <w:szCs w:val="20"/>
                <w:color w:val="auto"/>
              </w:rPr>
            </w:pPr>
            <w:r>
              <w:rPr>
                <w:rFonts w:ascii="Arial" w:cs="Arial" w:eastAsia="Arial" w:hAnsi="Arial"/>
                <w:sz w:val="18"/>
                <w:szCs w:val="18"/>
                <w:color w:val="auto"/>
              </w:rPr>
              <w:t>The following table sets forth certain information regarding our executive officers.</w:t>
            </w:r>
          </w:p>
        </w:tc>
        <w:tc>
          <w:tcPr>
            <w:tcW w:w="0" w:type="dxa"/>
            <w:vAlign w:val="bottom"/>
          </w:tcPr>
          <w:p>
            <w:pPr>
              <w:spacing w:after="0"/>
              <w:rPr>
                <w:sz w:val="1"/>
                <w:szCs w:val="1"/>
                <w:color w:val="auto"/>
              </w:rPr>
            </w:pPr>
          </w:p>
        </w:tc>
      </w:tr>
      <w:tr>
        <w:trPr>
          <w:trHeight w:val="392"/>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Age</w:t>
            </w:r>
          </w:p>
        </w:tc>
        <w:tc>
          <w:tcPr>
            <w:tcW w:w="5600" w:type="dxa"/>
            <w:vAlign w:val="bottom"/>
            <w:gridSpan w:val="3"/>
          </w:tcPr>
          <w:p>
            <w:pPr>
              <w:ind w:left="40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220" w:type="dxa"/>
            <w:vAlign w:val="bottom"/>
            <w:vMerge w:val="restart"/>
          </w:tcPr>
          <w:p>
            <w:pPr>
              <w:spacing w:after="0"/>
              <w:rPr>
                <w:sz w:val="20"/>
                <w:szCs w:val="20"/>
                <w:color w:val="auto"/>
              </w:rPr>
            </w:pPr>
            <w:r>
              <w:rPr>
                <w:rFonts w:ascii="Arial" w:cs="Arial" w:eastAsia="Arial" w:hAnsi="Arial"/>
                <w:sz w:val="18"/>
                <w:szCs w:val="18"/>
                <w:color w:val="auto"/>
              </w:rPr>
              <w:t>Hakimoglu</w:t>
            </w:r>
          </w:p>
        </w:tc>
        <w:tc>
          <w:tcPr>
            <w:tcW w:w="2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 w:type="dxa"/>
            <w:vAlign w:val="bottom"/>
          </w:tcPr>
          <w:p>
            <w:pPr>
              <w:spacing w:after="0" w:line="189" w:lineRule="exact"/>
              <w:rPr>
                <w:sz w:val="20"/>
                <w:szCs w:val="20"/>
                <w:color w:val="auto"/>
              </w:rPr>
            </w:pPr>
            <w:r>
              <w:rPr>
                <w:rFonts w:ascii="Arial" w:cs="Arial" w:eastAsia="Arial" w:hAnsi="Arial"/>
                <w:sz w:val="18"/>
                <w:szCs w:val="18"/>
                <w:color w:val="auto"/>
              </w:rPr>
              <w:t>Zee</w:t>
            </w:r>
          </w:p>
        </w:tc>
        <w:tc>
          <w:tcPr>
            <w:tcW w:w="2220" w:type="dxa"/>
            <w:vAlign w:val="bottom"/>
            <w:vMerge w:val="continue"/>
          </w:tcPr>
          <w:p>
            <w:pPr>
              <w:spacing w:after="0"/>
              <w:rPr>
                <w:sz w:val="16"/>
                <w:szCs w:val="16"/>
                <w:color w:val="auto"/>
              </w:rPr>
            </w:pP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60</w:t>
            </w:r>
          </w:p>
        </w:tc>
        <w:tc>
          <w:tcPr>
            <w:tcW w:w="160" w:type="dxa"/>
            <w:vAlign w:val="bottom"/>
            <w:vMerge w:val="continue"/>
          </w:tcPr>
          <w:p>
            <w:pPr>
              <w:spacing w:after="0"/>
              <w:rPr>
                <w:sz w:val="16"/>
                <w:szCs w:val="16"/>
                <w:color w:val="auto"/>
              </w:rPr>
            </w:pPr>
          </w:p>
        </w:tc>
        <w:tc>
          <w:tcPr>
            <w:tcW w:w="56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1"/>
              </w:rPr>
              <w:t>President, Chief Executive Officer, and Chairman of the Board of Directors</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Narsi Narayanan</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Vice President of Finance and Corporate Secretary</w:t>
            </w: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Michael J. Braithwaite</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Senior Vice President of Technology</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For the biography of Ms. Hakimoglu, see “Nominees for Director.”</w:t>
      </w:r>
    </w:p>
    <w:p>
      <w:pPr>
        <w:spacing w:after="0" w:line="22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has served as our Vice President of Finance since July 2009 and has over 19 years of professional experience in the areas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7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joined us in November 2009 through the acquisition of NetStreams, Inc. where he was the co-founder and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since 2004. Mr. Braithwaite has led a distinguished twenty-plus-year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on the AVnu (AVB) marketing and technical committees.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0"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2012 and 2011.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Non-Equity</w:t>
            </w:r>
          </w:p>
        </w:tc>
        <w:tc>
          <w:tcPr>
            <w:tcW w:w="18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6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9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Awards (1)</w:t>
            </w:r>
          </w:p>
        </w:tc>
        <w:tc>
          <w:tcPr>
            <w:tcW w:w="240" w:type="dxa"/>
            <w:vAlign w:val="bottom"/>
          </w:tcPr>
          <w:p>
            <w:pPr>
              <w:spacing w:after="0"/>
              <w:rPr>
                <w:sz w:val="13"/>
                <w:szCs w:val="13"/>
                <w:color w:val="auto"/>
              </w:rPr>
            </w:pPr>
          </w:p>
        </w:tc>
        <w:tc>
          <w:tcPr>
            <w:tcW w:w="15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 (2)</w:t>
            </w: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 (3)</w:t>
            </w:r>
          </w:p>
        </w:tc>
        <w:tc>
          <w:tcPr>
            <w:tcW w:w="2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 xml:space="preserve">Zee Hakimoglu </w:t>
            </w:r>
            <w:r>
              <w:rPr>
                <w:rFonts w:ascii="Arial" w:cs="Arial" w:eastAsia="Arial" w:hAnsi="Arial"/>
                <w:sz w:val="18"/>
                <w:szCs w:val="18"/>
                <w:color w:val="auto"/>
                <w:w w:val="94"/>
              </w:rPr>
              <w:t>- Chairman of the Board, Chief Executive Officer</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President</w:t>
            </w: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$236,667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51,765</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59,246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29,436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93,953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 Vice President of Finance and Corporate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Secretary</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Year ended December 31, 2012</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$141,667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41,412</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31,864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3"/>
          </w:tcPr>
          <w:p>
            <w:pPr>
              <w:spacing w:after="0"/>
              <w:rPr>
                <w:sz w:val="20"/>
                <w:szCs w:val="20"/>
                <w:color w:val="auto"/>
              </w:rPr>
            </w:pPr>
            <w:r>
              <w:rPr>
                <w:rFonts w:ascii="Arial" w:cs="Arial" w:eastAsia="Arial" w:hAnsi="Arial"/>
                <w:sz w:val="18"/>
                <w:szCs w:val="18"/>
                <w:color w:val="auto"/>
              </w:rPr>
              <w:t>Year ended December 31, 2011</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29,436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52,090</w:t>
            </w:r>
          </w:p>
        </w:tc>
        <w:tc>
          <w:tcPr>
            <w:tcW w:w="180" w:type="dxa"/>
            <w:vAlign w:val="bottom"/>
          </w:tcPr>
          <w:p>
            <w:pPr>
              <w:spacing w:after="0"/>
              <w:rPr>
                <w:sz w:val="20"/>
                <w:szCs w:val="20"/>
                <w:color w:val="auto"/>
              </w:rPr>
            </w:pPr>
          </w:p>
        </w:tc>
        <w:tc>
          <w:tcPr>
            <w:tcW w:w="114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216,526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 Chief Strategy Officer</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$160,000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41,412</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88"/>
              </w:rPr>
              <w:t>6,547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29,436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59,539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88"/>
              </w:rPr>
              <w:t>2,200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and the material terms of option awards are disclosed in Note 9 - Share Based Payments in our Notes to Consolidated Financial Statements contained in our Form 10-K.</w:t>
      </w:r>
    </w:p>
    <w:p>
      <w:pPr>
        <w:spacing w:after="0" w:line="2"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Non-Equity Incentive Plan Compensation is based upon the achievement of pre-determined quarterly goals, namely, financial goals comprising of revenue, gross margin, operating income and meeting reporting deadlines, and non-quantitative performance goals. While all financial goals are similar for Ms. Hakimoglu and Mr. Narayanan, Mr.Braithwaite’s financial goals consisted only of revenue, gross margin and operating income goals.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financial goals (with each goal having equal share for each officer’s goals) and 30% to non-quantitative goals. Of the amounts included above, Ms. Hakimoglu’s compensation for the year ended December 31, 2012 included $19,809 for achieving financial goals and $39,437 for achieving non-quantitative goals, and for the year ended December 31, 2011 included $64,628 for achieving financial goals and $29,325 for achieving non-quantitative goals. Mr. Narayanan’s compensation for the year ended December 31, 2012 included $11,778 for achieving financial goals and $20,086 for achieving non-quantitative goals, and for the year ended December 31, 2011 included $37,934 for achieving financial goals and $14,156 for achieving non-quantitative goals. Mr. Braithwaite’s compensation for the year ended December 31, 2012 included $6,323 for achieving financial goals and $15,541 for achieving non-quantitative goals, and for the year ended December 31, 2011 included $43,554 for achieving financial goals and $15,985 for achieving non-quantitative goals.</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amounts in the “All Other Compensation” column reflect the value of honorarium paid under a patenting process program for Mr. Braithwaite.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19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2"/>
              </w:rPr>
              <w:t>Number of Securities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40" w:type="dxa"/>
            <w:vAlign w:val="bottom"/>
          </w:tcPr>
          <w:p>
            <w:pPr>
              <w:spacing w:after="0"/>
              <w:rPr>
                <w:sz w:val="12"/>
                <w:szCs w:val="12"/>
                <w:color w:val="auto"/>
              </w:rPr>
            </w:pP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36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 Grant</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Options</w:t>
            </w:r>
          </w:p>
        </w:tc>
        <w:tc>
          <w:tcPr>
            <w:tcW w:w="540" w:type="dxa"/>
            <w:vAlign w:val="bottom"/>
          </w:tcPr>
          <w:p>
            <w:pPr>
              <w:spacing w:after="0"/>
              <w:rPr>
                <w:sz w:val="12"/>
                <w:szCs w:val="12"/>
                <w:color w:val="auto"/>
              </w:rPr>
            </w:pPr>
          </w:p>
        </w:tc>
        <w:tc>
          <w:tcPr>
            <w:tcW w:w="19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540" w:type="dxa"/>
            <w:vAlign w:val="bottom"/>
          </w:tcPr>
          <w:p>
            <w:pPr>
              <w:spacing w:after="0"/>
              <w:rPr>
                <w:sz w:val="15"/>
                <w:szCs w:val="15"/>
                <w:color w:val="auto"/>
              </w:rPr>
            </w:pPr>
          </w:p>
        </w:tc>
        <w:tc>
          <w:tcPr>
            <w:tcW w:w="19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1"/>
              </w:rPr>
              <w:t>Unexercisable (1)</w:t>
            </w:r>
          </w:p>
        </w:tc>
        <w:tc>
          <w:tcPr>
            <w:tcW w:w="152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Zee Hakimoglu</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8"/>
              </w:rPr>
              <w:t>03/24/04</w:t>
            </w: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03/24/14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5.55</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07/26/04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07/26/14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3.65</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09/18/06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09/18/16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6.15</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08/14/07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08/14/17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4.03</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11/14/08</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11/14/18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05/26/10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05/26/20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5,556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5.48</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08/05/11</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08/05/21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05/11/12</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05/11/22</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Narsi Narayanan</w:t>
            </w:r>
          </w:p>
        </w:tc>
        <w:tc>
          <w:tcPr>
            <w:tcW w:w="54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30,000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2.78</w:t>
            </w:r>
          </w:p>
        </w:tc>
        <w:tc>
          <w:tcPr>
            <w:tcW w:w="14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08/27/09</w:t>
            </w:r>
          </w:p>
        </w:tc>
        <w:tc>
          <w:tcPr>
            <w:tcW w:w="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6"/>
              </w:rPr>
              <w:t>08/27/19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8,611</w:t>
            </w:r>
          </w:p>
        </w:tc>
        <w:tc>
          <w:tcPr>
            <w:tcW w:w="2480" w:type="dxa"/>
            <w:vAlign w:val="bottom"/>
            <w:gridSpan w:val="3"/>
          </w:tcPr>
          <w:p>
            <w:pPr>
              <w:jc w:val="right"/>
              <w:ind w:right="620"/>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3.00</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05/26/10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05/26/20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4,444</w:t>
            </w:r>
          </w:p>
        </w:tc>
        <w:tc>
          <w:tcPr>
            <w:tcW w:w="2480" w:type="dxa"/>
            <w:vAlign w:val="bottom"/>
            <w:gridSpan w:val="3"/>
          </w:tcPr>
          <w:p>
            <w:pPr>
              <w:jc w:val="right"/>
              <w:ind w:right="620"/>
              <w:spacing w:after="0"/>
              <w:rPr>
                <w:sz w:val="20"/>
                <w:szCs w:val="20"/>
                <w:color w:val="auto"/>
              </w:rPr>
            </w:pPr>
            <w:r>
              <w:rPr>
                <w:rFonts w:ascii="Arial" w:cs="Arial" w:eastAsia="Arial" w:hAnsi="Arial"/>
                <w:sz w:val="18"/>
                <w:szCs w:val="18"/>
                <w:color w:val="auto"/>
              </w:rPr>
              <w:t>5,556</w:t>
            </w: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5.48</w:t>
            </w:r>
          </w:p>
        </w:tc>
        <w:tc>
          <w:tcPr>
            <w:tcW w:w="840" w:type="dxa"/>
            <w:vAlign w:val="bottom"/>
          </w:tcPr>
          <w:p>
            <w:pPr>
              <w:ind w:left="220"/>
              <w:spacing w:after="0"/>
              <w:rPr>
                <w:sz w:val="20"/>
                <w:szCs w:val="20"/>
                <w:color w:val="auto"/>
              </w:rPr>
            </w:pPr>
            <w:r>
              <w:rPr>
                <w:rFonts w:ascii="Arial" w:cs="Arial" w:eastAsia="Arial" w:hAnsi="Arial"/>
                <w:sz w:val="18"/>
                <w:szCs w:val="18"/>
                <w:color w:val="auto"/>
                <w:w w:val="85"/>
              </w:rPr>
              <w:t>08/05/11</w:t>
            </w:r>
          </w:p>
        </w:tc>
        <w:tc>
          <w:tcPr>
            <w:tcW w:w="6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08/05/21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80" w:type="dxa"/>
            <w:vAlign w:val="bottom"/>
            <w:gridSpan w:val="3"/>
          </w:tcPr>
          <w:p>
            <w:pPr>
              <w:jc w:val="right"/>
              <w:ind w:right="62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3.92</w:t>
            </w:r>
          </w:p>
        </w:tc>
        <w:tc>
          <w:tcPr>
            <w:tcW w:w="840" w:type="dxa"/>
            <w:vAlign w:val="bottom"/>
          </w:tcPr>
          <w:p>
            <w:pPr>
              <w:ind w:left="220"/>
              <w:spacing w:after="0"/>
              <w:rPr>
                <w:sz w:val="20"/>
                <w:szCs w:val="20"/>
                <w:color w:val="auto"/>
              </w:rPr>
            </w:pPr>
            <w:r>
              <w:rPr>
                <w:rFonts w:ascii="Arial" w:cs="Arial" w:eastAsia="Arial" w:hAnsi="Arial"/>
                <w:sz w:val="18"/>
                <w:szCs w:val="18"/>
                <w:color w:val="auto"/>
                <w:w w:val="85"/>
              </w:rPr>
              <w:t>05/11/12</w:t>
            </w:r>
          </w:p>
        </w:tc>
        <w:tc>
          <w:tcPr>
            <w:tcW w:w="6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05/11/22</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29,800</w:t>
            </w: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2.65</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11/30/09</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11/30/19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8,611</w:t>
            </w:r>
          </w:p>
        </w:tc>
        <w:tc>
          <w:tcPr>
            <w:tcW w:w="2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05/26/10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05/26/20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w:t>
            </w:r>
          </w:p>
        </w:tc>
        <w:tc>
          <w:tcPr>
            <w:tcW w:w="2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5,556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5.48</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08/05/11</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08/05/21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05/11/12</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05/11/22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Unvested options vest monthly over a three year period beginning on the date of grant.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on the exercise of stock options by named executive officers during the year ended December 31, 2012.</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440" w:type="dxa"/>
            <w:vAlign w:val="bottom"/>
            <w:vMerge w:val="restart"/>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shares</w:t>
            </w:r>
          </w:p>
        </w:tc>
        <w:tc>
          <w:tcPr>
            <w:tcW w:w="13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acquired on exercise</w:t>
            </w:r>
          </w:p>
        </w:tc>
        <w:tc>
          <w:tcPr>
            <w:tcW w:w="1360" w:type="dxa"/>
            <w:vAlign w:val="bottom"/>
          </w:tcPr>
          <w:p>
            <w:pPr>
              <w:spacing w:after="0"/>
              <w:rPr>
                <w:sz w:val="15"/>
                <w:szCs w:val="15"/>
                <w:color w:val="auto"/>
              </w:rPr>
            </w:pPr>
          </w:p>
        </w:tc>
        <w:tc>
          <w:tcPr>
            <w:tcW w:w="11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on exercise (1)</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Braithwaite</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Value realized on exercise is the excess of market price of underlying shares on the date of exercise over exercise price for the options.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2012,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the closing of the transaction causing the change in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8" w:name="page19"/>
    <w:bookmarkEnd w:id="18"/>
    <w:p>
      <w:pPr>
        <w:ind w:right="5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means a change in ownership or control of the Company effected through either of the following transactions:</w:t>
      </w:r>
    </w:p>
    <w:p>
      <w:pPr>
        <w:spacing w:after="0" w:line="62" w:lineRule="exact"/>
        <w:rPr>
          <w:sz w:val="20"/>
          <w:szCs w:val="20"/>
          <w:color w:val="auto"/>
        </w:rPr>
      </w:pPr>
    </w:p>
    <w:p>
      <w:pPr>
        <w:ind w:right="140" w:firstLine="464"/>
        <w:spacing w:after="0" w:line="259" w:lineRule="auto"/>
        <w:tabs>
          <w:tab w:leader="none" w:pos="6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ind w:right="320" w:firstLine="464"/>
        <w:spacing w:after="0" w:line="302" w:lineRule="auto"/>
        <w:tabs>
          <w:tab w:leader="none" w:pos="7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At our current stock price of about $9.30, all our named executive officers would benefit from any potential accelerated vesting of unvested stock options.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2012. Ms. Hakimoglu did not receive additional compensation for her service as a director.</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4"/>
                <w:szCs w:val="14"/>
                <w:color w:val="auto"/>
              </w:rPr>
            </w:pPr>
          </w:p>
        </w:tc>
        <w:tc>
          <w:tcPr>
            <w:tcW w:w="1420" w:type="dxa"/>
            <w:vAlign w:val="bottom"/>
          </w:tcPr>
          <w:p>
            <w:pPr>
              <w:spacing w:after="0"/>
              <w:rPr>
                <w:sz w:val="14"/>
                <w:szCs w:val="14"/>
                <w:color w:val="auto"/>
              </w:rPr>
            </w:pPr>
          </w:p>
        </w:tc>
        <w:tc>
          <w:tcPr>
            <w:tcW w:w="226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2"/>
              </w:rPr>
              <w:t>Fees Earned or Paid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Option Awards (2)(4)</w:t>
            </w:r>
          </w:p>
        </w:tc>
        <w:tc>
          <w:tcPr>
            <w:tcW w:w="102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in Cash (1)</w:t>
            </w:r>
          </w:p>
        </w:tc>
        <w:tc>
          <w:tcPr>
            <w:tcW w:w="132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Brad R. Baldwin</w:t>
            </w: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24,000</w:t>
            </w:r>
          </w:p>
        </w:tc>
        <w:tc>
          <w:tcPr>
            <w:tcW w:w="10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$24,000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24,000</w:t>
            </w:r>
          </w:p>
        </w:tc>
        <w:tc>
          <w:tcPr>
            <w:tcW w:w="5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M. Huntsman</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24,000</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E. Bryan Bagley (4)</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22,000</w:t>
            </w:r>
          </w:p>
        </w:tc>
        <w:tc>
          <w:tcPr>
            <w:tcW w:w="58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base annual director’s fee for the year ended December 31, 2012 was $24,000.</w:t>
      </w:r>
    </w:p>
    <w:p>
      <w:pPr>
        <w:spacing w:after="0" w:line="23"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assumptions made in the valuation of our option awards are disclosed in Note 9 - Share Based Payments in our Notes to Consolidated Financial Statements contained in our Form 10-K.</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December 31, 2012, each non-employee director had outstanding options to purchase the following number of company shares of common stock: Mr. Baldwin, 63,000; Mr. Hendricks, 63,000; and Mr. Huntsman, 63,000.</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E. Bryan Bagley resigned from the Board of Directors effective November 6, 2012.</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All non-employee directors are paid a fixed fee at the rate of $2,000 per month and receive the same option grants. No options were granted to directors in 2012. The fee is not dependent on the number of meetings attended by any directors. Directors are not paid additional compensation for chairing a committee. Directors may be reimbursed by us for their out-of-pocket travel and related expenses incurred in attending all Board of Directors and committee meetings.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RELATIONSHIPS AND RELATED TRANSACTIONS</w:t>
      </w:r>
    </w:p>
    <w:p>
      <w:pPr>
        <w:spacing w:after="0" w:line="2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Audit and Compliance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Indemnification of Former Officers and Directors.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July 2007 and January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$3,390,000 in attorneys’ fees and costs to defend against the charges. In February 2009, Flood was convicted on nine counts and Strohm was convicted on one count. In June 2010, Flood was sentenced to four years in prison and three years of probation and Strohm was sentenced to two years of probation plus 150 hours of community service. In April 2011, the Tenth Circuit Court of Appeals in Denver affirmed Flood’s conviction, but has allowed her to assert in a collateral proceeding her claim that she received ineffective assistance of counsel. In November 2011, the Tenth Circuit affirmed Strohm’s perjury conviction as well.</w:t>
      </w:r>
    </w:p>
    <w:p>
      <w:pPr>
        <w:spacing w:after="0" w:line="16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b w:val="1"/>
          <w:bCs w:val="1"/>
          <w:i w:val="1"/>
          <w:iCs w:val="1"/>
          <w:u w:val="single" w:color="auto"/>
          <w:color w:val="auto"/>
        </w:rPr>
        <w:t>Flood</w:t>
      </w:r>
      <w:r>
        <w:rPr>
          <w:rFonts w:ascii="Arial" w:cs="Arial" w:eastAsia="Arial" w:hAnsi="Arial"/>
          <w:sz w:val="16"/>
          <w:szCs w:val="16"/>
          <w:i w:val="1"/>
          <w:iCs w:val="1"/>
          <w:u w:val="single" w:color="auto"/>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August 2008, Flood filed a lawsuit in Federal District Court for the District of Utah, seeking to compel us to pay her attorneys’ fees and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defend against the criminal charges. The District Court issued a preliminary injunction in January 2009 requiring us to pay Flood’s criminal legal fees and costs through trial. Pursuant to the Court’s order, ClearOne paid approximately $373,000 to Flood’s attorneys and approximately $248,000 into the Court’s escrow. In July 2009, ClearOne asserted counterclaims against Flood and sought to recover $3,390,000 plus interest, costs and attorneys’ fees.</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Tenth Circuit Court of Appeals issued a ruling in August 2010 vacating the District Court’s preliminary injunction on the grounds that it rested on a legally erroneous interpretation of Flood’s Employment Separation Agreement. ClearOne filed a motion in the United States District Court for the District of Utah seeking a return of the monies paid by ClearOne pursuant to the Court’s order. The District Court granted ClearOne’s motion in January 2012 for return of the $248,000 held in the Court’s escrow, but denied ClearOne’s motion with respect to the $373,000 paid to Flood’s attorneys.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filed a motion for summary judgment in August 2012 seeking dismissal of Flood’s claims and judgment on our own claims against Flood. On or about March 1, 2013, Flood filed for bankruptcy in the U.S. Bankruptcy Court for the Eastern District of Virginia and sought to discharge any monetary obligation to us and to preserve her claim against us after bankruptcy. On March 19, 2013, the U.S. District Court for the District of Utah issued an order staying the case in view of the bankruptcy filing.</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u w:val="single" w:color="auto"/>
          <w:color w:val="auto"/>
        </w:rPr>
        <w:t>Strohm: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Strohm and her counsel (“Dorsey”) filed a lawsuit in August 2008 in the Third Judicial District Court in Salt Lake City, Utah seeking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compel us to pay Strohm’s attorneys’ fees and costs to defend 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0" w:name="page21"/>
    <w:bookmarkEnd w:id="20"/>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the criminal charges, plus interest, and for attorneys’ fees in connection with the civil action. ClearOne asserted counterclaims against Strohm in August 2009 seeking to recover $3,296,000 plus interest, costs and attorneys’ fees.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District Court entered Judgment against ClearOne in June 2011 for $973,000 in fees and expenses in the criminal case, plus $362,000 in interest at 18% through February 1, 2011, which amounts were paid by ClearOne under protest to Dorsey on February 1, 2011. The Judgment also included $865,000 in civil case fees and expenses plus interest. ClearOne has posted a cash bond to cover the civil case fees and interest pending ClearOne’s appeal. ClearOne, as well as Dorsey, appealed against the Judgment.</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Utah Supreme Court heard oral arguments in September 2012. On April 9, 2013, the Utah Supreme Court issued its Opinion declaring that Strohm’s attorney, Dorsey, was not entitled to recover any attorneys’ fees or expenses in connection with its civil action against ClearOne but that Dorsey was entitled to recover post-verdict criminal fees incurred in connection with Strohm’s sentencing and appeal. On April 23, 2013, Dorsey filed a petition for rehearing with the Utah Supreme Court seeking to recover its attorneys’ fees and expenses incurred in obtaining court-ordered indemnification for Strohm. Dorsey further requested that the Court reverse its public policy ruling that Dorsey is not entitled to attorneys’ fees and expenses in connection with its civil action against ClearOne. In early August 2013, the Utah Supreme Court denied Dorsey’s petitions for rehearing.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The Audit and Compliance Committee of the Board of Directors is comprised of three directors, all of whom are independent as defined in the NASDAQ and SEC rules and regulations. The members of the Audit and Compliance Committee are Scott M. Huntsman, Brad R. Baldwin, and Larry R. Hendricks. Scott M. Huntsman is the Board of Directors’ designated “audit committee financial expert” as that term is defined in the securities laws.</w:t>
      </w:r>
    </w:p>
    <w:p>
      <w:pPr>
        <w:spacing w:after="0" w:line="14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and Compliance Committee has reviewed and discussed with management and our independent registered public accounting firm the audited financial statements contained in our Annual Report on Form 10-K for the year ended December 31, 2012.</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Additionally, the Audit and Compliance Committee has discussed with the principal accountants the auditors’ independence from management and our company, including the matters in the written disclosure and the letter received from the principal accountants required by the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PCAOB AU Section No. 380, as currently in effect.</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reliance on the reviews and discussions referred to above, the Audit and Compliance Committee recommended to the Board of Directors (and the Board of Directors has approved) that the audited financial statements be included in the Annual Report on Form 10-K for the year ended December 31, 2012, which was filed with the Securities and Exchange Commission on March 25, 2013.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Audit and Compliance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Scott M. Huntsman (Chair)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Brad R. Baldwin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Larry R. Hendricks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following table sets forth certain information regarding ownership of our common stock as of October 18, 2013, except as otherwise stated, by</w:t>
      </w:r>
    </w:p>
    <w:p>
      <w:pPr>
        <w:spacing w:after="0" w:line="46" w:lineRule="exact"/>
        <w:rPr>
          <w:sz w:val="20"/>
          <w:szCs w:val="20"/>
          <w:color w:val="auto"/>
        </w:rPr>
      </w:pPr>
    </w:p>
    <w:p>
      <w:pPr>
        <w:ind w:left="-8" w:right="240" w:firstLine="8"/>
        <w:spacing w:after="0" w:line="261" w:lineRule="auto"/>
        <w:tabs>
          <w:tab w:leader="none" w:pos="2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202" w:lineRule="exact"/>
        <w:rPr>
          <w:sz w:val="20"/>
          <w:szCs w:val="20"/>
          <w:color w:val="auto"/>
        </w:rPr>
      </w:pPr>
    </w:p>
    <w:tbl>
      <w:tblPr>
        <w:tblLayout w:type="fixed"/>
        <w:tblInd w:w="912" w:type="dxa"/>
        <w:tblCellMar>
          <w:top w:w="0" w:type="dxa"/>
          <w:left w:w="0" w:type="dxa"/>
          <w:bottom w:w="0" w:type="dxa"/>
          <w:right w:w="0" w:type="dxa"/>
        </w:tblCellMar>
      </w:tblPr>
      <w:tr>
        <w:trPr>
          <w:trHeight w:val="178"/>
        </w:trPr>
        <w:tc>
          <w:tcPr>
            <w:tcW w:w="366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 (1)</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w w:val="98"/>
              </w:rPr>
              <w:t>Shares Beneficially Owned</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Actually</w:t>
            </w:r>
          </w:p>
        </w:tc>
        <w:tc>
          <w:tcPr>
            <w:tcW w:w="3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420"/>
              <w:spacing w:after="0" w:line="126" w:lineRule="exact"/>
              <w:rPr>
                <w:sz w:val="20"/>
                <w:szCs w:val="20"/>
                <w:color w:val="auto"/>
              </w:rPr>
            </w:pPr>
            <w:r>
              <w:rPr>
                <w:rFonts w:ascii="Arial" w:cs="Arial" w:eastAsia="Arial" w:hAnsi="Arial"/>
                <w:sz w:val="14"/>
                <w:szCs w:val="14"/>
                <w:b w:val="1"/>
                <w:bCs w:val="1"/>
                <w:color w:val="auto"/>
                <w:w w:val="91"/>
              </w:rPr>
              <w:t>Shares that</w:t>
            </w:r>
          </w:p>
        </w:tc>
        <w:tc>
          <w:tcPr>
            <w:tcW w:w="8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Actually</w:t>
            </w:r>
          </w:p>
        </w:tc>
        <w:tc>
          <w:tcPr>
            <w:tcW w:w="8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could be</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3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acquired within</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(2)</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(2)</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Owned (2)</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 (2)</w:t>
            </w:r>
          </w:p>
        </w:tc>
        <w:tc>
          <w:tcPr>
            <w:tcW w:w="3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60 days (2)</w:t>
            </w:r>
          </w:p>
        </w:tc>
        <w:tc>
          <w:tcPr>
            <w:tcW w:w="12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w:t>
            </w:r>
          </w:p>
        </w:tc>
        <w:tc>
          <w:tcPr>
            <w:tcW w:w="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w:t>
            </w:r>
          </w:p>
        </w:tc>
        <w:tc>
          <w:tcPr>
            <w:tcW w:w="4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(D)</w:t>
            </w:r>
          </w:p>
        </w:tc>
        <w:tc>
          <w:tcPr>
            <w:tcW w:w="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0"/>
              </w:rPr>
              <w:t>Directors and Executive Officers:</w:t>
            </w:r>
          </w:p>
        </w:tc>
        <w:tc>
          <w:tcPr>
            <w:tcW w:w="10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Zee Hakimoglu</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77,376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530,971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608,347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Brad Baldwin (3)</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126,166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61,888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188,054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Larry Hendricks</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22,200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43,888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66,088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Scott Huntsman</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61,888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98,388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Narsi Narayanan</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58,332</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58,332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15,018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3660" w:type="dxa"/>
            <w:vAlign w:val="bottom"/>
            <w:gridSpan w:val="4"/>
          </w:tcPr>
          <w:p>
            <w:pPr>
              <w:spacing w:after="0"/>
              <w:rPr>
                <w:sz w:val="20"/>
                <w:szCs w:val="20"/>
                <w:color w:val="auto"/>
              </w:rPr>
            </w:pPr>
            <w:r>
              <w:rPr>
                <w:rFonts w:ascii="Arial" w:cs="Arial" w:eastAsia="Arial" w:hAnsi="Arial"/>
                <w:sz w:val="18"/>
                <w:szCs w:val="18"/>
                <w:color w:val="auto"/>
              </w:rPr>
              <w:t>All directors and executive officers as a</w:t>
            </w: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60" w:type="dxa"/>
            <w:vAlign w:val="bottom"/>
            <w:gridSpan w:val="4"/>
          </w:tcPr>
          <w:p>
            <w:pPr>
              <w:ind w:left="180"/>
              <w:spacing w:after="0"/>
              <w:rPr>
                <w:sz w:val="20"/>
                <w:szCs w:val="20"/>
                <w:color w:val="auto"/>
              </w:rPr>
            </w:pPr>
            <w:r>
              <w:rPr>
                <w:rFonts w:ascii="Arial" w:cs="Arial" w:eastAsia="Arial" w:hAnsi="Arial"/>
                <w:sz w:val="18"/>
                <w:szCs w:val="18"/>
                <w:color w:val="auto"/>
              </w:rPr>
              <w:t>group (6 persons)</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274,760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759,467</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1,034,227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5% Shareholders:</w:t>
            </w:r>
          </w:p>
        </w:tc>
        <w:tc>
          <w:tcPr>
            <w:tcW w:w="226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Edward Dallin Bagley (4)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2,752,681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834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2,753,515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Royce &amp; Associates Inc. (5)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694,284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694,284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72" w:right="60" w:hanging="572"/>
        <w:spacing w:after="0" w:line="288" w:lineRule="auto"/>
        <w:tabs>
          <w:tab w:leader="none" w:pos="5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otherwise indicated, each person named in the table has sole voting and investment power, subject to the Utah Control Shares Acquisition Act, with respect to all common stock beneficially owned, subject to applicable community property law. Except as otherwise indicated, each person may be reached at our corporate offices c/o ClearOne, Inc., 5225 Wiley Post Way, Suite 500, Salt Lake City, Utah 84116.</w:t>
      </w:r>
    </w:p>
    <w:p>
      <w:pPr>
        <w:ind w:left="572" w:right="180" w:hanging="572"/>
        <w:spacing w:after="0" w:line="250"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8,983,501 shares of common stock outstanding on October 18, 2013. The numbers shown in Column (D) and percentages shown in Column (E) include the shares of common stock actually owned as of October 18, 2013 and the shares of common stock that the identified person or group had the right to acquire within 60 days of such date. In calculating the percentage of ownership, all shares of common stock that each identified person or group had the right to acquire within 60 days of October 18, 2013 upon the exercise of options shown in Column (C) are deemed to be outstanding for the purpose of computing the percentage of the shares of common stock owned by the persons or groups listed above.</w:t>
      </w:r>
    </w:p>
    <w:p>
      <w:pPr>
        <w:spacing w:after="0" w:line="2" w:lineRule="exact"/>
        <w:rPr>
          <w:rFonts w:ascii="Arial" w:cs="Arial" w:eastAsia="Arial" w:hAnsi="Arial"/>
          <w:sz w:val="18"/>
          <w:szCs w:val="18"/>
          <w:color w:val="auto"/>
        </w:rPr>
      </w:pPr>
    </w:p>
    <w:p>
      <w:pPr>
        <w:ind w:left="572" w:right="180" w:hanging="572"/>
        <w:spacing w:after="0" w:line="250"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88,166 shares held in the Baldwin Family Trust; 27,500 owned jointly with his spouse; 10,000 shares owned directly, which are held in an IRA under the name of Mr. Baldwin.</w:t>
      </w:r>
    </w:p>
    <w:p>
      <w:pPr>
        <w:ind w:left="572" w:right="20" w:hanging="572"/>
        <w:spacing w:after="0" w:line="281" w:lineRule="auto"/>
        <w:tabs>
          <w:tab w:leader="none" w:pos="5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for Mr. Edward D. Bagley include 126,166 shares held by Mr. Edward D. Bagley’s spouse. Except as provided by Utah law, Mr. Edward D. Bagley has sole voting and dispositive power over 2,626,515 shares (including the shares that may be acquired pursuant to the exercise of stock options) and shared voting and dispositive power over the 126,166 shares held by Mr. Edward D. Bagley’s spouse. This information is based solely upon a Schedule 13D/A, as filed by Mr. Edward D. Bagley with the SEC on March 14, 2013. E. Bryan Bagley, who resigned as director effective November 6, 2012 is the son of Edward D. Bagley. The amounts for Mr. Edward D. Bagley do not include any shares held by E. Bryan Bagley.</w:t>
      </w:r>
    </w:p>
    <w:p>
      <w:pPr>
        <w:spacing w:after="0" w:line="3" w:lineRule="exact"/>
        <w:rPr>
          <w:rFonts w:ascii="Arial" w:cs="Arial" w:eastAsia="Arial" w:hAnsi="Arial"/>
          <w:sz w:val="16"/>
          <w:szCs w:val="16"/>
          <w:color w:val="auto"/>
        </w:rPr>
      </w:pPr>
    </w:p>
    <w:p>
      <w:pPr>
        <w:ind w:left="572" w:hanging="572"/>
        <w:spacing w:after="0" w:line="254"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694,284 shares of our common stock beneficially owned by Royce &amp; Associates, Inc. in its capacity as investment advisor on behalf of its clients. Royce &amp; Associates, Inc. has sole voting and dispositive power over all of such shares. The address of Royce &amp; Associates, Inc. is 1414 Avenue of the Americas, New York, NY 10019. This information is based upon a Schedule 13G/A, as filed and amended with the SEC as of January 7, 2013.</w:t>
      </w:r>
    </w:p>
    <w:p>
      <w:pPr>
        <w:spacing w:after="0" w:line="12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52"/>
          </w:cols>
          <w:pgMar w:left="248" w:top="270"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THE COMPANY’S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retained McGladrey LLP as our auditor and independent certified public accountants for the year ended December 31, 2012. The Board of Directors of the Company has approved the appointment of McGladrey LLP as our auditor and independent certified public accountants for the year ending December 31, 2013. The ratification of selection of our auditors for the current year ending on December 31, 2013 is being submitted to the shareholders for their consideration.</w:t>
      </w:r>
    </w:p>
    <w:p>
      <w:pPr>
        <w:spacing w:after="0" w:line="18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previously retained Jones Simkins, P.C. (“Jones Simkins”) as our auditor and independent registered public accountants for the years ended December 31, 2011 and December 31, 2010. On July 23, 2012, we replaced Jones Simkins as our independent registered public accountants with McGladrey LLP. The decision to replace Jones Simkins was approved by the Audit and Compliance Committee of the Board of Directors.</w:t>
      </w:r>
    </w:p>
    <w:p>
      <w:pPr>
        <w:spacing w:after="0" w:line="166"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Jones Simkins’ reports on the Company’s consolidated financial statements for the years ended December 31, 2011 and December 31, 2010 did not contain an adverse opinion or a disclaimer of opinion, nor were they qualified or modified as to uncertainty, audit scope or accounting principles.</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years ended December 31, 2011 and December 31, 2010 and through July 23, 2012, there were no disagreements between the Company and Jones Simkins on any matter of accounting principles or practices, financial statement disclosure or auditing scope or procedure which, if not resolved to Jones Simkins’ satisfaction, would have caused Jones Simkins to make a reference to the subject matter of the disagreement in connection with its report for such years and subsequent interim periods; and there were no reportable events as defined in Item 304(a)(1)(v) of Regulation S-K for such years and subsequent interim periods through July 23, 2012.</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years ended December 31, 2011 and December 31, 2010 and through July 23, 2012, neither the Company nor anyone acting on its behalf consulted McGladrey LLP with respect to the application of accounting principles to a specified transaction, either completed or proposed, or the type of audit opinion that might be rendered on the Company’s consolidated financial statements, or any matter that was the subject of a disagreement or reportable event as defined in Items 304(a)(1)(iv) and (v) of Regulation S-K.</w:t>
      </w:r>
    </w:p>
    <w:p>
      <w:pPr>
        <w:spacing w:after="0" w:line="18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It is anticipated that a representative of McGladrey LLP will attend the meeting and will be available to respond to questions. It is not anticipated that the representative will make any statement or presentation, although the representative will have an opportunity to do so if he or she desires.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 Accountant Fees and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0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2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$179,466</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$191,632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Audit-related Fees</w:t>
            </w:r>
          </w:p>
        </w:tc>
        <w:tc>
          <w:tcPr>
            <w:tcW w:w="26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46,479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120" w:type="dxa"/>
            <w:vAlign w:val="bottom"/>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All other fees 3</w:t>
            </w:r>
          </w:p>
        </w:tc>
        <w:tc>
          <w:tcPr>
            <w:tcW w:w="2620" w:type="dxa"/>
            <w:vAlign w:val="bottom"/>
          </w:tcPr>
          <w:p>
            <w:pPr>
              <w:spacing w:after="0"/>
              <w:rPr>
                <w:sz w:val="19"/>
                <w:szCs w:val="19"/>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225,945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233,261</w:t>
            </w:r>
          </w:p>
        </w:tc>
        <w:tc>
          <w:tcPr>
            <w:tcW w:w="12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8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3" w:name="page24"/>
    <w:bookmarkEnd w:id="23"/>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fees billed for tax filing, preparation, and tax advisory services.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2012,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75" w:lineRule="exact"/>
        <w:rPr>
          <w:sz w:val="20"/>
          <w:szCs w:val="20"/>
          <w:color w:val="auto"/>
        </w:rPr>
      </w:pPr>
    </w:p>
    <w:p>
      <w:pPr>
        <w:ind w:right="120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APPOINTMENT OF OUR INDEPENDENT PUBLIC ACCOUNTANTS.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274" w:right="3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THREE</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APPROVAL, BY NON-BINDING, ADVISORY VOTE, OF THE</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21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recently enacted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18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As described in detail under the headings “Compensation Committee”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headings “Compensation Committee” beginning on page 10 and “Executive Compensation” beginning on page 14 for additional details about our executive compensation programs, including information about the fiscal year 2012 compensation of our named executive officers.</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we ask our shareholders to approve the following advisory resolution at the 2013 Annual Meeting:</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in the compensation tables and narrative discussion, is hereby APPROVED.”</w:t>
      </w:r>
    </w:p>
    <w:p>
      <w:pPr>
        <w:spacing w:after="0" w:line="166" w:lineRule="exact"/>
        <w:rPr>
          <w:sz w:val="20"/>
          <w:szCs w:val="20"/>
          <w:color w:val="auto"/>
        </w:rPr>
      </w:pPr>
    </w:p>
    <w:p>
      <w:pPr>
        <w:ind w:right="126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 COMPENSATION OF OUR NAMED EXECUTIVE OFFICERS, AS DISCLOSED IN THIS 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FOUR</w:t>
      </w:r>
    </w:p>
    <w:p>
      <w:pPr>
        <w:spacing w:after="0" w:line="225" w:lineRule="exact"/>
        <w:rPr>
          <w:sz w:val="20"/>
          <w:szCs w:val="20"/>
          <w:color w:val="auto"/>
        </w:rPr>
      </w:pPr>
    </w:p>
    <w:p>
      <w:pPr>
        <w:jc w:val="center"/>
        <w:ind w:left="280" w:right="2440"/>
        <w:spacing w:after="0" w:line="266" w:lineRule="auto"/>
        <w:rPr>
          <w:sz w:val="20"/>
          <w:szCs w:val="20"/>
          <w:color w:val="auto"/>
        </w:rPr>
      </w:pPr>
      <w:r>
        <w:rPr>
          <w:rFonts w:ascii="Arial" w:cs="Arial" w:eastAsia="Arial" w:hAnsi="Arial"/>
          <w:sz w:val="18"/>
          <w:szCs w:val="18"/>
          <w:b w:val="1"/>
          <w:bCs w:val="1"/>
          <w:color w:val="auto"/>
        </w:rPr>
        <w:t>RECOMMENDATION, BY NON-BINDING, ADVISORY VOTE, ON THE FREQUENCY OF NON-BINDING, ADVISORY VOTE ON COMPENSATION OF OUR NAMED EXECUTIVE OFFICERS</w:t>
      </w:r>
    </w:p>
    <w:p>
      <w:pPr>
        <w:spacing w:after="0" w:line="18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Dodd-Frank Act also provides that shareholders must be given the opportunity to vote, on a non-binding, advisory basis, for their preference as to how frequently we should seek future advisory say-on-pay votes on the compensation of our named executive officers. In particular, we are asking our shareholders to indicate, on a non-binding, advisory basis, whether they would prefer an advisory say-on-pay vote on the compensation of our named executive officers to occur every one, two or three years. Shareholders also may, if they wish, abstain from casting a vote on this proposal.</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Board Directors has determined that an advisory vote on executive compensation that occurs once every three years is the most appropriate alternative for the Company and therefore, our Board recommends that you vote for a three-year interval for the advisory vote on executive compensation. In determining to recommend that shareholders vote for a frequency of once every three years, the Board considered how an advisory vote at this frequency will provide our shareholders with sufficient time to evaluate the effectiveness of our overall compensation philosophy, policies and practices in the context of our long-term business results for the corresponding period, while avoiding over-emphasis on short-term variations in compensation and business results. An advisory vote occurring once every three years will also permit our shareholders to observe and evaluate the impact of any changes to our executive compensation policies and practices which have occurred since the last advisory vote on executive compensation, including any changes made in response to the outcome of a prior advisory vote on executive compensation. We will continue to engage with our shareholders regarding our executive compensation program during the period between advisory votes on executive compensation.</w:t>
      </w:r>
    </w:p>
    <w:p>
      <w:pPr>
        <w:spacing w:after="0" w:line="18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recognizes that shareholders may have different views as to the best approach for the Company, and therefore we look forward to hearing from our shareholders as to their preference on the frequency of an advisory vote on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may cast your vote on your preferred voting frequency by choosing the option of :</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Three years,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Abstain from voting.</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option that receives the highest number of votes cast by shareholders will be considered to be the shareholders’ preferred frequency for the advisory vote on the compensation of our named executive officers. Because the vote is advisory, however, it will not be binding on the Board of Directors, the Compensation Committee or the Company. The Board of Directors may decide, in its sole discretion, that it is in the best interests of the Company and its shareholders to hold an advisory say on pay vote on the compensation of our named executive officers more or less frequently than the option receiving the most votes cast by our shareholders.</w:t>
      </w:r>
    </w:p>
    <w:p>
      <w:pPr>
        <w:spacing w:after="0" w:line="18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OPTION OF ONCE EVERY THREE YEARS AS THE PREFERRED FREQUENCY FOR HOLDING A NON-BINDING ADVISORY VOTE ON NAMED EXECUTIVE OFFICERS’ COMPENSATION.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FIVE</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PROPOSAL NOT TO RESTORE VOTING RIGHTS TO CERTAIN CONTROL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Utah Control Shares Acquisitions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Utah law, “Control Shares” have no vote unless approved by disinterested shareholders</w:t>
      </w:r>
    </w:p>
    <w:p>
      <w:pPr>
        <w:spacing w:after="0" w:line="117" w:lineRule="exact"/>
        <w:rPr>
          <w:sz w:val="20"/>
          <w:szCs w:val="20"/>
          <w:color w:val="auto"/>
        </w:rPr>
      </w:pPr>
    </w:p>
    <w:p>
      <w:pPr>
        <w:ind w:right="380" w:firstLine="456"/>
        <w:spacing w:after="0" w:line="276" w:lineRule="auto"/>
        <w:rPr>
          <w:sz w:val="20"/>
          <w:szCs w:val="20"/>
          <w:color w:val="auto"/>
        </w:rPr>
      </w:pPr>
      <w:r>
        <w:rPr>
          <w:rFonts w:ascii="Arial" w:cs="Arial" w:eastAsia="Arial" w:hAnsi="Arial"/>
          <w:sz w:val="17"/>
          <w:szCs w:val="17"/>
          <w:color w:val="auto"/>
        </w:rPr>
        <w:t>We are subject to the Utah Control Shares Acquisitions Act, Utah Code Ann. § 61-6-1 et seq., (the “Control Share Provisions”). Under the Control Share Provisions, an acquisition of the power to vote shares of an issuing public corporation which allows for the exercise of voting power within certain ranges causes those shares to lose their voting rights. Specifically, an acquiring person who engages in a control share acquisition of an issuing public corporation, such as the Company, may not exercise voting rights on any “control shares” unless such voting rights are restored by a majority of all votes entitled to be cast by the disinterested shareholders of the issuing public corporation.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amounting to 20% or greater ownership in the Company are “control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Control Share Provisions, “control shares” mean shares acquired by a person that, when added to all other shares of the issuing public corporation owned by that person or in respect of which that person may exercise or direct the exercise of voting power, would otherwise entitle that person to exercise or direct the exercise of voting power of the issuing public corporation in the election of directors within any of the following ranges: (a) one-fifth or more but less than one-third; (b) one-third or more but less than a majority; or (c) a majority or more. Any shares below the one-fifth threshold are expressly not “control shares” and may continue to be voted by the holder of such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shares” votes may be restored at a special or annual meeting</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acquiring person may require the corporation to hold a special shareholder’s meeting to consider whether voting rights should be granted to the control shares. To require a special meeting, the acquiring person must: (a) file an acquiring person statement with certain required information with the corporation, including that the acquiring person statement is given pursuant to the Control Share Provisions; and (b) agree to pay the special meeting expenses. After receiving such request, the Control Share Provisions state that the directors shall call a special meeting of shareholders within a certain time as set forth in the Control Share Provisions, for the purpose of considering the voting rights to be accorded the shares acquired or to be acquired in the control share acquisition. The Control Share Provisions further provide that if no such request is made, the voting rights to be accorded the shares acquired in the control shares acquisition shall be presented to the next special or annual meeting of shareholders.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shares” may not vote to restore voting power to control shares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Under the Control Share Provisions, “interested shares” are not eligible to vote on a proposal to consider the restoration of such shares’ voting rights. “Interested shares” are defined in the Control Share Provisions as the shares as to which any of the following persons may exercise or direct the exercise of the voting power of the corporation, on or after the applicable record date, in the election of directors:</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acquiring person or member of a group with respect to a control share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officer of the issuing public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employee of the issuing public corporation who is also a director of the corporation.</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foregoing summary does not purport to be a complete statement of the provisions of the Utah Control Shares Acquisitions Act and is qualified in its entirety by reference to the Utah Control Shares Acquisitions Act. The captions are for the reader’s convenience and are not part of the Utah Control Share Provisions.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Shares Held by the Acquiring Person, Edward D. Bagley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the Control Shares by Mr. Bagley</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Based on an amended Schedule 13D filing with the SEC on May 29, 2009, Edward Dallin Bagley, our largest shareholder and only shareholder to own more than one-fifth of our issued and outstanding common stock, first reported beneficial ownership of 2,167,930 shares of our common stock, or approximately 24.2%, as of December 8, 2008. The shares he acquired that required him to file a Schedule 13D were reported as acquired pursuant to a stock purchase plan whereby a broker was engaged to purchase our common stock under certain parameters. Since then, Mr. Bagley has continued to increase his ownership stake in ClearOne, including through similar stock purchase plans, to a total of 2,752,681 shares of our common stock, or approximately 29.94% (at that time), as disclosed in a Schedule 13D/A filed by Mr. Bagley on March 14, 2013. All such shares exceeding one-fifth or more of the voting power of our common stock are “control shares” under the Utah Control Share Provisions (the “Control Shares”). Such Control Shares have automatically lost their voting rights by operation of the Control Share Provisions unless and until our disinterested shareholders vote to restore voting rights to the Control Shares in accordance with the Control Share Provisions. The Control Shares acquired by Mr. Bagley represented approximately 30.6% of our outstanding common stock as of October 15, 2013, the record date for the Annual Meeting. Mr. Bagley’s shares up to the 20% threshold still have their voting rights, may be voted by Mr. Bagley, and will be unaffected by Proposal Five.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Bagley has not requested a special meeting to restore voting rights to his Control Shares</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Although permitted under Utah law, no acquiring person statement or request for special meeting to vote on the restoration of voting rights to the Control Shares was filed by Mr. Bagley with us at the time of his crossing the one-fifth ownership threshold at that time or since then.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required to put the Control Shares issue to a vote of disinterested shareholders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After Mr. Bagley acquired his Control Shares, under Utah law such shares automatically lost their voting rights. We did not include a proposal for shareholders to consider whether or not to restore voting power to Mr. Bagley’s Control Shares on our previous annual meeting proxy statements following his crossing the one-fifth ownership threshold because we were not previously aware of the Control Share Provisions. Following Mr. Bagley’s filing of his amended Schedule 13D on March 14, 2013, after reviewing Mr. Bagley’s shareholdings, we became aware of the requirements of the Control Share Provisions and we reviewed whether Mr. Bagley’s Control Shares had ever been subject to a vote under the Control Share Provisions. We thus became aware of the requirements of the Control Share Provisions and the fact that no such vote has occurred. Under Utah law, since the decision of whether or not to restore voting power to the Control Shares belongs to the disinterested shareholders, we are including the proposal on the first annual meeting Proxy Statement after which we became aware of the issue.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Proposal Five is approved Mr. Bagley will not be able to vote his Control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this Proposal Five not to restore voting rights to the Control Shares is approved, then Mr. Bagley will not be able to exercise voting rights with respect to his Control Shares, but will still be able to vote his shares amounting to up to 20% of the Company’s outstanding shares. If this Proposal Five not to restore voting rights to the Control Shares is not approved, Mr. Bagley will have full voting rights with respect to all of the shares of the Company’s common stock that he beneficially owns.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“interested shares” will be excluded from calculation of the vote</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the Control Share Provisions, “interested shares” are not eligible to vote on this proposal. Solely with respect to the vote on this Proposal Five, all “interested shares” otherwise entitled to vote will be excluded from the calculation of whether or not voting rights are restored to the Control Shares by a majority of the votes entitled to be cast. “Interested shares” include all shares of our common stock held by the following shareholders: (i) Mr. Bagley, as the owner of the Control Shares at issue, or any member of a group with respect to the Control Shares; (ii) all of our officers; and (iii) each employee of ours who also serves as a Director. As of the record date for the Annual Meeting, to our knowledge, there were a total of 2,842,575 shares which were “interested shares” within the meaning of the Control Share Provisions. Affirmative votes “for”, plus abstentions and broker non-votes, totaling at least 3,073,289 shares (which is equal to a majority of (i) the shares outstanding on the record date, less (ii) the “interested shares” outstanding on the record date) are required to approve this Proposal Five. We reserve the right to change these calculations if we determine there are any additional interested shares that should be included.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no dissenters’ rights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Shareholders do not have dissenters’ rights with respect to this Proposal Five, and will not have dissenters’ rights in the event the voting rights of the Control Shares are restored.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by the Board of Directors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After careful consideration of the best interests of the Company and all of its shareholders, including a thorough review of the Control Share Provisions with our legal and other advisors, and consultation with the appropriate executive officers, the Board has determined to recommend a vote “</w:t>
      </w:r>
      <w:r>
        <w:rPr>
          <w:rFonts w:ascii="Arial" w:cs="Arial" w:eastAsia="Arial" w:hAnsi="Arial"/>
          <w:sz w:val="18"/>
          <w:szCs w:val="18"/>
          <w:u w:val="single" w:color="auto"/>
          <w:color w:val="auto"/>
        </w:rPr>
        <w:t>for</w:t>
      </w:r>
      <w:r>
        <w:rPr>
          <w:rFonts w:ascii="Arial" w:cs="Arial" w:eastAsia="Arial" w:hAnsi="Arial"/>
          <w:sz w:val="18"/>
          <w:szCs w:val="18"/>
          <w:color w:val="auto"/>
        </w:rPr>
        <w:t>” the proposal not to restore voting rights to the Control Shares.</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evaluating the Control Share Provisions and the effect of restoring voting rights to the Control Shares, the Board considered a number of factors, including but not limited to the factors set forth below.</w:t>
      </w:r>
    </w:p>
    <w:p>
      <w:pPr>
        <w:spacing w:after="0" w:line="76" w:lineRule="exact"/>
        <w:rPr>
          <w:sz w:val="20"/>
          <w:szCs w:val="20"/>
          <w:color w:val="auto"/>
        </w:rPr>
      </w:pPr>
    </w:p>
    <w:p>
      <w:pPr>
        <w:ind w:left="900" w:right="20" w:hanging="446"/>
        <w:spacing w:after="0" w:line="26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NASDAQ Listing Requirements. </w:t>
      </w:r>
      <w:r>
        <w:rPr>
          <w:rFonts w:ascii="Arial" w:cs="Arial" w:eastAsia="Arial" w:hAnsi="Arial"/>
          <w:sz w:val="17"/>
          <w:szCs w:val="17"/>
          <w:color w:val="auto"/>
        </w:rPr>
        <w:t>Under NASDAQ’s Market Place Rules, NASDAQ has broad discretionary authority over the initial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continued listing of securities on NASDAQ to maintain the quality of and public confidence in its market, to prevent fraudulent and manipulative acts and practices, to promote just and equitable principles of trade and to protect investors and the public interest. NASDAQ used this discretion to initially deny our relisting application in 2007 based on the nature and extent of our relationship with Mr. Edward D. Bagley, an individual with significant regulatory history, briefly summarized below, who was then the Chairman of the Board and owner of approximately 17% of the Company. (Mr. Bagley was involved with the Company from the late 1980s to 2007 and most recently served as a consultant to the Company from 2007-2009.) NASDAQ, in a letter to the Company, requested Mr. Bagley step down as Chairman and resign from the Board, and when the Company initially rejected the request, NASDAQ concluded that based on Mr. Bagley’s significant regulatory history, his ongoing and active involvement in the daily operations of the Company and the fact that he was the Company’s largest shareholder, the Company’s listing on NASDAQ would be contrary to the public interest. After Mr. Bagley agreed to resign from our Board of Directors, the Company was allowed to be relisted on NASDAQ.</w:t>
      </w:r>
    </w:p>
    <w:p>
      <w:pPr>
        <w:spacing w:after="0" w:line="88" w:lineRule="exact"/>
        <w:rPr>
          <w:rFonts w:ascii="Arial" w:cs="Arial" w:eastAsia="Arial" w:hAnsi="Arial"/>
          <w:sz w:val="17"/>
          <w:szCs w:val="17"/>
          <w:color w:val="auto"/>
        </w:rPr>
      </w:pPr>
    </w:p>
    <w:p>
      <w:pPr>
        <w:ind w:left="900" w:hanging="446"/>
        <w:spacing w:after="0" w:line="271"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Mr. Bagley’s Regulatory History. </w:t>
      </w:r>
      <w:r>
        <w:rPr>
          <w:rFonts w:ascii="Arial" w:cs="Arial" w:eastAsia="Arial" w:hAnsi="Arial"/>
          <w:sz w:val="17"/>
          <w:szCs w:val="17"/>
          <w:color w:val="auto"/>
        </w:rPr>
        <w:t>Through our process of applying to relist on the NASDAQ in 2007, we became aware of Mr. Bagley’s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history. NASDAQ informed us that between 1989 and 1992, various regulators, including the SEC, the National Association of Securities Dealers (“NASD”, the predecessor of the Financial Industry Regulatory Authority, or FINRA) and multiple state regulatory authorities, filed or initiated an aggregate of 11 individual and joint complaints or proceedings against Mr. Bagley and Bagley Securities, of which he was a principal and owner. According to correspondence from NASDAQ and publicly available regulatory reports, several of the matters involved manipulative and fraudulent conduct, filing of false documents and failing to comply with regulatory requirements. As a result, Mr. Bagley and Bagley Securities were censured and fined multiple times, and Mr. Bagley was finally permanently barred from association with any NASD member in any capacity and Bagley Securities was expelled from NASD membership.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9" w:name="page30"/>
    <w:bookmarkEnd w:id="29"/>
    <w:p>
      <w:pPr>
        <w:ind w:left="900" w:hanging="446"/>
        <w:spacing w:after="0" w:line="295"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Bagley’</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Statement in his Schedule 13D/A Filings with the SEC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Mr. Bagley’s amended Schedule 13D filed with the SEC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 2010, Mr. Bagley disclosed that, depending on various factors, he might propose an action listed in Schedule 13D such as changing the board of directors or influencing the Company’s structure, business and potential corporate transactions . In Mr. Bagley’s amended Schedule 13D filed with the SEC on March 14, 2013 reporting his holdings with and intentions towards the Company, Mr. Bagley stated, among other things, “At this time, Mr. Bagley does not intend to support the reelection of the current board of directors.” Mr. Bagley has thus expressed his intentions to potentially influence the composition of the Company’s Board of Directors and its policies, operations and strategies.</w:t>
      </w:r>
    </w:p>
    <w:p>
      <w:pPr>
        <w:spacing w:after="0" w:line="61"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Influence over Corporate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voting rights to the Control Shares are restored by the shareholders, Mr. Bagley will have voting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just less than one third of our outstanding common stock. This substantial voting block could make it possible for Mr. Bagley to more easily achieve a majority vote on issues Mr. Bagley might choose to present to the shareholders at a special meeting called by him. (Ownership of 10% of shares in the Company allows a shareholder to call a special meeting.) In this manner, Mr. Bagley could put forth his own business proposals or block the Board of Directors’ policy and strategic proposals or influence the composition of the Board of Directors, and thus the ultimate business and operations of the Company.</w:t>
      </w:r>
    </w:p>
    <w:p>
      <w:pPr>
        <w:spacing w:after="0" w:line="93"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Possible Impact on Future Strategic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Bagley currently owns slightly more than 30% of the Company’s outstanding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and has stated in his Schedule 13D filings he may further purchase additional shares of common stock. If Mr. Bagley increases his ownership to as much as 33 1/3% or more of the outstanding common stock and is restored voting rights to all such shares, he would have a level of control that would enable him to effectively block certain strategic transactions which, under Utah law, require approval by two-thirds of the outstanding common stock. Even with the current holdings by Mr. Bagley at slightly more than 30% it would be more difficult for the other shareholders to approve such a transaction if Mr. Bagley opposed it. Although no such transaction is pending or contemplated at this time, we cannot predict if or when any such transaction may be contemplated in the future or what Mr. Bagley’s position in relation to such a transaction would be.</w:t>
      </w:r>
    </w:p>
    <w:p>
      <w:pPr>
        <w:spacing w:after="0" w:line="94"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Beneficial Ownership with no “Control Premium.” </w:t>
      </w:r>
      <w:r>
        <w:rPr>
          <w:rFonts w:ascii="Arial" w:cs="Arial" w:eastAsia="Arial" w:hAnsi="Arial"/>
          <w:sz w:val="18"/>
          <w:szCs w:val="18"/>
          <w:color w:val="auto"/>
        </w:rPr>
        <w:t>Control confers value, and acquiring the Control Shares as Mr. Bagley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 “control premium” does not, in our view, reflect a proper valuation for control. If voting rights are restored to the Control Shares, Mr. Bagley would have a significant beneficial ownership position without paying a customary “control premium,” although there is no requirement that Mr. Bagley pay such a premium.</w:t>
      </w:r>
    </w:p>
    <w:p>
      <w:pPr>
        <w:spacing w:after="0" w:line="88" w:lineRule="exact"/>
        <w:rPr>
          <w:rFonts w:ascii="Arial" w:cs="Arial" w:eastAsia="Arial" w:hAnsi="Arial"/>
          <w:sz w:val="18"/>
          <w:szCs w:val="18"/>
          <w:color w:val="auto"/>
        </w:rPr>
      </w:pPr>
    </w:p>
    <w:p>
      <w:pPr>
        <w:ind w:left="900" w:right="120" w:hanging="446"/>
        <w:spacing w:after="0" w:line="31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Effect on Common Stock Trading Volume and Pricing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Bagley’s acquisitions of Control Shares may cause a reduction in our daily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volume or adversely affect the price of our common stock that may discourage future purchases by prospective shareholders, both institutional and retail. This effect could be enhanced or diminished, depending on whether Mr. Bagley continues to acquire our common stock.</w:t>
      </w:r>
    </w:p>
    <w:p>
      <w:pPr>
        <w:spacing w:after="0" w:line="14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 xml:space="preserve">For all of the reasons stated above, without limitation, the Board of Directors has concluded it is in the best interests of the Company and all of its shareholders to recommend a vote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to restore voting rights to the Control Shares held by Mr. Bagley.</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RESTORE THE VOTING RIGHTS OF THE CONTROL SHARES.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0" w:right="29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DEADLINE FOR RECEIPT OF SHAREHOLDER PROPOSALS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2014 must notify us at our principal executive offices no later than July 11, 2014 in order for the proposal to be included in our proxy statement and form of proxy relating to that meeting.</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year 2014, except in circumstances where (i) we receive notice of the proposed matter no later than September 24, 2014 and (ii) the proponent complies with the other requirements set forth in Rule 14a-4.</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CLEARONE, INC.</w:t>
      </w:r>
    </w:p>
    <w:p>
      <w:pPr>
        <w:spacing w:after="0" w:line="22" w:lineRule="exact"/>
        <w:rPr>
          <w:sz w:val="20"/>
          <w:szCs w:val="20"/>
          <w:color w:val="auto"/>
        </w:rPr>
      </w:pPr>
    </w:p>
    <w:p>
      <w:pPr>
        <w:ind w:left="180" w:right="420" w:hanging="161"/>
        <w:spacing w:after="0" w:line="281" w:lineRule="auto"/>
        <w:rPr>
          <w:sz w:val="20"/>
          <w:szCs w:val="20"/>
          <w:color w:val="auto"/>
        </w:rPr>
      </w:pPr>
      <w:r>
        <w:rPr>
          <w:rFonts w:ascii="Arial" w:cs="Arial" w:eastAsia="Arial" w:hAnsi="Arial"/>
          <w:sz w:val="15"/>
          <w:szCs w:val="15"/>
          <w:b w:val="1"/>
          <w:bCs w:val="1"/>
          <w:i w:val="1"/>
          <w:iCs w:val="1"/>
          <w:color w:val="auto"/>
        </w:rPr>
        <w:t>C/O BROADRIDGE CORPORATE ISSUER SOLUTIONS</w:t>
      </w:r>
    </w:p>
    <w:p>
      <w:pPr>
        <w:spacing w:after="0" w:line="1" w:lineRule="exact"/>
        <w:rPr>
          <w:sz w:val="20"/>
          <w:szCs w:val="20"/>
          <w:color w:val="auto"/>
        </w:rPr>
      </w:pPr>
    </w:p>
    <w:p>
      <w:pPr>
        <w:ind w:right="1040"/>
        <w:spacing w:after="0" w:line="323" w:lineRule="auto"/>
        <w:rPr>
          <w:sz w:val="20"/>
          <w:szCs w:val="20"/>
          <w:color w:val="auto"/>
        </w:rPr>
      </w:pPr>
      <w:r>
        <w:rPr>
          <w:rFonts w:ascii="Arial" w:cs="Arial" w:eastAsia="Arial" w:hAnsi="Arial"/>
          <w:sz w:val="15"/>
          <w:szCs w:val="15"/>
          <w:b w:val="1"/>
          <w:bCs w:val="1"/>
          <w:i w:val="1"/>
          <w:iCs w:val="1"/>
          <w:color w:val="auto"/>
        </w:rPr>
        <w:t>P.O. BOX 1342 BRENTWOOD, NY 11717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-201930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 OF FUTURE PROXY MATERIALS</w:t>
      </w:r>
    </w:p>
    <w:p>
      <w:pPr>
        <w:spacing w:after="0" w:line="2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PHONE - 1-800-690-6903</w:t>
      </w:r>
    </w:p>
    <w:p>
      <w:pPr>
        <w:spacing w:after="0" w:line="26"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26"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Mark, sign and date your proxy card and return it in the postage-paid envelope we have provided or return it to Vote Processing., c/o Broadridge, 51 Mercedes Way, Edgewood, NY 11717.</w:t>
      </w:r>
    </w:p>
    <w:p>
      <w:pPr>
        <w:spacing w:after="0" w:line="81" w:lineRule="exact"/>
        <w:rPr>
          <w:sz w:val="20"/>
          <w:szCs w:val="20"/>
          <w:color w:val="auto"/>
        </w:rPr>
      </w:pPr>
    </w:p>
    <w:p>
      <w:pPr>
        <w:sectPr>
          <w:pgSz w:w="11900" w:h="16838" w:orient="portrait"/>
          <w:cols w:equalWidth="0" w:num="2">
            <w:col w:w="2820" w:space="720"/>
            <w:col w:w="788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TO VOTE, MARK BLOCKS BELOW IN BLUE OR BLACK INK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0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290"/>
        </w:trPr>
        <w:tc>
          <w:tcPr>
            <w:tcW w:w="640" w:type="dxa"/>
            <w:vAlign w:val="bottom"/>
          </w:tcPr>
          <w:p>
            <w:pPr>
              <w:spacing w:after="0"/>
              <w:rPr>
                <w:sz w:val="24"/>
                <w:szCs w:val="24"/>
                <w:color w:val="auto"/>
              </w:rPr>
            </w:pPr>
          </w:p>
        </w:tc>
        <w:tc>
          <w:tcPr>
            <w:tcW w:w="7680" w:type="dxa"/>
            <w:vAlign w:val="bottom"/>
            <w:gridSpan w:val="4"/>
          </w:tcPr>
          <w:p>
            <w:pPr>
              <w:jc w:val="center"/>
              <w:ind w:left="2379"/>
              <w:spacing w:after="0"/>
              <w:rPr>
                <w:sz w:val="20"/>
                <w:szCs w:val="20"/>
                <w:color w:val="auto"/>
              </w:rPr>
            </w:pPr>
            <w:r>
              <w:rPr>
                <w:rFonts w:ascii="Arial" w:cs="Arial" w:eastAsia="Arial" w:hAnsi="Arial"/>
                <w:sz w:val="16"/>
                <w:szCs w:val="16"/>
                <w:b w:val="1"/>
                <w:bCs w:val="1"/>
                <w:color w:val="auto"/>
              </w:rPr>
              <w:t>THIS PROXY CARD IS VALID ONLY WHEN SIGNED AND DATED.</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840" w:type="dxa"/>
            <w:vAlign w:val="bottom"/>
            <w:gridSpan w:val="2"/>
          </w:tcPr>
          <w:p>
            <w:pPr>
              <w:spacing w:after="0"/>
              <w:rPr>
                <w:sz w:val="20"/>
                <w:szCs w:val="20"/>
                <w:color w:val="auto"/>
              </w:rPr>
            </w:pPr>
            <w:r>
              <w:rPr>
                <w:rFonts w:ascii="Arial" w:cs="Arial" w:eastAsia="Arial" w:hAnsi="Arial"/>
                <w:sz w:val="16"/>
                <w:szCs w:val="16"/>
                <w:b w:val="1"/>
                <w:bCs w:val="1"/>
                <w:color w:val="auto"/>
              </w:rPr>
              <w:t>The Board of Directors recommends that you vote</w:t>
            </w:r>
          </w:p>
        </w:tc>
        <w:tc>
          <w:tcPr>
            <w:tcW w:w="114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For All</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Withhold All</w:t>
            </w:r>
          </w:p>
        </w:tc>
        <w:tc>
          <w:tcPr>
            <w:tcW w:w="1880" w:type="dxa"/>
            <w:vAlign w:val="bottom"/>
          </w:tcPr>
          <w:p>
            <w:pPr>
              <w:jc w:val="center"/>
              <w:ind w:right="739"/>
              <w:spacing w:after="0"/>
              <w:rPr>
                <w:sz w:val="20"/>
                <w:szCs w:val="20"/>
                <w:color w:val="auto"/>
              </w:rPr>
            </w:pPr>
            <w:r>
              <w:rPr>
                <w:rFonts w:ascii="Arial" w:cs="Arial" w:eastAsia="Arial" w:hAnsi="Arial"/>
                <w:sz w:val="16"/>
                <w:szCs w:val="16"/>
                <w:b w:val="1"/>
                <w:bCs w:val="1"/>
                <w:color w:val="auto"/>
                <w:w w:val="98"/>
              </w:rPr>
              <w:t>For All</w:t>
            </w:r>
          </w:p>
        </w:tc>
        <w:tc>
          <w:tcPr>
            <w:tcW w:w="3100" w:type="dxa"/>
            <w:vAlign w:val="bottom"/>
          </w:tcPr>
          <w:p>
            <w:pPr>
              <w:jc w:val="right"/>
              <w:spacing w:after="0"/>
              <w:rPr>
                <w:sz w:val="20"/>
                <w:szCs w:val="20"/>
                <w:color w:val="auto"/>
              </w:rPr>
            </w:pPr>
            <w:r>
              <w:rPr>
                <w:rFonts w:ascii="Arial" w:cs="Arial" w:eastAsia="Arial" w:hAnsi="Arial"/>
                <w:sz w:val="16"/>
                <w:szCs w:val="16"/>
                <w:color w:val="auto"/>
                <w:w w:val="94"/>
              </w:rPr>
              <w:t>To withhold authority to vote for any individual</w:t>
            </w:r>
          </w:p>
        </w:tc>
        <w:tc>
          <w:tcPr>
            <w:tcW w:w="0" w:type="dxa"/>
            <w:vAlign w:val="bottom"/>
          </w:tcPr>
          <w:p>
            <w:pPr>
              <w:spacing w:after="0"/>
              <w:rPr>
                <w:sz w:val="1"/>
                <w:szCs w:val="1"/>
                <w:color w:val="auto"/>
              </w:rPr>
            </w:pPr>
          </w:p>
        </w:tc>
      </w:tr>
      <w:tr>
        <w:trPr>
          <w:trHeight w:val="207"/>
        </w:trPr>
        <w:tc>
          <w:tcPr>
            <w:tcW w:w="3840" w:type="dxa"/>
            <w:vAlign w:val="bottom"/>
            <w:gridSpan w:val="2"/>
          </w:tcPr>
          <w:p>
            <w:pPr>
              <w:spacing w:after="0"/>
              <w:rPr>
                <w:sz w:val="20"/>
                <w:szCs w:val="20"/>
                <w:color w:val="auto"/>
              </w:rPr>
            </w:pPr>
            <w:r>
              <w:rPr>
                <w:rFonts w:ascii="Arial" w:cs="Arial" w:eastAsia="Arial" w:hAnsi="Arial"/>
                <w:sz w:val="16"/>
                <w:szCs w:val="16"/>
                <w:b w:val="1"/>
                <w:bCs w:val="1"/>
                <w:color w:val="auto"/>
              </w:rPr>
              <w:t>FOR the following:</w:t>
            </w: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jc w:val="center"/>
              <w:ind w:right="739"/>
              <w:spacing w:after="0"/>
              <w:rPr>
                <w:sz w:val="20"/>
                <w:szCs w:val="20"/>
                <w:color w:val="auto"/>
              </w:rPr>
            </w:pPr>
            <w:r>
              <w:rPr>
                <w:rFonts w:ascii="Arial" w:cs="Arial" w:eastAsia="Arial" w:hAnsi="Arial"/>
                <w:sz w:val="16"/>
                <w:szCs w:val="16"/>
                <w:b w:val="1"/>
                <w:bCs w:val="1"/>
                <w:color w:val="auto"/>
                <w:w w:val="87"/>
              </w:rPr>
              <w:t>Except</w:t>
            </w:r>
          </w:p>
        </w:tc>
        <w:tc>
          <w:tcPr>
            <w:tcW w:w="3100" w:type="dxa"/>
            <w:vAlign w:val="bottom"/>
          </w:tcPr>
          <w:p>
            <w:pPr>
              <w:spacing w:after="0"/>
              <w:rPr>
                <w:sz w:val="20"/>
                <w:szCs w:val="20"/>
                <w:color w:val="auto"/>
              </w:rPr>
            </w:pPr>
            <w:r>
              <w:rPr>
                <w:rFonts w:ascii="Arial" w:cs="Arial" w:eastAsia="Arial" w:hAnsi="Arial"/>
                <w:sz w:val="16"/>
                <w:szCs w:val="16"/>
                <w:color w:val="auto"/>
                <w:w w:val="94"/>
              </w:rPr>
              <w:t>nominee(s) mark “For all except” and write the</w:t>
            </w: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80" w:type="dxa"/>
            <w:vAlign w:val="bottom"/>
            <w:vMerge w:val="restart"/>
          </w:tcPr>
          <w:p>
            <w:pPr>
              <w:jc w:val="center"/>
              <w:ind w:right="739"/>
              <w:spacing w:after="0" w:line="161" w:lineRule="exact"/>
              <w:rPr>
                <w:sz w:val="20"/>
                <w:szCs w:val="20"/>
                <w:color w:val="auto"/>
              </w:rPr>
            </w:pPr>
            <w:r>
              <w:rPr>
                <w:rFonts w:ascii="MS PGothic" w:cs="MS PGothic" w:eastAsia="MS PGothic" w:hAnsi="MS PGothic"/>
                <w:sz w:val="16"/>
                <w:szCs w:val="16"/>
                <w:color w:val="auto"/>
                <w:w w:val="87"/>
              </w:rPr>
              <w:t>☐</w:t>
            </w:r>
          </w:p>
        </w:tc>
        <w:tc>
          <w:tcPr>
            <w:tcW w:w="3100" w:type="dxa"/>
            <w:vAlign w:val="bottom"/>
          </w:tcPr>
          <w:p>
            <w:pPr>
              <w:spacing w:after="0"/>
              <w:rPr>
                <w:sz w:val="20"/>
                <w:szCs w:val="20"/>
                <w:color w:val="auto"/>
              </w:rPr>
            </w:pPr>
            <w:r>
              <w:rPr>
                <w:rFonts w:ascii="Arial" w:cs="Arial" w:eastAsia="Arial" w:hAnsi="Arial"/>
                <w:sz w:val="16"/>
                <w:szCs w:val="16"/>
                <w:color w:val="auto"/>
                <w:w w:val="93"/>
              </w:rPr>
              <w:t>number(s) of the nominee(s) on the line below:</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840" w:type="dxa"/>
            <w:vAlign w:val="bottom"/>
            <w:gridSpan w:val="2"/>
          </w:tcPr>
          <w:p>
            <w:pPr>
              <w:spacing w:after="0"/>
              <w:rPr>
                <w:sz w:val="20"/>
                <w:szCs w:val="20"/>
                <w:color w:val="auto"/>
              </w:rPr>
            </w:pPr>
            <w:r>
              <w:rPr>
                <w:rFonts w:ascii="Arial" w:cs="Arial" w:eastAsia="Arial" w:hAnsi="Arial"/>
                <w:sz w:val="16"/>
                <w:szCs w:val="16"/>
                <w:color w:val="auto"/>
              </w:rPr>
              <w:t>1.   Election of Directors</w:t>
            </w: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840" w:type="dxa"/>
            <w:vAlign w:val="bottom"/>
            <w:gridSpan w:val="2"/>
          </w:tcPr>
          <w:p>
            <w:pPr>
              <w:ind w:left="340"/>
              <w:spacing w:after="0"/>
              <w:rPr>
                <w:sz w:val="20"/>
                <w:szCs w:val="20"/>
                <w:color w:val="auto"/>
              </w:rPr>
            </w:pPr>
            <w:r>
              <w:rPr>
                <w:rFonts w:ascii="Arial" w:cs="Arial" w:eastAsia="Arial" w:hAnsi="Arial"/>
                <w:sz w:val="16"/>
                <w:szCs w:val="16"/>
                <w:b w:val="1"/>
                <w:bCs w:val="1"/>
                <w:color w:val="auto"/>
              </w:rPr>
              <w:t>Nominees</w:t>
            </w: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3200" w:type="dxa"/>
            <w:vAlign w:val="bottom"/>
          </w:tcPr>
          <w:p>
            <w:pPr>
              <w:ind w:left="20"/>
              <w:spacing w:after="0"/>
              <w:rPr>
                <w:sz w:val="20"/>
                <w:szCs w:val="20"/>
                <w:color w:val="auto"/>
              </w:rPr>
            </w:pPr>
            <w:r>
              <w:rPr>
                <w:rFonts w:ascii="Arial" w:cs="Arial" w:eastAsia="Arial" w:hAnsi="Arial"/>
                <w:sz w:val="16"/>
                <w:szCs w:val="16"/>
                <w:color w:val="auto"/>
              </w:rPr>
              <w:t>Zeynep “Zee” Hakimoglu</w:t>
            </w: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3200" w:type="dxa"/>
            <w:vAlign w:val="bottom"/>
          </w:tcPr>
          <w:p>
            <w:pPr>
              <w:ind w:left="20"/>
              <w:spacing w:after="0"/>
              <w:rPr>
                <w:sz w:val="20"/>
                <w:szCs w:val="20"/>
                <w:color w:val="auto"/>
              </w:rPr>
            </w:pPr>
            <w:r>
              <w:rPr>
                <w:rFonts w:ascii="Arial" w:cs="Arial" w:eastAsia="Arial" w:hAnsi="Arial"/>
                <w:sz w:val="16"/>
                <w:szCs w:val="16"/>
                <w:color w:val="auto"/>
              </w:rPr>
              <w:t>02 Brad R. Baldwin</w:t>
            </w: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3200" w:type="dxa"/>
            <w:vAlign w:val="bottom"/>
          </w:tcPr>
          <w:p>
            <w:pPr>
              <w:ind w:left="20"/>
              <w:spacing w:after="0"/>
              <w:rPr>
                <w:sz w:val="20"/>
                <w:szCs w:val="20"/>
                <w:color w:val="auto"/>
              </w:rPr>
            </w:pPr>
            <w:r>
              <w:rPr>
                <w:rFonts w:ascii="Arial" w:cs="Arial" w:eastAsia="Arial" w:hAnsi="Arial"/>
                <w:sz w:val="16"/>
                <w:szCs w:val="16"/>
                <w:color w:val="auto"/>
              </w:rPr>
              <w:t>Larry R. Hendricks</w:t>
            </w: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3200" w:type="dxa"/>
            <w:vAlign w:val="bottom"/>
          </w:tcPr>
          <w:p>
            <w:pPr>
              <w:ind w:left="20"/>
              <w:spacing w:after="0"/>
              <w:rPr>
                <w:sz w:val="20"/>
                <w:szCs w:val="20"/>
                <w:color w:val="auto"/>
              </w:rPr>
            </w:pPr>
            <w:r>
              <w:rPr>
                <w:rFonts w:ascii="Arial" w:cs="Arial" w:eastAsia="Arial" w:hAnsi="Arial"/>
                <w:sz w:val="16"/>
                <w:szCs w:val="16"/>
                <w:color w:val="auto"/>
              </w:rPr>
              <w:t>Scott M. Huntsman</w:t>
            </w: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you vote FOR proposals 2 and 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940" w:type="dxa"/>
            <w:vAlign w:val="bottom"/>
          </w:tcPr>
          <w:p>
            <w:pPr>
              <w:jc w:val="center"/>
              <w:ind w:left="1399"/>
              <w:spacing w:after="0"/>
              <w:rPr>
                <w:sz w:val="20"/>
                <w:szCs w:val="20"/>
                <w:color w:val="auto"/>
              </w:rPr>
            </w:pPr>
            <w:r>
              <w:rPr>
                <w:rFonts w:ascii="Arial" w:cs="Arial" w:eastAsia="Arial" w:hAnsi="Arial"/>
                <w:sz w:val="16"/>
                <w:szCs w:val="16"/>
                <w:b w:val="1"/>
                <w:bCs w:val="1"/>
                <w:color w:val="auto"/>
              </w:rPr>
              <w:t>For</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1"/>
              </w:rPr>
              <w:t>Against</w:t>
            </w:r>
          </w:p>
        </w:tc>
        <w:tc>
          <w:tcPr>
            <w:tcW w:w="66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Abstain</w:t>
            </w:r>
          </w:p>
        </w:tc>
      </w:tr>
      <w:tr>
        <w:trPr>
          <w:trHeight w:val="254"/>
        </w:trPr>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2.</w:t>
            </w:r>
          </w:p>
        </w:tc>
        <w:tc>
          <w:tcPr>
            <w:tcW w:w="7800" w:type="dxa"/>
            <w:vAlign w:val="bottom"/>
          </w:tcPr>
          <w:p>
            <w:pPr>
              <w:ind w:left="120"/>
              <w:spacing w:after="0"/>
              <w:rPr>
                <w:sz w:val="20"/>
                <w:szCs w:val="20"/>
                <w:color w:val="auto"/>
              </w:rPr>
            </w:pPr>
            <w:r>
              <w:rPr>
                <w:rFonts w:ascii="Arial" w:cs="Arial" w:eastAsia="Arial" w:hAnsi="Arial"/>
                <w:sz w:val="16"/>
                <w:szCs w:val="16"/>
                <w:color w:val="auto"/>
              </w:rPr>
              <w:t>Ratify the appointment of McGladrey LLP as the Company’s independent public accountants.</w:t>
            </w:r>
          </w:p>
        </w:tc>
        <w:tc>
          <w:tcPr>
            <w:tcW w:w="1940" w:type="dxa"/>
            <w:vAlign w:val="bottom"/>
          </w:tcPr>
          <w:p>
            <w:pPr>
              <w:jc w:val="center"/>
              <w:ind w:left="1399"/>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11"/>
        </w:trPr>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3.</w:t>
            </w:r>
          </w:p>
        </w:tc>
        <w:tc>
          <w:tcPr>
            <w:tcW w:w="7800" w:type="dxa"/>
            <w:vAlign w:val="bottom"/>
          </w:tcPr>
          <w:p>
            <w:pPr>
              <w:ind w:left="100"/>
              <w:spacing w:after="0"/>
              <w:rPr>
                <w:sz w:val="20"/>
                <w:szCs w:val="20"/>
                <w:color w:val="auto"/>
              </w:rPr>
            </w:pPr>
            <w:r>
              <w:rPr>
                <w:rFonts w:ascii="Arial" w:cs="Arial" w:eastAsia="Arial" w:hAnsi="Arial"/>
                <w:sz w:val="16"/>
                <w:szCs w:val="16"/>
                <w:color w:val="auto"/>
              </w:rPr>
              <w:t>Approve, by non-binding vote, the compensation of named executive officers.</w:t>
            </w:r>
          </w:p>
        </w:tc>
        <w:tc>
          <w:tcPr>
            <w:tcW w:w="1940" w:type="dxa"/>
            <w:vAlign w:val="bottom"/>
          </w:tcPr>
          <w:p>
            <w:pPr>
              <w:jc w:val="center"/>
              <w:ind w:left="1399"/>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99"/>
              </w:rPr>
              <w:t>☐</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 3 YEARS on the following proposal:</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940" w:type="dxa"/>
            <w:vAlign w:val="bottom"/>
          </w:tcPr>
          <w:p>
            <w:pPr>
              <w:jc w:val="center"/>
              <w:ind w:left="219"/>
              <w:spacing w:after="0"/>
              <w:rPr>
                <w:sz w:val="20"/>
                <w:szCs w:val="20"/>
                <w:color w:val="auto"/>
              </w:rPr>
            </w:pPr>
            <w:r>
              <w:rPr>
                <w:rFonts w:ascii="Arial" w:cs="Arial" w:eastAsia="Arial" w:hAnsi="Arial"/>
                <w:sz w:val="16"/>
                <w:szCs w:val="16"/>
                <w:b w:val="1"/>
                <w:bCs w:val="1"/>
                <w:color w:val="auto"/>
                <w:w w:val="95"/>
              </w:rPr>
              <w:t>1 year</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6"/>
              </w:rPr>
              <w:t>2 years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0"/>
              </w:rPr>
              <w:t>3 years</w:t>
            </w:r>
          </w:p>
        </w:tc>
        <w:tc>
          <w:tcPr>
            <w:tcW w:w="66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Abstain</w:t>
            </w:r>
          </w:p>
        </w:tc>
        <w:tc>
          <w:tcPr>
            <w:tcW w:w="0" w:type="dxa"/>
            <w:vAlign w:val="bottom"/>
          </w:tcPr>
          <w:p>
            <w:pPr>
              <w:spacing w:after="0"/>
              <w:rPr>
                <w:sz w:val="1"/>
                <w:szCs w:val="1"/>
                <w:color w:val="auto"/>
              </w:rPr>
            </w:pPr>
          </w:p>
        </w:tc>
      </w:tr>
      <w:tr>
        <w:trPr>
          <w:trHeight w:val="254"/>
        </w:trPr>
        <w:tc>
          <w:tcPr>
            <w:tcW w:w="240" w:type="dxa"/>
            <w:vAlign w:val="bottom"/>
          </w:tcPr>
          <w:p>
            <w:pPr>
              <w:spacing w:after="0"/>
              <w:rPr>
                <w:sz w:val="20"/>
                <w:szCs w:val="20"/>
                <w:color w:val="auto"/>
              </w:rPr>
            </w:pPr>
            <w:r>
              <w:rPr>
                <w:rFonts w:ascii="Arial" w:cs="Arial" w:eastAsia="Arial" w:hAnsi="Arial"/>
                <w:sz w:val="16"/>
                <w:szCs w:val="16"/>
                <w:color w:val="auto"/>
              </w:rPr>
              <w:t>4.</w:t>
            </w:r>
          </w:p>
        </w:tc>
        <w:tc>
          <w:tcPr>
            <w:tcW w:w="8060" w:type="dxa"/>
            <w:vAlign w:val="bottom"/>
          </w:tcPr>
          <w:p>
            <w:pPr>
              <w:ind w:left="100"/>
              <w:spacing w:after="0"/>
              <w:rPr>
                <w:sz w:val="20"/>
                <w:szCs w:val="20"/>
                <w:color w:val="auto"/>
              </w:rPr>
            </w:pPr>
            <w:r>
              <w:rPr>
                <w:rFonts w:ascii="Arial" w:cs="Arial" w:eastAsia="Arial" w:hAnsi="Arial"/>
                <w:sz w:val="16"/>
                <w:szCs w:val="16"/>
                <w:color w:val="auto"/>
                <w:w w:val="96"/>
              </w:rPr>
              <w:t>Recommend, by non-binding vote, the frequency of advisory vote on compensation of our named executive officers.</w:t>
            </w:r>
          </w:p>
        </w:tc>
        <w:tc>
          <w:tcPr>
            <w:tcW w:w="940" w:type="dxa"/>
            <w:vAlign w:val="bottom"/>
          </w:tcPr>
          <w:p>
            <w:pPr>
              <w:jc w:val="center"/>
              <w:ind w:left="219"/>
              <w:spacing w:after="0" w:line="161" w:lineRule="exact"/>
              <w:rPr>
                <w:sz w:val="20"/>
                <w:szCs w:val="20"/>
                <w:color w:val="auto"/>
              </w:rPr>
            </w:pPr>
            <w:r>
              <w:rPr>
                <w:rFonts w:ascii="MS PGothic" w:cs="MS PGothic" w:eastAsia="MS PGothic" w:hAnsi="MS PGothic"/>
                <w:sz w:val="16"/>
                <w:szCs w:val="16"/>
                <w:color w:val="auto"/>
                <w:w w:val="99"/>
              </w:rPr>
              <w:t>☐</w:t>
            </w: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7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r>
        <w:trPr>
          <w:trHeight w:val="293"/>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The Board of Directors recommends that you vote FOR proposal 5:</w:t>
            </w:r>
          </w:p>
        </w:tc>
        <w:tc>
          <w:tcPr>
            <w:tcW w:w="94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For</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Against</w:t>
            </w:r>
          </w:p>
        </w:tc>
        <w:tc>
          <w:tcPr>
            <w:tcW w:w="66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91"/>
              </w:rPr>
              <w:t>Abstain</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0"/>
                <w:szCs w:val="20"/>
                <w:color w:val="auto"/>
              </w:rPr>
            </w:pPr>
            <w:r>
              <w:rPr>
                <w:rFonts w:ascii="Arial" w:cs="Arial" w:eastAsia="Arial" w:hAnsi="Arial"/>
                <w:sz w:val="16"/>
                <w:szCs w:val="16"/>
                <w:color w:val="auto"/>
              </w:rPr>
              <w:t>5.</w:t>
            </w:r>
          </w:p>
        </w:tc>
        <w:tc>
          <w:tcPr>
            <w:tcW w:w="8060" w:type="dxa"/>
            <w:vAlign w:val="bottom"/>
          </w:tcPr>
          <w:p>
            <w:pPr>
              <w:ind w:left="100"/>
              <w:spacing w:after="0"/>
              <w:rPr>
                <w:sz w:val="20"/>
                <w:szCs w:val="20"/>
                <w:color w:val="auto"/>
              </w:rPr>
            </w:pPr>
            <w:r>
              <w:rPr>
                <w:rFonts w:ascii="Arial" w:cs="Arial" w:eastAsia="Arial" w:hAnsi="Arial"/>
                <w:sz w:val="16"/>
                <w:szCs w:val="16"/>
                <w:color w:val="auto"/>
              </w:rPr>
              <w:t>Proposal NOT to restore voting rights to certain Control Shares.</w:t>
            </w:r>
          </w:p>
        </w:tc>
        <w:tc>
          <w:tcPr>
            <w:tcW w:w="940" w:type="dxa"/>
            <w:vAlign w:val="bottom"/>
          </w:tcPr>
          <w:p>
            <w:pPr>
              <w:spacing w:after="0"/>
              <w:rPr>
                <w:sz w:val="22"/>
                <w:szCs w:val="22"/>
                <w:color w:val="auto"/>
              </w:rPr>
            </w:pP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7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Such other business as may properly come before the Annual Meeting or any adjournment thereof.</w:t>
      </w:r>
    </w:p>
    <w:p>
      <w:pPr>
        <w:spacing w:after="0" w:line="101" w:lineRule="exact"/>
        <w:rPr>
          <w:sz w:val="20"/>
          <w:szCs w:val="20"/>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For address changes and/or comments, please check this box and write them on the back where indicated</w:t>
      </w:r>
      <w:r>
        <w:rPr>
          <w:sz w:val="20"/>
          <w:szCs w:val="20"/>
          <w:color w:val="auto"/>
        </w:rPr>
        <w:tab/>
      </w:r>
      <w:r>
        <w:rPr>
          <w:rFonts w:ascii="MS PGothic" w:cs="MS PGothic" w:eastAsia="MS PGothic" w:hAnsi="MS PGothic"/>
          <w:sz w:val="14"/>
          <w:szCs w:val="14"/>
          <w:color w:val="auto"/>
        </w:rPr>
        <w:t>☐</w:t>
      </w:r>
    </w:p>
    <w:p>
      <w:pPr>
        <w:spacing w:after="0" w:line="152" w:lineRule="exact"/>
        <w:rPr>
          <w:sz w:val="20"/>
          <w:szCs w:val="20"/>
          <w:color w:val="auto"/>
        </w:rPr>
      </w:pPr>
    </w:p>
    <w:p>
      <w:pPr>
        <w:spacing w:after="0" w:line="184" w:lineRule="exact"/>
        <w:tabs>
          <w:tab w:leader="none" w:pos="4160" w:val="left"/>
          <w:tab w:leader="none" w:pos="4840" w:val="left"/>
        </w:tabs>
        <w:rPr>
          <w:sz w:val="20"/>
          <w:szCs w:val="20"/>
          <w:color w:val="auto"/>
        </w:rPr>
      </w:pPr>
      <w:r>
        <w:rPr>
          <w:rFonts w:ascii="Arial" w:cs="Arial" w:eastAsia="Arial" w:hAnsi="Arial"/>
          <w:sz w:val="16"/>
          <w:szCs w:val="16"/>
          <w:color w:val="auto"/>
        </w:rPr>
        <w:t>Please indicate if you plan to attend this meeting</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4"/>
          <w:szCs w:val="14"/>
          <w:color w:val="auto"/>
        </w:rPr>
        <w:t>☐</w:t>
      </w:r>
    </w:p>
    <w:p>
      <w:pPr>
        <w:spacing w:after="0" w:line="63" w:lineRule="exact"/>
        <w:rPr>
          <w:sz w:val="20"/>
          <w:szCs w:val="20"/>
          <w:color w:val="auto"/>
        </w:rPr>
      </w:pPr>
    </w:p>
    <w:p>
      <w:pPr>
        <w:ind w:left="4140"/>
        <w:spacing w:after="0"/>
        <w:tabs>
          <w:tab w:leader="none" w:pos="4820" w:val="left"/>
        </w:tabs>
        <w:rPr>
          <w:sz w:val="20"/>
          <w:szCs w:val="20"/>
          <w:color w:val="auto"/>
        </w:rPr>
      </w:pPr>
      <w:r>
        <w:rPr>
          <w:rFonts w:ascii="Arial" w:cs="Arial" w:eastAsia="Arial" w:hAnsi="Arial"/>
          <w:sz w:val="16"/>
          <w:szCs w:val="16"/>
          <w:b w:val="1"/>
          <w:bCs w:val="1"/>
          <w:color w:val="auto"/>
        </w:rPr>
        <w:t>Yes</w:t>
      </w:r>
      <w:r>
        <w:rPr>
          <w:sz w:val="20"/>
          <w:szCs w:val="20"/>
          <w:color w:val="auto"/>
        </w:rPr>
        <w:tab/>
      </w:r>
      <w:r>
        <w:rPr>
          <w:rFonts w:ascii="Arial" w:cs="Arial" w:eastAsia="Arial" w:hAnsi="Arial"/>
          <w:sz w:val="16"/>
          <w:szCs w:val="16"/>
          <w:b w:val="1"/>
          <w:bCs w:val="1"/>
          <w:color w:val="auto"/>
        </w:rPr>
        <w:t>No</w:t>
      </w:r>
    </w:p>
    <w:p>
      <w:pPr>
        <w:spacing w:after="0" w:line="113" w:lineRule="exact"/>
        <w:rPr>
          <w:sz w:val="20"/>
          <w:szCs w:val="20"/>
          <w:color w:val="auto"/>
        </w:rPr>
      </w:pPr>
    </w:p>
    <w:p>
      <w:pPr>
        <w:ind w:right="220"/>
        <w:spacing w:after="0" w:line="329" w:lineRule="auto"/>
        <w:rPr>
          <w:sz w:val="20"/>
          <w:szCs w:val="20"/>
          <w:color w:val="auto"/>
        </w:rPr>
      </w:pPr>
      <w:r>
        <w:rPr>
          <w:rFonts w:ascii="Arial" w:cs="Arial" w:eastAsia="Arial" w:hAnsi="Arial"/>
          <w:sz w:val="15"/>
          <w:szCs w:val="15"/>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54875"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4100" w:val="left"/>
          <w:tab w:leader="none" w:pos="6160" w:val="left"/>
          <w:tab w:leader="none" w:pos="10380" w:val="left"/>
        </w:tabs>
        <w:rPr>
          <w:sz w:val="20"/>
          <w:szCs w:val="20"/>
          <w:color w:val="auto"/>
        </w:rPr>
      </w:pPr>
      <w:r>
        <w:rPr>
          <w:rFonts w:ascii="Arial" w:cs="Arial" w:eastAsia="Arial" w:hAnsi="Arial"/>
          <w:sz w:val="16"/>
          <w:szCs w:val="16"/>
          <w:color w:val="auto"/>
        </w:rPr>
        <w:t>Signature [PLEASE SIGN WITHIN BOX]</w:t>
      </w:r>
      <w:r>
        <w:rPr>
          <w:sz w:val="20"/>
          <w:szCs w:val="20"/>
          <w:color w:val="auto"/>
        </w:rPr>
        <w:tab/>
      </w: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 Annual Meeting: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 2013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shareholder of ClearOne, Inc., a Utah corporation (the “Company”), hereby acknowledges receipt of the Notice of Annual Meeting of Shareholders and Proxy Statement, each dated November 8, 2013, and hereby appoints Zeynep Hakimoglu and Narasimhan (“Narsi”) Narayanan, proxies and attorneys-in-fact, with full power to each of substitution in behalf of and in the name of the undersigned, to represent the undersigned at the Annual Meeting of Shareholders to be held on December 3, 2013,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178"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5"/>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lowerRoman"/>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Roman"/>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2"/>
    </w:lvl>
  </w:abstractNum>
  <w:abstractNum w:abstractNumId="23">
    <w:nsid w:val="4353D0CD"/>
    <w:multiLevelType w:val="hybridMultilevel"/>
    <w:lvl w:ilvl="0">
      <w:lvlJc w:val="left"/>
      <w:lvlText w:val="%1."/>
      <w:numFmt w:val="upperLetter"/>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2019-12-06T03:34:02Z</dcterms:created>
  <dcterms:modified xsi:type="dcterms:W3CDTF">2019-12-06T03:34:02Z</dcterms:modified>
</cp:coreProperties>
</file>