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3, 2020 (</w:t>
      </w:r>
      <w:r>
        <w:rPr>
          <w:rFonts w:ascii="Arial" w:cs="Arial" w:eastAsia="Arial" w:hAnsi="Arial"/>
          <w:sz w:val="18"/>
          <w:szCs w:val="18"/>
          <w:b w:val="1"/>
          <w:bCs w:val="1"/>
          <w:u w:val="single" w:color="auto"/>
          <w:color w:val="auto"/>
        </w:rPr>
        <w:t>January 29,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40" w:type="dxa"/>
            <w:vAlign w:val="bottom"/>
            <w:gridSpan w:val="4"/>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3"/>
        </w:trPr>
        <w:tc>
          <w:tcPr>
            <w:tcW w:w="1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r>
      <w:tr>
        <w:trPr>
          <w:trHeight w:val="166"/>
        </w:trPr>
        <w:tc>
          <w:tcPr>
            <w:tcW w:w="1240" w:type="dxa"/>
            <w:vAlign w:val="bottom"/>
            <w:tcBorders>
              <w:left w:val="single" w:sz="8" w:color="auto"/>
            </w:tcBorders>
          </w:tcPr>
          <w:p>
            <w:pPr>
              <w:spacing w:after="0"/>
              <w:rPr>
                <w:sz w:val="14"/>
                <w:szCs w:val="14"/>
                <w:color w:val="auto"/>
              </w:rPr>
            </w:pPr>
          </w:p>
        </w:tc>
        <w:tc>
          <w:tcPr>
            <w:tcW w:w="2540" w:type="dxa"/>
            <w:vAlign w:val="bottom"/>
            <w:tcBorders>
              <w:right w:val="single" w:sz="8" w:color="auto"/>
            </w:tcBorders>
            <w:gridSpan w:val="2"/>
          </w:tcPr>
          <w:p>
            <w:pPr>
              <w:jc w:val="center"/>
              <w:ind w:right="1240"/>
              <w:spacing w:after="0" w:line="166" w:lineRule="exact"/>
              <w:rPr>
                <w:sz w:val="20"/>
                <w:szCs w:val="20"/>
                <w:color w:val="auto"/>
              </w:rPr>
            </w:pPr>
            <w:r>
              <w:rPr>
                <w:rFonts w:ascii="Arial" w:cs="Arial" w:eastAsia="Arial" w:hAnsi="Arial"/>
                <w:sz w:val="18"/>
                <w:szCs w:val="18"/>
                <w:color w:val="auto"/>
                <w:w w:val="90"/>
              </w:rPr>
              <w:t>Title of each class</w:t>
            </w:r>
          </w:p>
        </w:tc>
        <w:tc>
          <w:tcPr>
            <w:tcW w:w="860" w:type="dxa"/>
            <w:vAlign w:val="bottom"/>
          </w:tcPr>
          <w:p>
            <w:pPr>
              <w:spacing w:after="0"/>
              <w:rPr>
                <w:sz w:val="14"/>
                <w:szCs w:val="14"/>
                <w:color w:val="auto"/>
              </w:rPr>
            </w:pPr>
          </w:p>
        </w:tc>
        <w:tc>
          <w:tcPr>
            <w:tcW w:w="3040" w:type="dxa"/>
            <w:vAlign w:val="bottom"/>
            <w:tcBorders>
              <w:right w:val="single" w:sz="8" w:color="auto"/>
            </w:tcBorders>
            <w:gridSpan w:val="3"/>
          </w:tcPr>
          <w:p>
            <w:pPr>
              <w:jc w:val="center"/>
              <w:ind w:right="880"/>
              <w:spacing w:after="0" w:line="166" w:lineRule="exact"/>
              <w:rPr>
                <w:sz w:val="20"/>
                <w:szCs w:val="20"/>
                <w:color w:val="auto"/>
              </w:rPr>
            </w:pPr>
            <w:r>
              <w:rPr>
                <w:rFonts w:ascii="Arial" w:cs="Arial" w:eastAsia="Arial" w:hAnsi="Arial"/>
                <w:sz w:val="18"/>
                <w:szCs w:val="18"/>
                <w:color w:val="auto"/>
                <w:w w:val="92"/>
              </w:rPr>
              <w:t>Trading Symbol(s)</w:t>
            </w:r>
          </w:p>
        </w:tc>
        <w:tc>
          <w:tcPr>
            <w:tcW w:w="3740" w:type="dxa"/>
            <w:vAlign w:val="bottom"/>
            <w:tcBorders>
              <w:right w:val="single" w:sz="8" w:color="auto"/>
            </w:tcBorders>
            <w:gridSpan w:val="3"/>
          </w:tcPr>
          <w:p>
            <w:pPr>
              <w:jc w:val="center"/>
              <w:ind w:right="20"/>
              <w:spacing w:after="0" w:line="166" w:lineRule="exact"/>
              <w:rPr>
                <w:sz w:val="20"/>
                <w:szCs w:val="20"/>
                <w:color w:val="auto"/>
              </w:rPr>
            </w:pPr>
            <w:r>
              <w:rPr>
                <w:rFonts w:ascii="Arial" w:cs="Arial" w:eastAsia="Arial" w:hAnsi="Arial"/>
                <w:sz w:val="18"/>
                <w:szCs w:val="18"/>
                <w:color w:val="auto"/>
                <w:w w:val="89"/>
              </w:rPr>
              <w:t>Name of each exchange on which registered</w:t>
            </w:r>
          </w:p>
        </w:tc>
      </w:tr>
      <w:tr>
        <w:trPr>
          <w:trHeight w:val="51"/>
        </w:trPr>
        <w:tc>
          <w:tcPr>
            <w:tcW w:w="1240" w:type="dxa"/>
            <w:vAlign w:val="bottom"/>
            <w:tcBorders>
              <w:left w:val="single" w:sz="8" w:color="auto"/>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6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0" w:type="dxa"/>
            <w:vAlign w:val="bottom"/>
            <w:tcBorders>
              <w:top w:val="single" w:sz="8" w:color="auto"/>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r>
      <w:tr>
        <w:trPr>
          <w:trHeight w:val="215"/>
        </w:trPr>
        <w:tc>
          <w:tcPr>
            <w:tcW w:w="37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0"/>
              </w:rPr>
              <w:t>Common Stock, $0.001</w:t>
            </w: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640" w:type="dxa"/>
            <w:vAlign w:val="bottom"/>
            <w:tcBorders>
              <w:bottom w:val="single" w:sz="8" w:color="auto"/>
              <w:right w:val="single" w:sz="8" w:color="auto"/>
            </w:tcBorders>
            <w:gridSpan w:val="2"/>
          </w:tcPr>
          <w:p>
            <w:pPr>
              <w:jc w:val="center"/>
              <w:ind w:right="1280"/>
              <w:spacing w:after="0"/>
              <w:rPr>
                <w:sz w:val="20"/>
                <w:szCs w:val="20"/>
                <w:color w:val="auto"/>
              </w:rPr>
            </w:pPr>
            <w:r>
              <w:rPr>
                <w:rFonts w:ascii="Arial" w:cs="Arial" w:eastAsia="Arial" w:hAnsi="Arial"/>
                <w:sz w:val="18"/>
                <w:szCs w:val="18"/>
                <w:color w:val="auto"/>
                <w:w w:val="95"/>
              </w:rPr>
              <w:t>CLRO</w:t>
            </w:r>
          </w:p>
        </w:tc>
        <w:tc>
          <w:tcPr>
            <w:tcW w:w="260" w:type="dxa"/>
            <w:vAlign w:val="bottom"/>
            <w:tcBorders>
              <w:bottom w:val="single" w:sz="8" w:color="auto"/>
            </w:tcBorders>
          </w:tcPr>
          <w:p>
            <w:pPr>
              <w:spacing w:after="0"/>
              <w:rPr>
                <w:sz w:val="18"/>
                <w:szCs w:val="18"/>
                <w:color w:val="auto"/>
              </w:rPr>
            </w:pPr>
          </w:p>
        </w:tc>
        <w:tc>
          <w:tcPr>
            <w:tcW w:w="3480" w:type="dxa"/>
            <w:vAlign w:val="bottom"/>
            <w:tcBorders>
              <w:bottom w:val="single" w:sz="8" w:color="auto"/>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94"/>
              </w:rPr>
              <w:t>The NASDAQ Capital Market</w:t>
            </w:r>
          </w:p>
        </w:tc>
      </w:tr>
      <w:tr>
        <w:trPr>
          <w:trHeight w:val="599"/>
        </w:trPr>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January 29, 2020, ClearOne, Inc. (the “Company”) entered into an amendment (the “Amendment”) to that certain Note Purchase Agreement dated December 8, 2019 by and between the Company and Edward D. Bagley (the “Note Purchase Agreement”) pursuant to which Mr. Bagley agreed to purchase $3,000,000 of secured convertible notes of the Company (the “Notes”) and warrants to purchase 340,909 shares of the Company’s common stock, par value $0.001 per share (the “Warrants”), in a private placement transaction that was completed on December 17, 2019.</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Amendment amends the Note Purchase Agreement to clarify that the Notes were issued with an original issue discount of one and one-half percent (1.5%), or $45,000, as contemplated by the tax treatment provisions of Section 3.5 of the Note Purchase Agreement. All other terms and conditions of the Note Purchase Agreement, Notes and Warrants remain in full force and effect.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description of the NPA Amendment is a summary only and is qualified in its entirety by reference to the complete text of the NPA Amendment, which is filed as an exhibit to this Current Report on Form 8-K and incorporated herein by reference.</w:t>
      </w:r>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780" w:type="dxa"/>
            <w:vAlign w:val="bottom"/>
          </w:tcPr>
          <w:p>
            <w:pPr>
              <w:spacing w:after="0"/>
              <w:rPr>
                <w:sz w:val="20"/>
                <w:szCs w:val="20"/>
                <w:color w:val="auto"/>
              </w:rPr>
            </w:pPr>
          </w:p>
        </w:tc>
      </w:tr>
      <w:tr>
        <w:trPr>
          <w:trHeight w:val="432"/>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Exhibit Title</w:t>
            </w: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58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First Amendment dated January 29, 2020 by and between ClearOne, Inc. and Edward D. Bagley to the Note Purchase Agreement</w:t>
              </w:r>
            </w:hyperlink>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dated December 8, 2019.</w:t>
              </w:r>
            </w:hyperlink>
          </w:p>
        </w:tc>
      </w:tr>
      <w:tr>
        <w:trPr>
          <w:trHeight w:val="595"/>
        </w:trPr>
        <w:tc>
          <w:tcPr>
            <w:tcW w:w="1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top w:val="single" w:sz="8" w:color="0000EE"/>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1760"/>
              <w:spacing w:after="0"/>
              <w:rPr>
                <w:sz w:val="20"/>
                <w:szCs w:val="20"/>
                <w:color w:val="auto"/>
              </w:rPr>
            </w:pPr>
            <w:r>
              <w:rPr>
                <w:rFonts w:ascii="Arial" w:cs="Arial" w:eastAsia="Arial" w:hAnsi="Arial"/>
                <w:sz w:val="18"/>
                <w:szCs w:val="18"/>
                <w:color w:val="auto"/>
              </w:rPr>
              <w:t>CLEARONE, INC.</w:t>
            </w:r>
          </w:p>
        </w:tc>
      </w:tr>
      <w:tr>
        <w:trPr>
          <w:trHeight w:val="432"/>
        </w:trPr>
        <w:tc>
          <w:tcPr>
            <w:tcW w:w="3740" w:type="dxa"/>
            <w:vAlign w:val="bottom"/>
          </w:tcPr>
          <w:p>
            <w:pPr>
              <w:ind w:left="340"/>
              <w:spacing w:after="0"/>
              <w:rPr>
                <w:sz w:val="20"/>
                <w:szCs w:val="20"/>
                <w:color w:val="auto"/>
              </w:rPr>
            </w:pPr>
            <w:r>
              <w:rPr>
                <w:rFonts w:ascii="Arial" w:cs="Arial" w:eastAsia="Arial" w:hAnsi="Arial"/>
                <w:sz w:val="18"/>
                <w:szCs w:val="18"/>
                <w:color w:val="auto"/>
              </w:rPr>
              <w:t>Date: February 3, 2020</w:t>
            </w:r>
          </w:p>
        </w:tc>
        <w:tc>
          <w:tcPr>
            <w:tcW w:w="7680" w:type="dxa"/>
            <w:vAlign w:val="bottom"/>
            <w:gridSpan w:val="2"/>
          </w:tcPr>
          <w:p>
            <w:pPr>
              <w:ind w:left="1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7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74"/>
        </w:trPr>
        <w:tc>
          <w:tcPr>
            <w:tcW w:w="37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780" w:type="dxa"/>
            <w:vAlign w:val="bottom"/>
          </w:tcPr>
          <w:p>
            <w:pPr>
              <w:ind w:left="138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1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Exhibit Title</w:t>
            </w:r>
          </w:p>
        </w:tc>
      </w:tr>
      <w:tr>
        <w:trPr>
          <w:trHeight w:val="385"/>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58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First Amendment dated January 29, 2020 by and between ClearOne, Inc. and Edward D. Bagley to the Note Purchase Agreement</w:t>
              </w:r>
            </w:hyperlink>
          </w:p>
        </w:tc>
      </w:t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dated December 8, 2019.</w:t>
              </w:r>
            </w:hyperlink>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First Amendment dated as of January 29, 2020 (the “</w:t>
      </w:r>
      <w:r>
        <w:rPr>
          <w:rFonts w:ascii="Arial" w:cs="Arial" w:eastAsia="Arial" w:hAnsi="Arial"/>
          <w:sz w:val="18"/>
          <w:szCs w:val="18"/>
          <w:b w:val="1"/>
          <w:bCs w:val="1"/>
          <w:color w:val="auto"/>
        </w:rPr>
        <w:t>Amendment</w:t>
      </w:r>
      <w:r>
        <w:rPr>
          <w:rFonts w:ascii="Arial" w:cs="Arial" w:eastAsia="Arial" w:hAnsi="Arial"/>
          <w:sz w:val="18"/>
          <w:szCs w:val="18"/>
          <w:color w:val="auto"/>
        </w:rPr>
        <w:t>”) to that certain Note Purchase Agreement dated as of December 8, 2019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by and between </w:t>
      </w:r>
      <w:r>
        <w:rPr>
          <w:rFonts w:ascii="Arial" w:cs="Arial" w:eastAsia="Arial" w:hAnsi="Arial"/>
          <w:sz w:val="18"/>
          <w:szCs w:val="18"/>
          <w:b w:val="1"/>
          <w:bCs w:val="1"/>
          <w:color w:val="auto"/>
        </w:rPr>
        <w:t>ClearOne,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Edward D. Bagley</w:t>
      </w:r>
      <w:r>
        <w:rPr>
          <w:rFonts w:ascii="Arial" w:cs="Arial" w:eastAsia="Arial" w:hAnsi="Arial"/>
          <w:sz w:val="18"/>
          <w:szCs w:val="18"/>
          <w:color w:val="auto"/>
        </w:rPr>
        <w:t xml:space="preserve"> (the “</w:t>
      </w:r>
      <w:r>
        <w:rPr>
          <w:rFonts w:ascii="Arial" w:cs="Arial" w:eastAsia="Arial" w:hAnsi="Arial"/>
          <w:sz w:val="18"/>
          <w:szCs w:val="18"/>
          <w:b w:val="1"/>
          <w:bCs w:val="1"/>
          <w:color w:val="auto"/>
        </w:rPr>
        <w:t>Purchaser</w:t>
      </w:r>
      <w:r>
        <w:rPr>
          <w:rFonts w:ascii="Arial" w:cs="Arial" w:eastAsia="Arial" w:hAnsi="Arial"/>
          <w:sz w:val="18"/>
          <w:szCs w:val="18"/>
          <w:color w:val="auto"/>
        </w:rPr>
        <w:t>”). Capitalized terms used herein and not defined shall have the meaning ascribed to them in the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the Purchaser, and the Guarantors (as defined in the Agreement) entered into the Agreement pursuant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issued to the Purchaser a senior secured convertible note dated December 17, 2019 in the principal amount of $3,000,000.00 (the “</w:t>
      </w:r>
      <w:r>
        <w:rPr>
          <w:rFonts w:ascii="Arial" w:cs="Arial" w:eastAsia="Arial" w:hAnsi="Arial"/>
          <w:sz w:val="18"/>
          <w:szCs w:val="18"/>
          <w:b w:val="1"/>
          <w:bCs w:val="1"/>
          <w:color w:val="auto"/>
        </w:rPr>
        <w:t>Note</w:t>
      </w:r>
      <w:r>
        <w:rPr>
          <w:rFonts w:ascii="Arial" w:cs="Arial" w:eastAsia="Arial" w:hAnsi="Arial"/>
          <w:sz w:val="18"/>
          <w:szCs w:val="18"/>
          <w:color w:val="auto"/>
        </w:rPr>
        <w:t>”) pursuant to the terms of the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3.5 of the Agreement contemplated that the tax treatment of the Note would reflect the issuance of the Note with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issue discount (“</w:t>
      </w:r>
      <w:r>
        <w:rPr>
          <w:rFonts w:ascii="Arial" w:cs="Arial" w:eastAsia="Arial" w:hAnsi="Arial"/>
          <w:sz w:val="18"/>
          <w:szCs w:val="18"/>
          <w:b w:val="1"/>
          <w:bCs w:val="1"/>
          <w:color w:val="auto"/>
        </w:rPr>
        <w:t>OID</w:t>
      </w:r>
      <w:r>
        <w:rPr>
          <w:rFonts w:ascii="Arial" w:cs="Arial" w:eastAsia="Arial" w:hAnsi="Arial"/>
          <w:sz w:val="18"/>
          <w:szCs w:val="18"/>
          <w:color w:val="auto"/>
        </w:rPr>
        <w:t>”);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consistent with Section 3.5 of the Agreement, it was the intent of the parties to the Agreement that the Note be issued with OID of one</w:t>
      </w:r>
      <w:r>
        <w:rPr>
          <w:rFonts w:ascii="Arial" w:cs="Arial" w:eastAsia="Arial" w:hAnsi="Arial"/>
          <w:sz w:val="18"/>
          <w:szCs w:val="18"/>
          <w:b w:val="1"/>
          <w:bCs w:val="1"/>
          <w:color w:val="auto"/>
        </w:rPr>
        <w:t xml:space="preserve"> </w:t>
      </w:r>
      <w:r>
        <w:rPr>
          <w:rFonts w:ascii="Arial" w:cs="Arial" w:eastAsia="Arial" w:hAnsi="Arial"/>
          <w:sz w:val="18"/>
          <w:szCs w:val="18"/>
          <w:color w:val="auto"/>
        </w:rPr>
        <w:t>and one-half percent (1.5%), or Forty-Five Thousand Dollars ($45,000), and the parties now desire to amend the Agreement to more specifically set out the original intent of the parties with regard to such OID in the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mutual covenants herein contained, the receipt and sufficiency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parties hereto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 R E E D</w:t>
      </w:r>
    </w:p>
    <w:p>
      <w:pPr>
        <w:spacing w:after="0" w:line="225" w:lineRule="exact"/>
        <w:rPr>
          <w:sz w:val="20"/>
          <w:szCs w:val="20"/>
          <w:color w:val="auto"/>
        </w:rPr>
      </w:pPr>
    </w:p>
    <w:p>
      <w:pPr>
        <w:ind w:left="1020" w:hanging="364"/>
        <w:spacing w:after="0"/>
        <w:tabs>
          <w:tab w:leader="none" w:pos="10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Section 2. Purchase and Sale of the Notes</w:t>
      </w:r>
      <w:r>
        <w:rPr>
          <w:rFonts w:ascii="Arial" w:cs="Arial" w:eastAsia="Arial" w:hAnsi="Arial"/>
          <w:sz w:val="17"/>
          <w:szCs w:val="17"/>
          <w:color w:val="auto"/>
        </w:rPr>
        <w:t>. The parties hereby agree to add Section 2.3 to the Agreement which shall read as follows:</w:t>
      </w:r>
    </w:p>
    <w:p>
      <w:pPr>
        <w:spacing w:after="0" w:line="237" w:lineRule="exact"/>
        <w:rPr>
          <w:sz w:val="20"/>
          <w:szCs w:val="20"/>
          <w:color w:val="auto"/>
        </w:rPr>
      </w:pPr>
    </w:p>
    <w:p>
      <w:pPr>
        <w:ind w:left="660" w:right="20" w:firstLine="648"/>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Original Issue Discount</w:t>
      </w:r>
      <w:r>
        <w:rPr>
          <w:rFonts w:ascii="Arial" w:cs="Arial" w:eastAsia="Arial" w:hAnsi="Arial"/>
          <w:sz w:val="18"/>
          <w:szCs w:val="18"/>
          <w:color w:val="auto"/>
        </w:rPr>
        <w:t>. The Notes carry an original issue discount of 1.5% (the “OID Amount”). The purchase price, therefore, shall be $2,955,000, computed as follows: $3,000,000 original principal balance, less the OID Amount.</w:t>
      </w:r>
    </w:p>
    <w:p>
      <w:pPr>
        <w:spacing w:after="0" w:line="162" w:lineRule="exact"/>
        <w:rPr>
          <w:sz w:val="20"/>
          <w:szCs w:val="20"/>
          <w:color w:val="auto"/>
        </w:rPr>
      </w:pPr>
    </w:p>
    <w:p>
      <w:pPr>
        <w:ind w:left="1020" w:hanging="364"/>
        <w:spacing w:after="0"/>
        <w:tabs>
          <w:tab w:leader="none" w:pos="10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Schedule 2.1 of the Agreement</w:t>
      </w:r>
      <w:r>
        <w:rPr>
          <w:rFonts w:ascii="Arial" w:cs="Arial" w:eastAsia="Arial" w:hAnsi="Arial"/>
          <w:sz w:val="16"/>
          <w:szCs w:val="16"/>
          <w:color w:val="auto"/>
        </w:rPr>
        <w:t>. The allocation table set forth on Schedule 2.1 of the Agreement shall be deleted in its entirety and replaced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4"/>
        </w:trPr>
        <w:tc>
          <w:tcPr>
            <w:tcW w:w="230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228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2280" w:type="dxa"/>
            <w:vAlign w:val="bottom"/>
            <w:tcBorders>
              <w:top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0"/>
              </w:rPr>
              <w:t>Original Issue</w:t>
            </w:r>
          </w:p>
        </w:tc>
        <w:tc>
          <w:tcPr>
            <w:tcW w:w="2300" w:type="dxa"/>
            <w:vAlign w:val="bottom"/>
            <w:tcBorders>
              <w:top w:val="single" w:sz="8" w:color="auto"/>
              <w:right w:val="single" w:sz="8" w:color="auto"/>
            </w:tcBorders>
            <w:shd w:val="clear" w:color="auto" w:fill="E6E6E6"/>
          </w:tcPr>
          <w:p>
            <w:pPr>
              <w:spacing w:after="0"/>
              <w:rPr>
                <w:sz w:val="18"/>
                <w:szCs w:val="18"/>
                <w:color w:val="auto"/>
              </w:rPr>
            </w:pPr>
          </w:p>
        </w:tc>
        <w:tc>
          <w:tcPr>
            <w:tcW w:w="2260" w:type="dxa"/>
            <w:vAlign w:val="bottom"/>
            <w:tcBorders>
              <w:top w:val="single" w:sz="8" w:color="auto"/>
              <w:right w:val="single" w:sz="8" w:color="auto"/>
            </w:tcBorders>
            <w:shd w:val="clear" w:color="auto" w:fill="E6E6E6"/>
          </w:tcPr>
          <w:p>
            <w:pPr>
              <w:spacing w:after="0"/>
              <w:rPr>
                <w:sz w:val="18"/>
                <w:szCs w:val="18"/>
                <w:color w:val="auto"/>
              </w:rPr>
            </w:pPr>
          </w:p>
        </w:tc>
      </w:tr>
      <w:tr>
        <w:trPr>
          <w:trHeight w:val="251"/>
        </w:trPr>
        <w:tc>
          <w:tcPr>
            <w:tcW w:w="2300" w:type="dxa"/>
            <w:vAlign w:val="bottom"/>
            <w:tcBorders>
              <w:left w:val="single" w:sz="8" w:color="auto"/>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8"/>
              </w:rPr>
              <w:t>Purchaser</w:t>
            </w:r>
          </w:p>
        </w:tc>
        <w:tc>
          <w:tcPr>
            <w:tcW w:w="228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28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8"/>
              </w:rPr>
              <w:t>Discount</w:t>
            </w:r>
          </w:p>
        </w:tc>
        <w:tc>
          <w:tcPr>
            <w:tcW w:w="230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89"/>
              </w:rPr>
              <w:t>Purchase Price</w:t>
            </w:r>
          </w:p>
        </w:tc>
        <w:tc>
          <w:tcPr>
            <w:tcW w:w="2260" w:type="dxa"/>
            <w:vAlign w:val="bottom"/>
            <w:tcBorders>
              <w:bottom w:val="single" w:sz="8" w:color="auto"/>
              <w:right w:val="single" w:sz="8" w:color="auto"/>
            </w:tcBorders>
            <w:shd w:val="clear" w:color="auto" w:fill="E6E6E6"/>
          </w:tcPr>
          <w:p>
            <w:pPr>
              <w:jc w:val="center"/>
              <w:spacing w:after="0"/>
              <w:rPr>
                <w:sz w:val="20"/>
                <w:szCs w:val="20"/>
                <w:color w:val="auto"/>
              </w:rPr>
            </w:pPr>
            <w:r>
              <w:rPr>
                <w:rFonts w:ascii="Arial" w:cs="Arial" w:eastAsia="Arial" w:hAnsi="Arial"/>
                <w:sz w:val="18"/>
                <w:szCs w:val="18"/>
                <w:b w:val="1"/>
                <w:bCs w:val="1"/>
                <w:color w:val="auto"/>
                <w:w w:val="93"/>
              </w:rPr>
              <w:t>Warrant Shares</w:t>
            </w:r>
          </w:p>
        </w:tc>
      </w:tr>
      <w:tr>
        <w:trPr>
          <w:trHeight w:val="193"/>
        </w:trPr>
        <w:tc>
          <w:tcPr>
            <w:tcW w:w="230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Edward D. Bagley</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8"/>
              </w:rPr>
              <w:t>$3,000,000.00</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1.5%</w:t>
            </w:r>
          </w:p>
        </w:tc>
        <w:tc>
          <w:tcPr>
            <w:tcW w:w="2300" w:type="dxa"/>
            <w:vAlign w:val="bottom"/>
            <w:tcBorders>
              <w:bottom w:val="single" w:sz="8" w:color="auto"/>
              <w:right w:val="single" w:sz="8" w:color="auto"/>
            </w:tcBorders>
          </w:tcPr>
          <w:p>
            <w:pPr>
              <w:jc w:val="right"/>
              <w:ind w:right="550"/>
              <w:spacing w:after="0" w:line="193" w:lineRule="exact"/>
              <w:rPr>
                <w:sz w:val="20"/>
                <w:szCs w:val="20"/>
                <w:color w:val="auto"/>
              </w:rPr>
            </w:pPr>
            <w:r>
              <w:rPr>
                <w:rFonts w:ascii="Arial" w:cs="Arial" w:eastAsia="Arial" w:hAnsi="Arial"/>
                <w:sz w:val="18"/>
                <w:szCs w:val="18"/>
                <w:color w:val="auto"/>
              </w:rPr>
              <w:t>$2,955,000.00</w:t>
            </w:r>
          </w:p>
        </w:tc>
        <w:tc>
          <w:tcPr>
            <w:tcW w:w="2260" w:type="dxa"/>
            <w:vAlign w:val="bottom"/>
            <w:tcBorders>
              <w:bottom w:val="single" w:sz="8" w:color="auto"/>
              <w:right w:val="single" w:sz="8" w:color="auto"/>
            </w:tcBorders>
          </w:tcPr>
          <w:p>
            <w:pPr>
              <w:jc w:val="right"/>
              <w:ind w:right="750"/>
              <w:spacing w:after="0" w:line="193" w:lineRule="exact"/>
              <w:rPr>
                <w:sz w:val="20"/>
                <w:szCs w:val="20"/>
                <w:color w:val="auto"/>
              </w:rPr>
            </w:pPr>
            <w:r>
              <w:rPr>
                <w:rFonts w:ascii="Arial" w:cs="Arial" w:eastAsia="Arial" w:hAnsi="Arial"/>
                <w:sz w:val="18"/>
                <w:szCs w:val="18"/>
                <w:color w:val="auto"/>
              </w:rPr>
              <w:t>340,909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20" w:hanging="364"/>
        <w:spacing w:after="0"/>
        <w:tabs>
          <w:tab w:leader="none" w:pos="10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Amendment shall be governed by and construed and interpreted under the laws of New York.</w:t>
      </w:r>
    </w:p>
    <w:p>
      <w:pPr>
        <w:spacing w:after="0" w:line="225" w:lineRule="exact"/>
        <w:rPr>
          <w:rFonts w:ascii="Arial" w:cs="Arial" w:eastAsia="Arial" w:hAnsi="Arial"/>
          <w:sz w:val="18"/>
          <w:szCs w:val="18"/>
          <w:b w:val="1"/>
          <w:bCs w:val="1"/>
          <w:color w:val="auto"/>
        </w:rPr>
      </w:pPr>
    </w:p>
    <w:p>
      <w:pPr>
        <w:jc w:val="both"/>
        <w:ind w:firstLine="656"/>
        <w:spacing w:after="0" w:line="266" w:lineRule="auto"/>
        <w:tabs>
          <w:tab w:leader="none" w:pos="1103"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In the event that any provision of this Amendment becomes or is declared by a court of competent jurisdiction to be illegal,</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or void, this Amendment shall continue in full force and effect without said provision, provided that no such severability shall be effective if it materially changes the economic benefit of this Amendment to any party.</w:t>
      </w:r>
    </w:p>
    <w:p>
      <w:pPr>
        <w:spacing w:after="0" w:line="176" w:lineRule="exact"/>
        <w:rPr>
          <w:rFonts w:ascii="Arial" w:cs="Arial" w:eastAsia="Arial" w:hAnsi="Arial"/>
          <w:sz w:val="18"/>
          <w:szCs w:val="18"/>
          <w:b w:val="1"/>
          <w:bCs w:val="1"/>
          <w:color w:val="auto"/>
        </w:rPr>
      </w:pPr>
    </w:p>
    <w:p>
      <w:pPr>
        <w:jc w:val="both"/>
        <w:ind w:firstLine="656"/>
        <w:spacing w:after="0" w:line="266" w:lineRule="auto"/>
        <w:tabs>
          <w:tab w:leader="none" w:pos="108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Full Force and Effect</w:t>
      </w:r>
      <w:r>
        <w:rPr>
          <w:rFonts w:ascii="Arial" w:cs="Arial" w:eastAsia="Arial" w:hAnsi="Arial"/>
          <w:sz w:val="18"/>
          <w:szCs w:val="18"/>
          <w:color w:val="auto"/>
        </w:rPr>
        <w:t>. This Amendment shall be construed in connection with and as part of the Agreement, and except as modified and</w:t>
      </w:r>
      <w:r>
        <w:rPr>
          <w:rFonts w:ascii="Arial" w:cs="Arial" w:eastAsia="Arial" w:hAnsi="Arial"/>
          <w:sz w:val="18"/>
          <w:szCs w:val="18"/>
          <w:b w:val="1"/>
          <w:bCs w:val="1"/>
          <w:color w:val="auto"/>
        </w:rPr>
        <w:t xml:space="preserve"> </w:t>
      </w:r>
      <w:r>
        <w:rPr>
          <w:rFonts w:ascii="Arial" w:cs="Arial" w:eastAsia="Arial" w:hAnsi="Arial"/>
          <w:sz w:val="18"/>
          <w:szCs w:val="18"/>
          <w:color w:val="auto"/>
        </w:rPr>
        <w:t>expressly amended by this Amendment, all terms, conditions and covenants contained in the Agreement, the Note and the Warrant are hereby ratified and shall be and remain in full force and effect.</w:t>
      </w:r>
    </w:p>
    <w:p>
      <w:pPr>
        <w:spacing w:after="0" w:line="176" w:lineRule="exact"/>
        <w:rPr>
          <w:rFonts w:ascii="Arial" w:cs="Arial" w:eastAsia="Arial" w:hAnsi="Arial"/>
          <w:sz w:val="18"/>
          <w:szCs w:val="18"/>
          <w:b w:val="1"/>
          <w:bCs w:val="1"/>
          <w:color w:val="auto"/>
        </w:rPr>
      </w:pPr>
    </w:p>
    <w:p>
      <w:pPr>
        <w:ind w:right="20" w:firstLine="656"/>
        <w:spacing w:after="0" w:line="282" w:lineRule="auto"/>
        <w:tabs>
          <w:tab w:leader="none" w:pos="10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may be executed in counterparts, each of which shall be declared an original, but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5"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Amendment to the Agreement is executed effective as of the date first written above.</w:t>
      </w:r>
    </w:p>
    <w:p>
      <w:pPr>
        <w:sectPr>
          <w:pgSz w:w="11900" w:h="16838" w:orient="portrait"/>
          <w:cols w:equalWidth="0" w:num="1">
            <w:col w:w="9559"/>
          </w:cols>
          <w:pgMar w:left="900" w:top="580" w:right="1440" w:bottom="1440" w:gutter="0" w:footer="0" w:header="0"/>
        </w:sect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CLEARONE, INC.</w:t>
      </w: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Zeynep Hakimoglu</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Zeynep Hakimoglu</w:t>
      </w:r>
    </w:p>
    <w:p>
      <w:pPr>
        <w:spacing w:after="0" w:line="9" w:lineRule="exact"/>
        <w:rPr>
          <w:sz w:val="20"/>
          <w:szCs w:val="20"/>
          <w:color w:val="auto"/>
        </w:rPr>
      </w:pPr>
    </w:p>
    <w:p>
      <w:pPr>
        <w:jc w:val="right"/>
        <w:ind w:right="1479"/>
        <w:spacing w:after="0"/>
        <w:rPr>
          <w:sz w:val="20"/>
          <w:szCs w:val="20"/>
          <w:color w:val="auto"/>
        </w:rPr>
      </w:pPr>
      <w:r>
        <w:rPr>
          <w:rFonts w:ascii="Arial" w:cs="Arial" w:eastAsia="Arial" w:hAnsi="Arial"/>
          <w:sz w:val="18"/>
          <w:szCs w:val="18"/>
          <w:color w:val="auto"/>
        </w:rPr>
        <w:t>Its: President and Chief Executive Officer</w:t>
      </w: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PURCHASER:</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8"/>
          <w:szCs w:val="18"/>
          <w:u w:val="single" w:color="auto"/>
          <w:color w:val="auto"/>
        </w:rPr>
        <w:t>/s/ Edward D. Bagley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Edward D. Bagley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Signature Page to Amendment to Note Purchase Agreement</w:t>
      </w:r>
    </w:p>
    <w:p>
      <w:pPr>
        <w:spacing w:after="0" w:line="32" w:lineRule="exact"/>
        <w:rPr>
          <w:sz w:val="20"/>
          <w:szCs w:val="20"/>
          <w:color w:val="auto"/>
        </w:rPr>
      </w:pPr>
    </w:p>
    <w:p>
      <w:pPr>
        <w:jc w:val="center"/>
        <w:ind w:right="-560"/>
        <w:spacing w:after="0"/>
        <w:rPr>
          <w:sz w:val="20"/>
          <w:szCs w:val="20"/>
          <w:color w:val="auto"/>
        </w:rPr>
      </w:pPr>
      <w:r>
        <w:rPr>
          <w:rFonts w:ascii="Arial" w:cs="Arial" w:eastAsia="Arial" w:hAnsi="Arial"/>
          <w:sz w:val="18"/>
          <w:szCs w:val="18"/>
          <w:u w:val="single" w:color="auto"/>
          <w:color w:val="auto"/>
        </w:rPr>
        <w:t>61576950v.1</w:t>
      </w:r>
    </w:p>
    <w:sectPr>
      <w:pgSz w:w="11900" w:h="16838" w:orient="portrait"/>
      <w:cols w:equalWidth="0" w:num="1">
        <w:col w:w="9559"/>
      </w:cols>
      <w:pgMar w:left="900" w:top="58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2020-02-17T20:41:08Z</dcterms:created>
  <dcterms:modified xsi:type="dcterms:W3CDTF">2020-02-17T20:41:08Z</dcterms:modified>
</cp:coreProperties>
</file>