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rPr>
          <w:sz w:val="20"/>
          <w:szCs w:val="20"/>
          <w:color w:val="auto"/>
        </w:rPr>
      </w:pPr>
      <w:r>
        <w:rPr>
          <w:rFonts w:ascii="Arial" w:cs="Arial" w:eastAsia="Arial" w:hAnsi="Arial"/>
          <w:sz w:val="22"/>
          <w:szCs w:val="22"/>
          <w:color w:val="auto"/>
        </w:rPr>
        <w:t>(Mark One)</w:t>
      </w:r>
    </w:p>
    <w:p>
      <w:pPr>
        <w:ind w:left="220" w:hanging="212"/>
        <w:spacing w:after="0" w:line="210" w:lineRule="auto"/>
        <w:tabs>
          <w:tab w:leader="none" w:pos="220" w:val="left"/>
        </w:tabs>
        <w:numPr>
          <w:ilvl w:val="0"/>
          <w:numId w:val="1"/>
        </w:numPr>
        <w:rPr>
          <w:rFonts w:ascii="Arial" w:cs="Arial" w:eastAsia="Arial" w:hAnsi="Arial"/>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7"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June 30, 2011</w:t>
      </w:r>
    </w:p>
    <w:p>
      <w:pPr>
        <w:ind w:left="1300"/>
        <w:spacing w:after="0" w:line="230" w:lineRule="auto"/>
        <w:rPr>
          <w:sz w:val="20"/>
          <w:szCs w:val="20"/>
          <w:color w:val="auto"/>
        </w:rPr>
      </w:pPr>
      <w:r>
        <w:rPr>
          <w:rFonts w:ascii="Arial" w:cs="Arial" w:eastAsia="Arial" w:hAnsi="Arial"/>
          <w:sz w:val="22"/>
          <w:szCs w:val="22"/>
          <w:color w:val="auto"/>
        </w:rPr>
        <w:t>or</w:t>
      </w:r>
    </w:p>
    <w:p>
      <w:pPr>
        <w:ind w:left="220" w:hanging="212"/>
        <w:spacing w:after="0" w:line="190" w:lineRule="auto"/>
        <w:tabs>
          <w:tab w:leader="none" w:pos="220" w:val="left"/>
        </w:tabs>
        <w:numPr>
          <w:ilvl w:val="0"/>
          <w:numId w:val="2"/>
        </w:numPr>
        <w:rPr>
          <w:rFonts w:ascii="Arial" w:cs="Arial" w:eastAsia="Arial" w:hAnsi="Arial"/>
          <w:sz w:val="22"/>
          <w:szCs w:val="22"/>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62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(State or other jurisdiction of incorporation or organization)</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62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610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24" w:lineRule="exact"/>
        <w:rPr>
          <w:sz w:val="24"/>
          <w:szCs w:val="24"/>
          <w:color w:val="auto"/>
        </w:rPr>
      </w:pPr>
    </w:p>
    <w:p>
      <w:pPr>
        <w:ind w:right="50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ectPr>
          <w:pgSz w:w="11900" w:h="16838" w:orient="portrait"/>
          <w:cols w:equalWidth="0" w:num="1">
            <w:col w:w="11320"/>
          </w:cols>
          <w:pgMar w:left="240" w:top="706" w:right="339" w:bottom="1440" w:gutter="0" w:footer="0" w:header="0"/>
        </w:sectPr>
      </w:pPr>
    </w:p>
    <w:p>
      <w:pPr>
        <w:spacing w:after="0" w:line="207" w:lineRule="exact"/>
        <w:rPr>
          <w:sz w:val="24"/>
          <w:szCs w:val="24"/>
          <w:color w:val="auto"/>
        </w:rPr>
      </w:pPr>
    </w:p>
    <w:p>
      <w:pPr>
        <w:ind w:left="60"/>
        <w:spacing w:after="0"/>
        <w:rPr>
          <w:sz w:val="20"/>
          <w:szCs w:val="20"/>
          <w:color w:val="auto"/>
        </w:rPr>
      </w:pPr>
      <w:r>
        <w:rPr>
          <w:rFonts w:ascii="Arial" w:cs="Arial" w:eastAsia="Arial" w:hAnsi="Arial"/>
          <w:sz w:val="16"/>
          <w:szCs w:val="16"/>
          <w:color w:val="auto"/>
        </w:rPr>
        <w:t>Larger Accelerated Filer 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5560" w:space="720"/>
            <w:col w:w="5040"/>
          </w:cols>
          <w:pgMar w:left="240" w:top="706" w:right="3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560" w:space="720"/>
            <w:col w:w="5040"/>
          </w:cols>
          <w:pgMar w:left="240" w:top="706" w:right="339" w:bottom="1440" w:gutter="0" w:footer="0" w:header="0"/>
          <w:type w:val="continuous"/>
        </w:sectPr>
      </w:pPr>
    </w:p>
    <w:p>
      <w:pPr>
        <w:spacing w:after="0" w:line="122" w:lineRule="exact"/>
        <w:rPr>
          <w:sz w:val="24"/>
          <w:szCs w:val="24"/>
          <w:color w:val="auto"/>
        </w:rPr>
      </w:pPr>
    </w:p>
    <w:p>
      <w:pPr>
        <w:jc w:val="center"/>
        <w:ind w:right="20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9,058,258 shares issued and outstanding as of August 12, 2011.</w:t>
      </w:r>
    </w:p>
    <w:p>
      <w:pPr>
        <w:sectPr>
          <w:pgSz w:w="11900" w:h="16838" w:orient="portrait"/>
          <w:cols w:equalWidth="0" w:num="1">
            <w:col w:w="11320"/>
          </w:cols>
          <w:pgMar w:left="240" w:top="70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EXPLANATORY NOTE</w:t>
      </w:r>
    </w:p>
    <w:p>
      <w:pPr>
        <w:spacing w:after="0" w:line="25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sole purpose of this Amendment No. 1 to the registrant’s Quarterly Report on Form 10-Q for the quarter ended June 30, 2011 (the “Form 10-Q”) is to furnish the interactive data files as required by Rule 405 of Regulation S-T. Exhibit 101 to this Amendment No. 1 provides the following materials from the Form 10-Q, formatted in XBRL (eXtensible Business Reporting Language): (i) consolidated balance sheets, (ii) consolidated statements of operations, (iii) consolidated statements of cash flows, and (iv) the notes to the consolidated financial statements.</w:t>
      </w:r>
    </w:p>
    <w:p>
      <w:pPr>
        <w:spacing w:after="0" w:line="21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Users of this data are advised that pursuant to Rule 406T of Regulation S-T these interactive data files are deemed not filed or part of a registration statement or prospectus for purposes of Sections 11 or 12 of the Securities Act of 1933, as amended, are deemed not filed for the purposes of Section 18 of the Securities and Exchange Act of 1934, as amended, and otherwise are not subject to liability under those sections.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No other changes have been made to the Form 10-Q other than those described above. This Amendment No. 1 does not reflect subsequent events occurring after the original filing date of the Form 10-Q or modify or update in any way disclosures made in the Form 10-Q.</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ind w:left="2140"/>
              <w:spacing w:after="0"/>
              <w:rPr>
                <w:sz w:val="20"/>
                <w:szCs w:val="20"/>
                <w:color w:val="auto"/>
              </w:rPr>
            </w:pPr>
            <w:r>
              <w:rPr>
                <w:rFonts w:ascii="Arial" w:cs="Arial" w:eastAsia="Arial" w:hAnsi="Arial"/>
                <w:sz w:val="22"/>
                <w:szCs w:val="22"/>
                <w:b w:val="1"/>
                <w:bCs w:val="1"/>
                <w:color w:val="auto"/>
              </w:rPr>
              <w:t>EXHIBITS</w:t>
            </w:r>
          </w:p>
        </w:tc>
      </w:tr>
      <w:tr>
        <w:trPr>
          <w:trHeight w:val="40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Title of Document</w:t>
            </w:r>
          </w:p>
        </w:tc>
        <w:tc>
          <w:tcPr>
            <w:tcW w:w="396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Instance Document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Taxonomy Extension Schema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4"/>
              </w:rPr>
              <w:t>XBRL Taxonomy Extension Calculation Linkbase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5"/>
              </w:rPr>
              <w:t>XBRL Taxonomy Extension Definitions Linkbase – Submitted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2"/>
              </w:rPr>
              <w:t>XBRL Taxonomy Extension Presentation Linkbase – Submitted herewith</w:t>
            </w: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ClearOne Communications, Inc.,</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(Registrant)</w:t>
            </w: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September 13,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 Zeynep Hakimoglu</w:t>
            </w:r>
          </w:p>
        </w:tc>
      </w:tr>
      <w:tr>
        <w:trPr>
          <w:trHeight w:val="195"/>
        </w:trPr>
        <w:tc>
          <w:tcPr>
            <w:tcW w:w="3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Zeynep Hakimoglu</w:t>
            </w:r>
          </w:p>
        </w:tc>
        <w:tc>
          <w:tcPr>
            <w:tcW w:w="110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September 13,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 Narsi Narayanan</w:t>
            </w:r>
          </w:p>
        </w:tc>
      </w:tr>
      <w:tr>
        <w:trPr>
          <w:trHeight w:val="195"/>
        </w:trPr>
        <w:tc>
          <w:tcPr>
            <w:tcW w:w="3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Narsi Narayanan</w:t>
            </w:r>
          </w:p>
        </w:tc>
        <w:tc>
          <w:tcPr>
            <w:tcW w:w="110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Vice President of Finance</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2019-12-10T09:41:06Z</dcterms:created>
  <dcterms:modified xsi:type="dcterms:W3CDTF">2019-12-10T09:41:06Z</dcterms:modified>
</cp:coreProperties>
</file>