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18,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160"/>
        <w:spacing w:after="0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96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part of its Stock Buy-Back Program, the Company repurchased 75,000 of its shares at a price of $4.95 per share, on March 18, 2008 in a private transaction. The repurchase was made under the Company’s Rule 10b5-1 Stock Repurchase Plan agreement with a broker under which the Company is conducting its share repurchases under the safe harbor provisions of Rule 10b5-1 and Rule 10b-18 promulgated under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40" w:val="left"/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18,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14605</wp:posOffset>
            </wp:positionV>
            <wp:extent cx="39789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220"/>
      </w:cols>
      <w:pgMar w:left="240" w:top="51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2019-12-13T18:04:49Z</dcterms:created>
  <dcterms:modified xsi:type="dcterms:W3CDTF">2019-12-13T18:04:49Z</dcterms:modified>
</cp:coreProperties>
</file>