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April 18, 2022 (April 18,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ClearOne,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680" w:type="dxa"/>
            <w:vAlign w:val="bottom"/>
            <w:gridSpan w:val="3"/>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0" w:type="dxa"/>
            <w:vAlign w:val="bottom"/>
          </w:tcPr>
          <w:p>
            <w:pPr>
              <w:spacing w:after="0"/>
              <w:rPr>
                <w:sz w:val="19"/>
                <w:szCs w:val="19"/>
                <w:color w:val="auto"/>
              </w:rPr>
            </w:pPr>
          </w:p>
        </w:tc>
        <w:tc>
          <w:tcPr>
            <w:tcW w:w="3600" w:type="dxa"/>
            <w:vAlign w:val="bottom"/>
            <w:tcBorders>
              <w:top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362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362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40" w:firstLine="8"/>
        <w:spacing w:after="0" w:line="511" w:lineRule="auto"/>
        <w:tabs>
          <w:tab w:leader="none" w:pos="4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3"/>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6"/>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CLRO</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April 18, 2022, ClearOne, Inc. (the “Company”) issued a press release announcing its financial results for the three and twelve months ended December 31, 2021. The full text of the press release is attached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880" w:type="dxa"/>
            <w:vAlign w:val="bottom"/>
          </w:tcPr>
          <w:p>
            <w:pPr>
              <w:spacing w:after="0"/>
              <w:rPr>
                <w:sz w:val="20"/>
                <w:szCs w:val="20"/>
                <w:color w:val="auto"/>
              </w:rPr>
            </w:pPr>
          </w:p>
        </w:tc>
        <w:tc>
          <w:tcPr>
            <w:tcW w:w="5440" w:type="dxa"/>
            <w:vAlign w:val="bottom"/>
          </w:tcPr>
          <w:p>
            <w:pPr>
              <w:spacing w:after="0"/>
              <w:rPr>
                <w:sz w:val="20"/>
                <w:szCs w:val="20"/>
                <w:color w:val="auto"/>
              </w:rPr>
            </w:pPr>
          </w:p>
        </w:tc>
      </w:tr>
      <w:tr>
        <w:trPr>
          <w:trHeight w:val="439"/>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70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Exhibit 99.1</w:t>
            </w:r>
          </w:p>
        </w:tc>
        <w:tc>
          <w:tcPr>
            <w:tcW w:w="220" w:type="dxa"/>
            <w:vAlign w:val="bottom"/>
          </w:tcPr>
          <w:p>
            <w:pPr>
              <w:spacing w:after="0"/>
              <w:rPr>
                <w:sz w:val="15"/>
                <w:szCs w:val="15"/>
                <w:color w:val="auto"/>
              </w:rPr>
            </w:pPr>
          </w:p>
        </w:tc>
        <w:tc>
          <w:tcPr>
            <w:tcW w:w="9320" w:type="dxa"/>
            <w:vAlign w:val="bottom"/>
            <w:tcBorders>
              <w:top w:val="single" w:sz="8" w:color="auto"/>
            </w:tcBorders>
            <w:gridSpan w:val="2"/>
          </w:tcPr>
          <w:p>
            <w:pPr>
              <w:spacing w:after="0" w:line="176"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Press Release of ClearOne, Inc. dated April 18, 2022.</w:t>
              </w:r>
            </w:hyperlink>
          </w:p>
        </w:tc>
      </w:tr>
      <w:tr>
        <w:trPr>
          <w:trHeight w:val="20"/>
        </w:trPr>
        <w:tc>
          <w:tcPr>
            <w:tcW w:w="1920" w:type="dxa"/>
            <w:vAlign w:val="bottom"/>
            <w:gridSpan w:val="2"/>
          </w:tcPr>
          <w:p>
            <w:pPr>
              <w:spacing w:after="0" w:line="20" w:lineRule="exact"/>
              <w:rPr>
                <w:sz w:val="1"/>
                <w:szCs w:val="1"/>
                <w:color w:val="auto"/>
              </w:rPr>
            </w:pPr>
          </w:p>
        </w:tc>
        <w:tc>
          <w:tcPr>
            <w:tcW w:w="3880" w:type="dxa"/>
            <w:vAlign w:val="bottom"/>
            <w:tcBorders>
              <w:right w:val="single" w:sz="8" w:color="0000EE"/>
            </w:tcBorders>
            <w:shd w:val="clear" w:color="auto" w:fill="0000FF"/>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237"/>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104.1</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211"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82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April 18, 2022</w:t>
            </w:r>
          </w:p>
        </w:tc>
        <w:tc>
          <w:tcPr>
            <w:tcW w:w="82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Zeynep Hakimoglu</w:t>
            </w:r>
          </w:p>
        </w:tc>
      </w:tr>
      <w:tr>
        <w:trPr>
          <w:trHeight w:val="191"/>
        </w:trPr>
        <w:tc>
          <w:tcPr>
            <w:tcW w:w="30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Zeynep Hakimoglu</w:t>
            </w:r>
          </w:p>
        </w:tc>
      </w:tr>
      <w:tr>
        <w:trPr>
          <w:trHeight w:val="234"/>
        </w:trPr>
        <w:tc>
          <w:tcPr>
            <w:tcW w:w="30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317"/>
        </w:trPr>
        <w:tc>
          <w:tcPr>
            <w:tcW w:w="30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ind w:left="1000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ClearOne Reports Fourth Quarter 2021 Financial Results</w:t>
      </w:r>
    </w:p>
    <w:p>
      <w:pPr>
        <w:spacing w:after="0" w:line="201" w:lineRule="exact"/>
        <w:rPr>
          <w:sz w:val="20"/>
          <w:szCs w:val="20"/>
          <w:color w:val="auto"/>
        </w:rPr>
      </w:pPr>
    </w:p>
    <w:p>
      <w:pPr>
        <w:ind w:left="460" w:hanging="455"/>
        <w:spacing w:after="0"/>
        <w:tabs>
          <w:tab w:leader="none" w:pos="4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Beamforming Microphone Array (BMA) Ceiling Tile solutions drive core audio business growth year-over-year</w:t>
      </w:r>
    </w:p>
    <w:p>
      <w:pPr>
        <w:spacing w:after="0" w:line="117" w:lineRule="exact"/>
        <w:rPr>
          <w:rFonts w:ascii="Times New Roman" w:cs="Times New Roman" w:eastAsia="Times New Roman" w:hAnsi="Times New Roman"/>
          <w:sz w:val="18"/>
          <w:szCs w:val="18"/>
          <w:b w:val="1"/>
          <w:bCs w:val="1"/>
          <w:i w:val="1"/>
          <w:iCs w:val="1"/>
          <w:color w:val="auto"/>
        </w:rPr>
      </w:pPr>
    </w:p>
    <w:p>
      <w:pPr>
        <w:ind w:left="460" w:hanging="455"/>
        <w:spacing w:after="0"/>
        <w:tabs>
          <w:tab w:leader="none" w:pos="4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Video products contribute to an overall revenue decline of 16% year-over-year</w:t>
      </w:r>
    </w:p>
    <w:p>
      <w:pPr>
        <w:spacing w:after="0" w:line="117" w:lineRule="exact"/>
        <w:rPr>
          <w:rFonts w:ascii="Times New Roman" w:cs="Times New Roman" w:eastAsia="Times New Roman" w:hAnsi="Times New Roman"/>
          <w:sz w:val="18"/>
          <w:szCs w:val="18"/>
          <w:b w:val="1"/>
          <w:bCs w:val="1"/>
          <w:i w:val="1"/>
          <w:iCs w:val="1"/>
          <w:color w:val="auto"/>
        </w:rPr>
      </w:pPr>
    </w:p>
    <w:p>
      <w:pPr>
        <w:ind w:left="460" w:hanging="455"/>
        <w:spacing w:after="0"/>
        <w:tabs>
          <w:tab w:leader="none" w:pos="4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2021 full-year revenue comparable to 2020 despite global chip shortage disruptions throughout 2021</w:t>
      </w:r>
    </w:p>
    <w:p>
      <w:pPr>
        <w:spacing w:after="0" w:line="117" w:lineRule="exact"/>
        <w:rPr>
          <w:rFonts w:ascii="Times New Roman" w:cs="Times New Roman" w:eastAsia="Times New Roman" w:hAnsi="Times New Roman"/>
          <w:sz w:val="18"/>
          <w:szCs w:val="18"/>
          <w:b w:val="1"/>
          <w:bCs w:val="1"/>
          <w:i w:val="1"/>
          <w:iCs w:val="1"/>
          <w:color w:val="auto"/>
        </w:rPr>
      </w:pPr>
    </w:p>
    <w:p>
      <w:pPr>
        <w:ind w:left="460" w:hanging="455"/>
        <w:spacing w:after="0"/>
        <w:tabs>
          <w:tab w:leader="none" w:pos="4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New Pro-AV USB Wireless Mic System, an industry first, wins prestigious 2022 NSCA Excellence in Product Innovation Award</w:t>
      </w:r>
    </w:p>
    <w:p>
      <w:pPr>
        <w:spacing w:after="0" w:line="117" w:lineRule="exact"/>
        <w:rPr>
          <w:rFonts w:ascii="Times New Roman" w:cs="Times New Roman" w:eastAsia="Times New Roman" w:hAnsi="Times New Roman"/>
          <w:sz w:val="18"/>
          <w:szCs w:val="18"/>
          <w:b w:val="1"/>
          <w:bCs w:val="1"/>
          <w:i w:val="1"/>
          <w:iCs w:val="1"/>
          <w:color w:val="auto"/>
        </w:rPr>
      </w:pPr>
    </w:p>
    <w:p>
      <w:pPr>
        <w:ind w:left="460" w:hanging="455"/>
        <w:spacing w:after="0"/>
        <w:tabs>
          <w:tab w:leader="none" w:pos="4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Another win added to a string of patent-related litigation victories against Shure</w:t>
      </w: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SALT LAKE CITY, UTAH – April 18, 2022 – ClearOne (NASDAQ: CLRO), a global provider of audio and visual communication solutions, reported financial results for the three and twelve month periods ended December 31, 2021.</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generate impressive revenue growth in core audio conferencing and microphone products, energized by our rich lineup of powerful BMA 360 and BMA-CT based solutions. Q4 revenue from video products did not meet last year's demand levels that were boosted by CARES Act stimulus funding and caused the year-over-year video decline. However, our strategic emphasis on video-based solutions has not and will not be diminished as these still contributed a healthy 22% to our 2021 revenue," said Zee Hakimoglu, President and CEO of ClearOne.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an appreciable decline in revenue from our video products, we finished the year with nearly equal revenue to last year due to the outstanding growth from our core audio conferencing and microphones. Importantly, this dynamic reinforces the resilience of our diverse product portfolio catering to the varying demands of our partners and end-users. Our gross margins in the fourth quarter declined due to increased material costs caused by mounting global supply chain constraints, including the worldwide shortage of semiconductors, and surging global inflation. Despite these extraordinary challenges significantly affecting our industry including our competitors, we continue to meet our partners' expectations of product availability with innovation, nimble response, and diligence. We have implemented plans to enhance our profitability and increase cash conservation that include product optimization, alternate materials sourcing, tougher fiscal controls, and product price increases," Hakimoglu added.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243" w:lineRule="exact"/>
        <w:rPr>
          <w:sz w:val="20"/>
          <w:szCs w:val="20"/>
          <w:color w:val="auto"/>
        </w:rPr>
      </w:pPr>
    </w:p>
    <w:p>
      <w:pPr>
        <w:ind w:left="480" w:right="360" w:hanging="472"/>
        <w:spacing w:after="0" w:line="266"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ClearOne’s new USB wireless mic system won the 2022 NSCA Excellence in Product Innovation Award. One of only seven winners in this prestigious award program, the DIALOG® 10 USB is the industry’s only pro-quality single-channel wireless microphone system with USB connectivity for webcasting and cloud-based collaboration such as Microsoft Teams, Zoom, WebEx, and GotoMeeting.</w:t>
      </w:r>
    </w:p>
    <w:p>
      <w:pPr>
        <w:spacing w:after="0" w:line="81" w:lineRule="exact"/>
        <w:rPr>
          <w:rFonts w:ascii="Times New Roman" w:cs="Times New Roman" w:eastAsia="Times New Roman" w:hAnsi="Times New Roman"/>
          <w:sz w:val="18"/>
          <w:szCs w:val="18"/>
          <w:color w:val="auto"/>
        </w:rPr>
      </w:pPr>
    </w:p>
    <w:p>
      <w:pPr>
        <w:jc w:val="both"/>
        <w:ind w:left="460" w:right="800" w:hanging="452"/>
        <w:spacing w:after="0" w:line="276" w:lineRule="auto"/>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February 2022 we claimed another legal victory over Shure. The Patent Trial and Appeal Board (PTAB) of the United States Patent and Trademark Office (PTO) issued a final written decision confirming the patentability of all claims of ClearOne’s important U.S. Patent No.</w:t>
      </w:r>
    </w:p>
    <w:p>
      <w:pPr>
        <w:ind w:left="460" w:right="2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10,728,653 (the “’653 Patent”). The ’653 Patent covers aspects of ClearOne’s revolutionary innovations in BMAs and relates to “a ceiling tile combined with [a] beamforming microphone array” that includes acoustic echo cancellation and “adaptive acoustic processing that automatically adjusts to a room configuration.” Shortly after the ’653 patent was issued in mid-2020, Shure initiated the case in yet another attempt to disrupt ClearOne’s patent rights, but the PTAB rejected each and every one of Shure’s seven challenges and is the latest in a long string of defeats for Shure. In 2019, the U.S. District Court for the Northern District of Illinois preliminarily enjoined Shure from infringing a</w:t>
      </w:r>
    </w:p>
    <w:p>
      <w:pPr>
        <w:spacing w:after="0" w:line="1" w:lineRule="exact"/>
        <w:rPr>
          <w:rFonts w:ascii="Times New Roman" w:cs="Times New Roman" w:eastAsia="Times New Roman" w:hAnsi="Times New Roman"/>
          <w:sz w:val="17"/>
          <w:szCs w:val="17"/>
          <w:color w:val="auto"/>
        </w:rPr>
      </w:pPr>
    </w:p>
    <w:p>
      <w:pPr>
        <w:ind w:left="460" w:right="7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different ClearOne patent, U.S. Patent No. 9,813,806, and then in 2020 held Shure in contempt of that injunction in case no. 17-cv-3078. In November 2021, a jury in a different court, the U.S. District Court for the District of Delaware, found a Shure design patent asserted against ClearOne to be invalid and not infringed.</w:t>
      </w:r>
    </w:p>
    <w:p>
      <w:pPr>
        <w:spacing w:after="0" w:line="77" w:lineRule="exact"/>
        <w:rPr>
          <w:rFonts w:ascii="Times New Roman" w:cs="Times New Roman" w:eastAsia="Times New Roman" w:hAnsi="Times New Roman"/>
          <w:sz w:val="17"/>
          <w:szCs w:val="17"/>
          <w:color w:val="auto"/>
        </w:rPr>
      </w:pPr>
    </w:p>
    <w:p>
      <w:pPr>
        <w:ind w:left="460" w:right="80" w:hanging="452"/>
        <w:spacing w:after="0" w:line="261"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another ClearOne patent was granted which is related to beamforming microphone arrays with acoustic echo cancellation. The patent, titled “Band-Limited Beamforming Microphone Array with Acoustic Echo Cancellation," describes, among other things, a microphone array with one set of microphones used for beamforming, and one or more additional microphones that are not used for beamforming, but instead are used to enhance the audio performance of the microphone array.</w:t>
      </w:r>
    </w:p>
    <w:p>
      <w:pPr>
        <w:spacing w:after="0" w:line="71" w:lineRule="exact"/>
        <w:rPr>
          <w:rFonts w:ascii="Times New Roman" w:cs="Times New Roman" w:eastAsia="Times New Roman" w:hAnsi="Times New Roman"/>
          <w:sz w:val="18"/>
          <w:szCs w:val="18"/>
          <w:color w:val="auto"/>
        </w:rPr>
      </w:pPr>
    </w:p>
    <w:p>
      <w:pPr>
        <w:ind w:left="460" w:right="40" w:hanging="452"/>
        <w:spacing w:after="0" w:line="261"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early February 2022, we were awarded a new patent for a beamforming microphone array system with distributed processing. This patent claims a ceiling tile microphone array that can be physically separated from the processors running the beamforming algorithm. It enables a single computing engine to run multiple beamforming algorithms for multiple microphone arrays, which can lower the overall system cost compared to an integrated design that is limited to a single computing engine with a single microphone array.</w:t>
      </w:r>
    </w:p>
    <w:p>
      <w:pPr>
        <w:spacing w:after="0" w:line="71" w:lineRule="exact"/>
        <w:rPr>
          <w:rFonts w:ascii="Times New Roman" w:cs="Times New Roman" w:eastAsia="Times New Roman" w:hAnsi="Times New Roman"/>
          <w:sz w:val="18"/>
          <w:szCs w:val="18"/>
          <w:color w:val="auto"/>
        </w:rPr>
      </w:pPr>
    </w:p>
    <w:p>
      <w:pPr>
        <w:ind w:left="460" w:right="160" w:hanging="452"/>
        <w:spacing w:after="0" w:line="266"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early February 2022, our Versa Lite CT, a USB audio-enabled Beamforming Ceiling Tile Microphone that brings cost-effective and superb professional conferencing audio to small- and mid-sized spaces received Google Meet certification. Google Meet ranks among the top 5 for growth in the cloud meetings and team collaboration market according to Frost &amp; Sullivan.</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at the Las Vegas Customer Electronics Show, CES 2022, the world’s most influential annual tech event, our home</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Aura™ Xceed™ BMA was singled out for exceptional innovation with a CES Picks Award, presented by Residential Systems magazine.</w:t>
      </w:r>
    </w:p>
    <w:p>
      <w:pPr>
        <w:spacing w:after="0" w:line="98" w:lineRule="exact"/>
        <w:rPr>
          <w:rFonts w:ascii="Times New Roman" w:cs="Times New Roman" w:eastAsia="Times New Roman" w:hAnsi="Times New Roman"/>
          <w:sz w:val="18"/>
          <w:szCs w:val="18"/>
          <w:color w:val="auto"/>
        </w:rPr>
      </w:pPr>
    </w:p>
    <w:p>
      <w:pPr>
        <w:ind w:left="460" w:right="160" w:hanging="452"/>
        <w:spacing w:after="0" w:line="229"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early January 2022, we introduced DIALOG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10 USB, the industry's only pro-quality, single-channel wireless USB microphone system offering professional-quality audio with USB connectivity for webcasting and cloud-based collaboration.</w:t>
      </w:r>
    </w:p>
    <w:p>
      <w:pPr>
        <w:spacing w:after="0" w:line="90" w:lineRule="exact"/>
        <w:rPr>
          <w:rFonts w:ascii="Times New Roman" w:cs="Times New Roman" w:eastAsia="Times New Roman" w:hAnsi="Times New Roman"/>
          <w:sz w:val="18"/>
          <w:szCs w:val="18"/>
          <w:color w:val="auto"/>
        </w:rPr>
      </w:pPr>
    </w:p>
    <w:p>
      <w:pPr>
        <w:jc w:val="both"/>
        <w:ind w:left="480" w:right="460" w:hanging="461"/>
        <w:spacing w:after="0" w:line="266" w:lineRule="auto"/>
        <w:tabs>
          <w:tab w:leader="none" w:pos="4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we were awarded two new patents for power over ethernet (PoE). These two PoE patents describe systems and methods for providing power to multiple devices such as networked IP phones, security cameras, PCs, and switches in a novel "daisy-chain" configuration, intelligently allocating power using the device's existing circuitry thereby reducing cost, cabling, footprint, or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certain non-GAAP financial measures and reconciles those to GAAP measures in the attached tables.</w:t>
      </w:r>
    </w:p>
    <w:p>
      <w:pPr>
        <w:spacing w:after="0" w:line="225" w:lineRule="exact"/>
        <w:rPr>
          <w:sz w:val="20"/>
          <w:szCs w:val="20"/>
          <w:color w:val="auto"/>
        </w:rPr>
      </w:pPr>
    </w:p>
    <w:p>
      <w:pPr>
        <w:ind w:left="460" w:right="20" w:hanging="452"/>
        <w:spacing w:after="0" w:line="239"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2021 revenue was $7.2 million, compared to $8.6 million in Q4 2020 and $7.0 million in Q3 2021. The decrease in year-over-year revenue was mainly due to a significant decline in revenues from video products partially offset by an increase in revenues from core audio conferencing products and microphones. The increase in revenue from core audio conferencing products and microphones continued to be driven by our new solutions incorporating our beamforming BMA-CT and BMA 360 array ceiling tiles and professional audio mixers. Revenue from video products and personal audio conferencing products declined year over year due to reduced demand for these products compared to the demand in the latter half of 2020 when the demand for work from home and learn from home markets was boosted by stimulus funding through the CARES Act. Despite this year-over-year revenue growth in Q4 2021 from core audio conferencing products and microphones, revenue from our core audio conferencing products and microphones remains far below levels achieved before the infringement of our strategic patents.</w:t>
      </w:r>
    </w:p>
    <w:p>
      <w:pPr>
        <w:sectPr>
          <w:pgSz w:w="11900" w:h="16838" w:orient="portrait"/>
          <w:cols w:equalWidth="0" w:num="1">
            <w:col w:w="11240"/>
          </w:cols>
          <w:pgMar w:left="320" w:top="108" w:right="339" w:bottom="0" w:gutter="0" w:footer="0" w:header="0"/>
        </w:sectPr>
      </w:pPr>
    </w:p>
    <w:bookmarkStart w:id="3" w:name="page4"/>
    <w:bookmarkEnd w:id="3"/>
    <w:p>
      <w:pPr>
        <w:ind w:left="460" w:right="40" w:hanging="452"/>
        <w:spacing w:after="0" w:line="24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profit in Q4 2021 was $2.6 million, compared to $3.6 million in Q4 2020 and $2.9 million in Q3 2021. GAAP gross profit margin was 37% in Q4 2021, compared to 42% in Q4 2020 and 41% in Q3 2021. Gross Profit margin decreased year over year mainly due to increased material costs caused by the global supply chain constraints and surging inflation partially offset by a reduction in inventory obsolescence and freight and tariff costs. Gross Profit margin decreased sequentially mainly due to increased material costs and increased freight and tariff costs partially offset by a reduction in inventory obsolescence costs.</w:t>
      </w:r>
    </w:p>
    <w:p>
      <w:pPr>
        <w:spacing w:after="0" w:line="76" w:lineRule="exact"/>
        <w:rPr>
          <w:rFonts w:ascii="Times New Roman" w:cs="Times New Roman" w:eastAsia="Times New Roman" w:hAnsi="Times New Roman"/>
          <w:sz w:val="18"/>
          <w:szCs w:val="18"/>
          <w:color w:val="auto"/>
        </w:rPr>
      </w:pPr>
    </w:p>
    <w:p>
      <w:pPr>
        <w:ind w:left="460" w:right="20" w:hanging="452"/>
        <w:spacing w:after="0" w:line="261"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 Q4 2021 were $5.1 million, compared to $4.4 million in Q4 2020 and $4.9 million in Q3 2021. Non-GAAP Operating expenses in Q4 2021 were $4.4 million, compared to $3.9 million in Q4 2020 and $4.2 million in Q3 2021. The year-over-year increase in Non-GAAP Operating expenses was mainly due to an increase in R&amp;D project expenses, incurring of one-time employment termination costs, an increase in legal expenses, and bonuses paid to executives.</w:t>
      </w:r>
    </w:p>
    <w:p>
      <w:pPr>
        <w:spacing w:after="0" w:line="71" w:lineRule="exact"/>
        <w:rPr>
          <w:rFonts w:ascii="Times New Roman" w:cs="Times New Roman" w:eastAsia="Times New Roman" w:hAnsi="Times New Roman"/>
          <w:sz w:val="18"/>
          <w:szCs w:val="18"/>
          <w:color w:val="auto"/>
        </w:rPr>
      </w:pPr>
    </w:p>
    <w:p>
      <w:pPr>
        <w:ind w:left="460" w:right="160" w:hanging="452"/>
        <w:spacing w:after="0" w:line="261"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in Q4 2021 was $(2.3) million, or $(0.10) per share, compared to a net income of $5.5 million, or $0.29 per share, in Q4 2020 and a net loss of $2.2 million, or $0.11 per share, in Q3 2021. The change from a net income in Q4 2020 to a net loss in Q4 2021 is primarily due to a reduction in tax benefit from $6.5 million in Q4 2020 to $0.3 million in Q4 2021 and a decrease in revenue and gross profit. Tax benefit in Q4 2020 primarily arose out of the carryback of net operating losses that became possible due to the enactment of the CARES Act.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in 000, except per share)</w:t>
            </w:r>
          </w:p>
        </w:tc>
        <w:tc>
          <w:tcPr>
            <w:tcW w:w="460" w:type="dxa"/>
            <w:vAlign w:val="bottom"/>
          </w:tcPr>
          <w:p>
            <w:pPr>
              <w:spacing w:after="0"/>
              <w:rPr>
                <w:sz w:val="17"/>
                <w:szCs w:val="17"/>
                <w:color w:val="auto"/>
              </w:rPr>
            </w:pPr>
          </w:p>
        </w:tc>
        <w:tc>
          <w:tcPr>
            <w:tcW w:w="3720" w:type="dxa"/>
            <w:vAlign w:val="bottom"/>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00" w:type="dxa"/>
            <w:vAlign w:val="bottom"/>
          </w:tcPr>
          <w:p>
            <w:pPr>
              <w:spacing w:after="0"/>
              <w:rPr>
                <w:sz w:val="17"/>
                <w:szCs w:val="17"/>
                <w:color w:val="auto"/>
              </w:rPr>
            </w:pPr>
          </w:p>
        </w:tc>
        <w:tc>
          <w:tcPr>
            <w:tcW w:w="3840" w:type="dxa"/>
            <w:vAlign w:val="bottom"/>
            <w:gridSpan w:val="4"/>
          </w:tcPr>
          <w:p>
            <w:pPr>
              <w:jc w:val="right"/>
              <w:ind w:right="109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Change in %</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Change in %</w:t>
            </w:r>
          </w:p>
        </w:tc>
      </w:tr>
      <w:tr>
        <w:trPr>
          <w:trHeight w:val="215"/>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Favorable/(Adverse)</w:t>
            </w:r>
          </w:p>
        </w:tc>
        <w:tc>
          <w:tcPr>
            <w:tcW w:w="30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Favorable/(Adverse)</w:t>
            </w:r>
          </w:p>
        </w:tc>
      </w:tr>
      <w:tr>
        <w:trPr>
          <w:trHeight w:val="253"/>
        </w:trPr>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6"/>
              </w:rPr>
              <w:t>GAAP</w:t>
            </w:r>
          </w:p>
        </w:tc>
        <w:tc>
          <w:tcPr>
            <w:tcW w:w="2420" w:type="dxa"/>
            <w:vAlign w:val="bottom"/>
            <w:tcBorders>
              <w:bottom w:val="single" w:sz="8" w:color="CCEEFF"/>
            </w:tcBorders>
            <w:gridSpan w:val="2"/>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16"/>
        </w:trPr>
        <w:tc>
          <w:tcPr>
            <w:tcW w:w="4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29,069</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0" w:type="dxa"/>
            <w:vAlign w:val="bottom"/>
            <w:shd w:val="clear" w:color="auto" w:fill="CCEEFF"/>
          </w:tcPr>
          <w:p>
            <w:pPr>
              <w:spacing w:after="0"/>
              <w:rPr>
                <w:sz w:val="24"/>
                <w:szCs w:val="24"/>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12,559</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3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18,126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3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505</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0.03</w:t>
            </w: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NM</w:t>
            </w:r>
          </w:p>
        </w:tc>
      </w:tr>
      <w:tr>
        <w:trPr>
          <w:trHeight w:val="176"/>
        </w:trPr>
        <w:tc>
          <w:tcPr>
            <w:tcW w:w="40" w:type="dxa"/>
            <w:vAlign w:val="bottom"/>
          </w:tcPr>
          <w:p>
            <w:pPr>
              <w:spacing w:after="0"/>
              <w:rPr>
                <w:sz w:val="15"/>
                <w:szCs w:val="15"/>
                <w:color w:val="auto"/>
              </w:rPr>
            </w:pPr>
          </w:p>
        </w:tc>
        <w:tc>
          <w:tcPr>
            <w:tcW w:w="28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Non-GAAP</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1"/>
        </w:trPr>
        <w:tc>
          <w:tcPr>
            <w:tcW w:w="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12,561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83"/>
        </w:trPr>
        <w:tc>
          <w:tcPr>
            <w:tcW w:w="4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16,996</w:t>
            </w:r>
          </w:p>
        </w:tc>
        <w:tc>
          <w:tcPr>
            <w:tcW w:w="30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16,369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3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2,262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4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98"/>
        </w:trPr>
        <w:tc>
          <w:tcPr>
            <w:tcW w:w="40" w:type="dxa"/>
            <w:vAlign w:val="bottom"/>
          </w:tcPr>
          <w:p>
            <w:pPr>
              <w:spacing w:after="0"/>
              <w:rPr>
                <w:sz w:val="17"/>
                <w:szCs w:val="17"/>
                <w:color w:val="auto"/>
              </w:rPr>
            </w:pPr>
          </w:p>
        </w:tc>
        <w:tc>
          <w:tcPr>
            <w:tcW w:w="28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Non-GAAP diluted income (loss) per</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4"/>
        </w:trPr>
        <w:tc>
          <w:tcPr>
            <w:tcW w:w="40" w:type="dxa"/>
            <w:vAlign w:val="bottom"/>
          </w:tcPr>
          <w:p>
            <w:pPr>
              <w:spacing w:after="0"/>
              <w:rPr>
                <w:sz w:val="20"/>
                <w:szCs w:val="20"/>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2021, cash, cash equivalents and investments were $4.1 million, as compared with $6.7 million as of December 31, 2020. As of December 31, 2021, the Company carried an aggregate debt of $5.0 million on account of senior convertible notes issued in December 2020, a Paycheck Protection Program (PPP) loan in April 2020, and a short-term bridge loan in 2021. The Company believes the entire PPP loan will be forgiven. In January 2022 we issued common stock and warrants in consideration of the cancellation of the $2.0 million short-term bridge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14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in this release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4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8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2021 (the “10-K”), the footnotes thereto and the limitations set forth therein. Investors may not rely on the press release without reference to the 10-Q, the 10-K, and the Public Filings.</w:t>
      </w:r>
    </w:p>
    <w:p>
      <w:pPr>
        <w:sectPr>
          <w:pgSz w:w="11900" w:h="16838" w:orient="portrait"/>
          <w:cols w:equalWidth="0" w:num="1">
            <w:col w:w="11240"/>
          </w:cols>
          <w:pgMar w:left="320" w:top="121" w:right="339" w:bottom="0" w:gutter="0" w:footer="0" w:header="0"/>
        </w:sectPr>
      </w:pPr>
    </w:p>
    <w:bookmarkStart w:id="4" w:name="page5"/>
    <w:bookmarkEnd w:id="4"/>
    <w:p>
      <w:pPr>
        <w:jc w:val="both"/>
        <w:spacing w:after="0" w:line="26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273685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31, 2020</w:t>
            </w:r>
          </w:p>
        </w:tc>
      </w:tr>
      <w:tr>
        <w:trPr>
          <w:trHeight w:val="212"/>
        </w:trPr>
        <w:tc>
          <w:tcPr>
            <w:tcW w:w="7560" w:type="dxa"/>
            <w:vAlign w:val="bottom"/>
            <w:tcBorders>
              <w:top w:val="single" w:sz="8" w:color="CCEEFF"/>
            </w:tcBorders>
            <w:shd w:val="clear" w:color="auto" w:fill="CCEEFF"/>
          </w:tcPr>
          <w:p>
            <w:pPr>
              <w:ind w:left="3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3,803</w:t>
            </w:r>
          </w:p>
        </w:tc>
      </w:tr>
      <w:tr>
        <w:trPr>
          <w:trHeight w:val="229"/>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1,790</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r>
      <w:tr>
        <w:trPr>
          <w:trHeight w:val="230"/>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net of allowance for doubtful accounts of $326 and $506, respectively</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4,991</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5,194</w:t>
            </w:r>
          </w:p>
        </w:tc>
      </w:tr>
      <w:tr>
        <w:trPr>
          <w:trHeight w:val="229"/>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10,033</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10,463</w:t>
            </w:r>
          </w:p>
        </w:tc>
      </w:tr>
      <w:tr>
        <w:trPr>
          <w:trHeight w:val="216"/>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7,535</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7,169</w:t>
            </w:r>
          </w:p>
        </w:tc>
      </w:tr>
      <w:tr>
        <w:trPr>
          <w:trHeight w:val="230"/>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4,021</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1,536</w:t>
            </w:r>
          </w:p>
        </w:tc>
      </w:tr>
      <w:tr>
        <w:trPr>
          <w:trHeight w:val="209"/>
        </w:trPr>
        <w:tc>
          <w:tcPr>
            <w:tcW w:w="75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1,220</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1,762</w:t>
            </w:r>
          </w:p>
        </w:tc>
      </w:tr>
      <w:tr>
        <w:trPr>
          <w:trHeight w:val="229"/>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inventories, net</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3,567</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4,590</w:t>
            </w:r>
          </w:p>
        </w:tc>
      </w:tr>
      <w:tr>
        <w:trPr>
          <w:trHeight w:val="229"/>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w:t>
            </w:r>
          </w:p>
        </w:tc>
      </w:tr>
      <w:tr>
        <w:trPr>
          <w:trHeight w:val="230"/>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1,537</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1,936</w:t>
            </w:r>
          </w:p>
        </w:tc>
      </w:tr>
      <w:tr>
        <w:trPr>
          <w:trHeight w:val="229"/>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25,086</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19,248</w:t>
            </w:r>
          </w:p>
        </w:tc>
      </w:tr>
      <w:tr>
        <w:trPr>
          <w:trHeight w:val="229"/>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4,597</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4,599</w:t>
            </w:r>
          </w:p>
        </w:tc>
      </w:tr>
      <w:tr>
        <w:trPr>
          <w:trHeight w:val="250"/>
        </w:trPr>
        <w:tc>
          <w:tcPr>
            <w:tcW w:w="7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62,323</w:t>
            </w:r>
          </w:p>
        </w:tc>
        <w:tc>
          <w:tcPr>
            <w:tcW w:w="100" w:type="dxa"/>
            <w:vAlign w:val="bottom"/>
            <w:tcBorders>
              <w:bottom w:val="single" w:sz="8" w:color="CCEEFF"/>
            </w:tcBorders>
          </w:tcPr>
          <w:p>
            <w:pPr>
              <w:spacing w:after="0"/>
              <w:rPr>
                <w:sz w:val="21"/>
                <w:szCs w:val="21"/>
                <w:color w:val="auto"/>
              </w:rPr>
            </w:pPr>
          </w:p>
        </w:tc>
      </w:tr>
      <w:tr>
        <w:trPr>
          <w:trHeight w:val="197"/>
        </w:trPr>
        <w:tc>
          <w:tcPr>
            <w:tcW w:w="7560" w:type="dxa"/>
            <w:vAlign w:val="bottom"/>
            <w:shd w:val="clear" w:color="auto" w:fill="CCEEFF"/>
          </w:tcPr>
          <w:p>
            <w:pPr>
              <w:ind w:left="17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3,950</w:t>
            </w:r>
          </w:p>
        </w:tc>
      </w:tr>
      <w:tr>
        <w:trPr>
          <w:trHeight w:val="230"/>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2,549</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2,352</w:t>
            </w:r>
          </w:p>
        </w:tc>
      </w:tr>
      <w:tr>
        <w:trPr>
          <w:trHeight w:val="216"/>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product revenue</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debt</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3,481</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r>
      <w:tr>
        <w:trPr>
          <w:trHeight w:val="210"/>
        </w:trPr>
        <w:tc>
          <w:tcPr>
            <w:tcW w:w="75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1,535</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3,245</w:t>
            </w:r>
          </w:p>
        </w:tc>
      </w:tr>
      <w:tr>
        <w:trPr>
          <w:trHeight w:val="230"/>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1,026</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w:t>
            </w:r>
          </w:p>
        </w:tc>
      </w:tr>
      <w:tr>
        <w:trPr>
          <w:trHeight w:val="230"/>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r>
      <w:tr>
        <w:trPr>
          <w:trHeight w:val="209"/>
        </w:trPr>
        <w:tc>
          <w:tcPr>
            <w:tcW w:w="75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8"/>
        </w:trPr>
        <w:tc>
          <w:tcPr>
            <w:tcW w:w="75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22,410,126 and 18,775,773 shares</w:t>
            </w:r>
          </w:p>
        </w:tc>
        <w:tc>
          <w:tcPr>
            <w:tcW w:w="240" w:type="dxa"/>
            <w:vAlign w:val="bottom"/>
          </w:tcPr>
          <w:p>
            <w:pPr>
              <w:spacing w:after="0"/>
              <w:rPr>
                <w:sz w:val="17"/>
                <w:szCs w:val="17"/>
                <w:color w:val="auto"/>
              </w:rPr>
            </w:pPr>
          </w:p>
        </w:tc>
        <w:tc>
          <w:tcPr>
            <w:tcW w:w="166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7"/>
                <w:szCs w:val="17"/>
                <w:color w:val="auto"/>
              </w:rPr>
            </w:pPr>
          </w:p>
        </w:tc>
        <w:tc>
          <w:tcPr>
            <w:tcW w:w="156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19</w:t>
            </w:r>
          </w:p>
        </w:tc>
      </w:tr>
      <w:tr>
        <w:trPr>
          <w:trHeight w:val="234"/>
        </w:trPr>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issued and outstanding</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72,795</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63,359</w:t>
            </w:r>
          </w:p>
        </w:tc>
      </w:tr>
      <w:tr>
        <w:trPr>
          <w:trHeight w:val="230"/>
        </w:trPr>
        <w:tc>
          <w:tcPr>
            <w:tcW w:w="7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7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(21,072)</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(13,378)</w:t>
            </w:r>
          </w:p>
        </w:tc>
      </w:tr>
      <w:tr>
        <w:trPr>
          <w:trHeight w:val="210"/>
        </w:trPr>
        <w:tc>
          <w:tcPr>
            <w:tcW w:w="7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51,504</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49,814</w:t>
            </w:r>
          </w:p>
        </w:tc>
        <w:tc>
          <w:tcPr>
            <w:tcW w:w="100" w:type="dxa"/>
            <w:vAlign w:val="bottom"/>
            <w:tcBorders>
              <w:bottom w:val="single" w:sz="8" w:color="CCEEFF"/>
            </w:tcBorders>
          </w:tcPr>
          <w:p>
            <w:pPr>
              <w:spacing w:after="0"/>
              <w:rPr>
                <w:sz w:val="18"/>
                <w:szCs w:val="18"/>
                <w:color w:val="auto"/>
              </w:rPr>
            </w:pPr>
          </w:p>
        </w:tc>
      </w:tr>
      <w:tr>
        <w:trPr>
          <w:trHeight w:val="209"/>
        </w:trPr>
        <w:tc>
          <w:tcPr>
            <w:tcW w:w="7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8"/>
        </w:trPr>
        <w:tc>
          <w:tcPr>
            <w:tcW w:w="7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60" w:type="dxa"/>
            <w:vAlign w:val="bottom"/>
          </w:tcPr>
          <w:p>
            <w:pPr>
              <w:spacing w:after="0"/>
              <w:rPr>
                <w:sz w:val="18"/>
                <w:szCs w:val="18"/>
                <w:color w:val="auto"/>
              </w:rPr>
            </w:pPr>
          </w:p>
        </w:tc>
        <w:tc>
          <w:tcPr>
            <w:tcW w:w="2500" w:type="dxa"/>
            <w:vAlign w:val="bottom"/>
            <w:gridSpan w:val="6"/>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51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1"/>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4,564</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4,983</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17,051</w:t>
            </w: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16,510</w:t>
            </w:r>
          </w:p>
        </w:tc>
        <w:tc>
          <w:tcPr>
            <w:tcW w:w="80" w:type="dxa"/>
            <w:vAlign w:val="bottom"/>
          </w:tcPr>
          <w:p>
            <w:pPr>
              <w:spacing w:after="0"/>
              <w:rPr>
                <w:sz w:val="19"/>
                <w:szCs w:val="19"/>
                <w:color w:val="auto"/>
              </w:rPr>
            </w:pPr>
          </w:p>
        </w:tc>
      </w:tr>
      <w:tr>
        <w:trPr>
          <w:trHeight w:val="210"/>
        </w:trPr>
        <w:tc>
          <w:tcPr>
            <w:tcW w:w="5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5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1,716</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1,796</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6,736</w:t>
            </w: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6,728</w:t>
            </w:r>
          </w:p>
        </w:tc>
        <w:tc>
          <w:tcPr>
            <w:tcW w:w="80" w:type="dxa"/>
            <w:vAlign w:val="bottom"/>
          </w:tcPr>
          <w:p>
            <w:pPr>
              <w:spacing w:after="0"/>
              <w:rPr>
                <w:sz w:val="19"/>
                <w:szCs w:val="19"/>
                <w:color w:val="auto"/>
              </w:rPr>
            </w:pPr>
          </w:p>
        </w:tc>
      </w:tr>
      <w:tr>
        <w:trPr>
          <w:trHeight w:val="229"/>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1,541</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1,193</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5,794</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5,512</w:t>
            </w:r>
          </w:p>
        </w:tc>
        <w:tc>
          <w:tcPr>
            <w:tcW w:w="80" w:type="dxa"/>
            <w:vAlign w:val="bottom"/>
            <w:shd w:val="clear" w:color="auto" w:fill="CCEEFF"/>
          </w:tcPr>
          <w:p>
            <w:pPr>
              <w:spacing w:after="0"/>
              <w:rPr>
                <w:sz w:val="19"/>
                <w:szCs w:val="19"/>
                <w:color w:val="auto"/>
              </w:rPr>
            </w:pPr>
          </w:p>
        </w:tc>
      </w:tr>
      <w:tr>
        <w:trPr>
          <w:trHeight w:val="230"/>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1,857</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1,411</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6,881</w:t>
            </w: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5,886</w:t>
            </w:r>
          </w:p>
        </w:tc>
        <w:tc>
          <w:tcPr>
            <w:tcW w:w="80" w:type="dxa"/>
            <w:vAlign w:val="bottom"/>
          </w:tcPr>
          <w:p>
            <w:pPr>
              <w:spacing w:after="0"/>
              <w:rPr>
                <w:sz w:val="19"/>
                <w:szCs w:val="19"/>
                <w:color w:val="auto"/>
              </w:rPr>
            </w:pPr>
          </w:p>
        </w:tc>
      </w:tr>
      <w:tr>
        <w:trPr>
          <w:trHeight w:val="209"/>
        </w:trPr>
        <w:tc>
          <w:tcPr>
            <w:tcW w:w="5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5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(2,476)</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(817)</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(7,495)</w:t>
            </w: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(5,567)</w:t>
            </w:r>
          </w:p>
        </w:tc>
      </w:tr>
      <w:tr>
        <w:trPr>
          <w:trHeight w:val="229"/>
        </w:trPr>
        <w:tc>
          <w:tcPr>
            <w:tcW w:w="5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r>
      <w:tr>
        <w:trPr>
          <w:trHeight w:val="209"/>
        </w:trPr>
        <w:tc>
          <w:tcPr>
            <w:tcW w:w="5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(2,606)</w:t>
            </w: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(919)</w:t>
            </w:r>
          </w:p>
        </w:tc>
        <w:tc>
          <w:tcPr>
            <w:tcW w:w="26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(7,977)</w:t>
            </w:r>
          </w:p>
        </w:tc>
        <w:tc>
          <w:tcPr>
            <w:tcW w:w="2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(5,924)</w:t>
            </w:r>
          </w:p>
        </w:tc>
      </w:tr>
      <w:tr>
        <w:trPr>
          <w:trHeight w:val="229"/>
        </w:trPr>
        <w:tc>
          <w:tcPr>
            <w:tcW w:w="5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(6,468)</w:t>
            </w:r>
          </w:p>
        </w:tc>
        <w:tc>
          <w:tcPr>
            <w:tcW w:w="26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(6,429)</w:t>
            </w:r>
          </w:p>
        </w:tc>
        <w:tc>
          <w:tcPr>
            <w:tcW w:w="80" w:type="dxa"/>
            <w:vAlign w:val="bottom"/>
          </w:tcPr>
          <w:p>
            <w:pPr>
              <w:spacing w:after="0"/>
              <w:rPr>
                <w:sz w:val="19"/>
                <w:szCs w:val="19"/>
                <w:color w:val="auto"/>
              </w:rPr>
            </w:pPr>
          </w:p>
        </w:tc>
      </w:tr>
      <w:tr>
        <w:trPr>
          <w:trHeight w:val="229"/>
        </w:trPr>
        <w:tc>
          <w:tcPr>
            <w:tcW w:w="5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50"/>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(2,284)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6"/>
        </w:trPr>
        <w:tc>
          <w:tcPr>
            <w:tcW w:w="5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22,403,408</w:t>
            </w:r>
          </w:p>
        </w:tc>
        <w:tc>
          <w:tcPr>
            <w:tcW w:w="2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18,771,306</w:t>
            </w:r>
          </w:p>
        </w:tc>
        <w:tc>
          <w:tcPr>
            <w:tcW w:w="260" w:type="dxa"/>
            <w:vAlign w:val="bottom"/>
          </w:tcPr>
          <w:p>
            <w:pPr>
              <w:spacing w:after="0"/>
              <w:rPr>
                <w:sz w:val="21"/>
                <w:szCs w:val="21"/>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19,859,817</w:t>
            </w: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17,271,629</w:t>
            </w:r>
          </w:p>
        </w:tc>
        <w:tc>
          <w:tcPr>
            <w:tcW w:w="80" w:type="dxa"/>
            <w:vAlign w:val="bottom"/>
          </w:tcPr>
          <w:p>
            <w:pPr>
              <w:spacing w:after="0"/>
              <w:rPr>
                <w:sz w:val="21"/>
                <w:szCs w:val="21"/>
                <w:color w:val="auto"/>
              </w:rPr>
            </w:pPr>
          </w:p>
        </w:tc>
      </w:tr>
      <w:tr>
        <w:trPr>
          <w:trHeight w:val="270"/>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22,403,408</w:t>
            </w:r>
          </w:p>
        </w:tc>
        <w:tc>
          <w:tcPr>
            <w:tcW w:w="2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18,829,341</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19,859,817</w:t>
            </w: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17,325,351</w:t>
            </w:r>
          </w:p>
        </w:tc>
        <w:tc>
          <w:tcPr>
            <w:tcW w:w="80" w:type="dxa"/>
            <w:vAlign w:val="bottom"/>
            <w:shd w:val="clear" w:color="auto" w:fill="CCEEFF"/>
          </w:tcPr>
          <w:p>
            <w:pPr>
              <w:spacing w:after="0"/>
              <w:rPr>
                <w:sz w:val="23"/>
                <w:szCs w:val="23"/>
                <w:color w:val="auto"/>
              </w:rPr>
            </w:pPr>
          </w:p>
        </w:tc>
      </w:tr>
      <w:tr>
        <w:trPr>
          <w:trHeight w:val="230"/>
        </w:trPr>
        <w:tc>
          <w:tcPr>
            <w:tcW w:w="5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19"/>
                <w:szCs w:val="19"/>
                <w:color w:val="auto"/>
              </w:rPr>
            </w:pPr>
          </w:p>
        </w:tc>
      </w:tr>
      <w:tr>
        <w:trPr>
          <w:trHeight w:val="229"/>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(0.39)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9"/>
                <w:szCs w:val="19"/>
                <w:color w:val="auto"/>
              </w:rPr>
            </w:pPr>
          </w:p>
        </w:tc>
      </w:tr>
      <w:tr>
        <w:trPr>
          <w:trHeight w:val="230"/>
        </w:trPr>
        <w:tc>
          <w:tcPr>
            <w:tcW w:w="5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(2,284)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5,549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(7,694)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shd w:val="clear" w:color="auto" w:fill="CCEEFF"/>
          </w:tcPr>
          <w:p>
            <w:pPr>
              <w:spacing w:after="0"/>
              <w:rPr>
                <w:sz w:val="18"/>
                <w:szCs w:val="18"/>
                <w:color w:val="auto"/>
              </w:rPr>
            </w:pPr>
          </w:p>
        </w:tc>
      </w:tr>
      <w:tr>
        <w:trPr>
          <w:trHeight w:val="270"/>
        </w:trPr>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3"/>
                <w:szCs w:val="23"/>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23"/>
                <w:szCs w:val="2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3"/>
                <w:szCs w:val="23"/>
                <w:color w:val="auto"/>
              </w:rPr>
            </w:pPr>
          </w:p>
        </w:tc>
      </w:tr>
      <w:tr>
        <w:trPr>
          <w:trHeight w:val="230"/>
        </w:trPr>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8"/>
        </w:trPr>
        <w:tc>
          <w:tcPr>
            <w:tcW w:w="5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720" w:type="dxa"/>
            <w:vAlign w:val="bottom"/>
            <w:gridSpan w:val="5"/>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364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r>
      <w:tr>
        <w:trPr>
          <w:trHeight w:val="211"/>
        </w:trPr>
        <w:tc>
          <w:tcPr>
            <w:tcW w:w="3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gross profit</w:t>
            </w:r>
          </w:p>
        </w:tc>
        <w:tc>
          <w:tcPr>
            <w:tcW w:w="18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12,559</w:t>
            </w:r>
          </w:p>
        </w:tc>
        <w:tc>
          <w:tcPr>
            <w:tcW w:w="120" w:type="dxa"/>
            <w:vAlign w:val="bottom"/>
            <w:shd w:val="clear" w:color="auto" w:fill="CCEEFF"/>
          </w:tcPr>
          <w:p>
            <w:pPr>
              <w:spacing w:after="0"/>
              <w:rPr>
                <w:sz w:val="18"/>
                <w:szCs w:val="18"/>
                <w:color w:val="auto"/>
              </w:rPr>
            </w:pPr>
          </w:p>
        </w:tc>
      </w:tr>
      <w:tr>
        <w:trPr>
          <w:trHeight w:val="223"/>
        </w:trPr>
        <w:tc>
          <w:tcPr>
            <w:tcW w:w="3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r>
      <w:tr>
        <w:trPr>
          <w:trHeight w:val="213"/>
        </w:trPr>
        <w:tc>
          <w:tcPr>
            <w:tcW w:w="3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549" w:right="339" w:bottom="1440" w:gutter="0" w:footer="0" w:header="0"/>
        </w:sectPr>
      </w:pPr>
    </w:p>
    <w:tbl>
      <w:tblPr>
        <w:tblLayout w:type="fixed"/>
        <w:tblInd w:w="4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 operating loss</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(2,476</w:t>
            </w: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Non-GAAP operating loss</w:t>
            </w:r>
          </w:p>
        </w:tc>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(1,788</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 net income (loss)</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(2,284</w:t>
            </w: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Non-GAAP net income (loss)</w:t>
            </w:r>
          </w:p>
        </w:tc>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(1,596</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GAAP net income (loss)</w:t>
            </w: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60" w:type="dxa"/>
            <w:vAlign w:val="bottom"/>
            <w:vMerge w:val="continue"/>
          </w:tcPr>
          <w:p>
            <w:pPr>
              <w:spacing w:after="0"/>
              <w:rPr>
                <w:sz w:val="24"/>
                <w:szCs w:val="24"/>
                <w:color w:val="auto"/>
              </w:rPr>
            </w:pP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(2,284</w:t>
            </w: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Number of shares used in computing GAAP diluted income (loss) per share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22,403,408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 diluted income (loss) per share</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(0.10</w:t>
            </w: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Non-GAAP net income (loss)</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(1,596</w:t>
            </w: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Number of shares used in computing Non-GAAP diluted income (loss) per share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22,403,408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Non-GAAP diluted income (loss) per share</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(0.07</w:t>
            </w: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5"/>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GAAP net income (loss)</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(2,284</w:t>
            </w: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3"/>
          </w:tcPr>
          <w:p>
            <w:pPr>
              <w:jc w:val="right"/>
              <w:ind w:right="41"/>
              <w:spacing w:after="0"/>
              <w:rPr>
                <w:sz w:val="20"/>
                <w:szCs w:val="20"/>
                <w:color w:val="auto"/>
              </w:rPr>
            </w:pPr>
            <w:r>
              <w:rPr>
                <w:rFonts w:ascii="Times New Roman" w:cs="Times New Roman" w:eastAsia="Times New Roman" w:hAnsi="Times New Roman"/>
                <w:sz w:val="16"/>
                <w:szCs w:val="16"/>
                <w:color w:val="auto"/>
              </w:rPr>
              <w:t>(322</w:t>
            </w: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Non-GAAP Adjusted EBITDA</w:t>
            </w: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(1,823</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-3411220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-3119755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-2519680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Times New Roman" w:cs="Times New Roman" w:eastAsia="Times New Roman" w:hAnsi="Times New Roman"/>
          <w:sz w:val="16"/>
          <w:szCs w:val="16"/>
          <w:color w:val="auto"/>
        </w:rPr>
        <w:t>(817)</w:t>
        <w:tab/>
        <w:t>$</w:t>
      </w:r>
    </w:p>
    <w:p>
      <w:pPr>
        <w:spacing w:after="0" w:line="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7</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37465</wp:posOffset>
            </wp:positionV>
            <wp:extent cx="779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53"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6"/>
          <w:szCs w:val="16"/>
          <w:color w:val="auto"/>
        </w:rPr>
        <w:t>(336)</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20320</wp:posOffset>
            </wp:positionV>
            <wp:extent cx="7797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55" w:lineRule="exact"/>
        <w:rPr>
          <w:sz w:val="20"/>
          <w:szCs w:val="20"/>
          <w:color w:val="auto"/>
        </w:rPr>
      </w:pPr>
    </w:p>
    <w:p>
      <w:pPr>
        <w:jc w:val="center"/>
        <w:ind w:left="-359"/>
        <w:spacing w:after="0"/>
        <w:tabs>
          <w:tab w:leader="none" w:pos="200" w:val="left"/>
        </w:tabs>
        <w:rPr>
          <w:sz w:val="20"/>
          <w:szCs w:val="20"/>
          <w:color w:val="auto"/>
        </w:rPr>
      </w:pPr>
      <w:r>
        <w:rPr>
          <w:rFonts w:ascii="Times New Roman" w:cs="Times New Roman" w:eastAsia="Times New Roman" w:hAnsi="Times New Roman"/>
          <w:sz w:val="16"/>
          <w:szCs w:val="16"/>
          <w:color w:val="auto"/>
        </w:rPr>
        <w:t>5,549</w:t>
        <w:tab/>
        <w:t>$</w:t>
      </w:r>
    </w:p>
    <w:p>
      <w:pPr>
        <w:spacing w:after="0" w:line="46" w:lineRule="exact"/>
        <w:rPr>
          <w:sz w:val="20"/>
          <w:szCs w:val="20"/>
          <w:color w:val="auto"/>
        </w:rPr>
      </w:pPr>
    </w:p>
    <w:p>
      <w:pPr>
        <w:jc w:val="center"/>
        <w:ind w:left="-359"/>
        <w:spacing w:after="0"/>
        <w:rPr>
          <w:sz w:val="20"/>
          <w:szCs w:val="20"/>
          <w:color w:val="auto"/>
        </w:rPr>
      </w:pPr>
      <w:r>
        <w:rPr>
          <w:rFonts w:ascii="Times New Roman" w:cs="Times New Roman" w:eastAsia="Times New Roman" w:hAnsi="Times New Roman"/>
          <w:sz w:val="16"/>
          <w:szCs w:val="16"/>
          <w:color w:val="auto"/>
        </w:rPr>
        <w:t>7</w:t>
      </w:r>
    </w:p>
    <w:p>
      <w:pPr>
        <w:spacing w:after="0" w:line="46" w:lineRule="exact"/>
        <w:rPr>
          <w:sz w:val="20"/>
          <w:szCs w:val="20"/>
          <w:color w:val="auto"/>
        </w:rPr>
      </w:pPr>
    </w:p>
    <w:p>
      <w:pPr>
        <w:jc w:val="center"/>
        <w:ind w:left="-179"/>
        <w:spacing w:after="0"/>
        <w:rPr>
          <w:sz w:val="20"/>
          <w:szCs w:val="20"/>
          <w:color w:val="auto"/>
        </w:rPr>
      </w:pPr>
      <w:r>
        <w:rPr>
          <w:rFonts w:ascii="Times New Roman" w:cs="Times New Roman" w:eastAsia="Times New Roman" w:hAnsi="Times New Roman"/>
          <w:sz w:val="16"/>
          <w:szCs w:val="16"/>
          <w:color w:val="auto"/>
        </w:rPr>
        <w:t>474</w:t>
      </w:r>
    </w:p>
    <w:p>
      <w:pPr>
        <w:spacing w:after="0" w:line="59" w:lineRule="exact"/>
        <w:rPr>
          <w:sz w:val="20"/>
          <w:szCs w:val="20"/>
          <w:color w:val="auto"/>
        </w:rPr>
      </w:pPr>
    </w:p>
    <w:p>
      <w:pPr>
        <w:jc w:val="both"/>
        <w:ind w:left="360"/>
        <w:spacing w:after="0"/>
        <w:tabs>
          <w:tab w:leader="none" w:pos="920" w:val="left"/>
        </w:tabs>
        <w:rPr>
          <w:sz w:val="20"/>
          <w:szCs w:val="20"/>
          <w:color w:val="auto"/>
        </w:rPr>
      </w:pPr>
      <w:r>
        <w:rPr>
          <w:rFonts w:ascii="Times New Roman" w:cs="Times New Roman" w:eastAsia="Times New Roman" w:hAnsi="Times New Roman"/>
          <w:sz w:val="16"/>
          <w:szCs w:val="16"/>
          <w:color w:val="auto"/>
        </w:rPr>
        <w:t>6,030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46355</wp:posOffset>
            </wp:positionV>
            <wp:extent cx="7797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69" w:lineRule="exact"/>
        <w:rPr>
          <w:sz w:val="20"/>
          <w:szCs w:val="20"/>
          <w:color w:val="auto"/>
        </w:rPr>
      </w:pPr>
    </w:p>
    <w:p>
      <w:pPr>
        <w:jc w:val="both"/>
        <w:ind w:left="360"/>
        <w:spacing w:after="0"/>
        <w:tabs>
          <w:tab w:leader="none" w:pos="920" w:val="left"/>
        </w:tabs>
        <w:rPr>
          <w:sz w:val="20"/>
          <w:szCs w:val="20"/>
          <w:color w:val="auto"/>
        </w:rPr>
      </w:pPr>
      <w:r>
        <w:rPr>
          <w:rFonts w:ascii="Times New Roman" w:cs="Times New Roman" w:eastAsia="Times New Roman" w:hAnsi="Times New Roman"/>
          <w:sz w:val="16"/>
          <w:szCs w:val="16"/>
          <w:color w:val="auto"/>
        </w:rPr>
        <w:t>5,549</w:t>
        <w:tab/>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18,829,341</w:t>
      </w:r>
    </w:p>
    <w:p>
      <w:pPr>
        <w:spacing w:after="0" w:line="26"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6"/>
          <w:szCs w:val="16"/>
          <w:color w:val="auto"/>
        </w:rPr>
        <w:t>0.29</w:t>
        <w:tab/>
        <w:t>$</w:t>
      </w:r>
    </w:p>
    <w:p>
      <w:pPr>
        <w:spacing w:after="0" w:line="46" w:lineRule="exact"/>
        <w:rPr>
          <w:sz w:val="20"/>
          <w:szCs w:val="20"/>
          <w:color w:val="auto"/>
        </w:rPr>
      </w:pPr>
    </w:p>
    <w:p>
      <w:pPr>
        <w:jc w:val="both"/>
        <w:ind w:left="360"/>
        <w:spacing w:after="0"/>
        <w:tabs>
          <w:tab w:leader="none" w:pos="920" w:val="left"/>
        </w:tabs>
        <w:rPr>
          <w:sz w:val="20"/>
          <w:szCs w:val="20"/>
          <w:color w:val="auto"/>
        </w:rPr>
      </w:pPr>
      <w:r>
        <w:rPr>
          <w:rFonts w:ascii="Times New Roman" w:cs="Times New Roman" w:eastAsia="Times New Roman" w:hAnsi="Times New Roman"/>
          <w:sz w:val="16"/>
          <w:szCs w:val="16"/>
          <w:color w:val="auto"/>
        </w:rPr>
        <w:t>6,030</w:t>
        <w:tab/>
        <w: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18,829,341</w:t>
      </w:r>
    </w:p>
    <w:p>
      <w:pPr>
        <w:spacing w:after="0" w:line="26"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6"/>
          <w:szCs w:val="16"/>
          <w:color w:val="auto"/>
        </w:rPr>
        <w:t>0.32</w:t>
        <w:tab/>
        <w:t>$</w:t>
      </w:r>
    </w:p>
    <w:p>
      <w:pPr>
        <w:spacing w:after="0" w:line="267" w:lineRule="exact"/>
        <w:rPr>
          <w:sz w:val="20"/>
          <w:szCs w:val="20"/>
          <w:color w:val="auto"/>
        </w:rPr>
      </w:pPr>
    </w:p>
    <w:p>
      <w:pPr>
        <w:jc w:val="center"/>
        <w:ind w:left="-359"/>
        <w:spacing w:after="0"/>
        <w:tabs>
          <w:tab w:leader="none" w:pos="200" w:val="left"/>
        </w:tabs>
        <w:rPr>
          <w:sz w:val="20"/>
          <w:szCs w:val="20"/>
          <w:color w:val="auto"/>
        </w:rPr>
      </w:pPr>
      <w:r>
        <w:rPr>
          <w:rFonts w:ascii="Times New Roman" w:cs="Times New Roman" w:eastAsia="Times New Roman" w:hAnsi="Times New Roman"/>
          <w:sz w:val="16"/>
          <w:szCs w:val="16"/>
          <w:color w:val="auto"/>
        </w:rPr>
        <w:t>5,549</w:t>
        <w:tab/>
        <w:t>$</w:t>
      </w:r>
    </w:p>
    <w:p>
      <w:pPr>
        <w:spacing w:after="0" w:line="53" w:lineRule="exact"/>
        <w:rPr>
          <w:sz w:val="20"/>
          <w:szCs w:val="20"/>
          <w:color w:val="auto"/>
        </w:rPr>
      </w:pPr>
    </w:p>
    <w:p>
      <w:pPr>
        <w:jc w:val="center"/>
        <w:ind w:left="-359"/>
        <w:spacing w:after="0"/>
        <w:rPr>
          <w:sz w:val="20"/>
          <w:szCs w:val="20"/>
          <w:color w:val="auto"/>
        </w:rPr>
      </w:pPr>
      <w:r>
        <w:rPr>
          <w:rFonts w:ascii="Times New Roman" w:cs="Times New Roman" w:eastAsia="Times New Roman" w:hAnsi="Times New Roman"/>
          <w:sz w:val="16"/>
          <w:szCs w:val="16"/>
          <w:color w:val="auto"/>
        </w:rPr>
        <w:t>7</w:t>
      </w:r>
    </w:p>
    <w:p>
      <w:pPr>
        <w:spacing w:after="0" w:line="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107</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474</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(6,468)</w:t>
      </w:r>
    </w:p>
    <w:p>
      <w:pPr>
        <w:spacing w:after="0" w:line="46"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6"/>
          <w:szCs w:val="16"/>
          <w:color w:val="auto"/>
        </w:rPr>
        <w:t>(331)</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46355</wp:posOffset>
            </wp:positionV>
            <wp:extent cx="779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Times New Roman" w:cs="Times New Roman" w:eastAsia="Times New Roman" w:hAnsi="Times New Roman"/>
          <w:sz w:val="16"/>
          <w:szCs w:val="16"/>
          <w:color w:val="auto"/>
        </w:rPr>
        <w:t>(7,495</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ab/>
        <w:t>$</w:t>
      </w:r>
    </w:p>
    <w:p>
      <w:pPr>
        <w:spacing w:after="0" w:line="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137</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37465</wp:posOffset>
            </wp:positionV>
            <wp:extent cx="779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48"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6"/>
          <w:szCs w:val="16"/>
          <w:color w:val="auto"/>
        </w:rPr>
        <w:t>(5,070</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15875</wp:posOffset>
            </wp:positionV>
            <wp:extent cx="7797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44"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6"/>
          <w:szCs w:val="16"/>
          <w:color w:val="auto"/>
        </w:rPr>
        <w:t>(7,694</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ab/>
        <w:t>$</w:t>
      </w:r>
    </w:p>
    <w:p>
      <w:pPr>
        <w:spacing w:after="0" w:line="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137</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2,288</w:t>
      </w:r>
    </w:p>
    <w:p>
      <w:pPr>
        <w:spacing w:after="0" w:line="59"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6"/>
          <w:szCs w:val="16"/>
          <w:color w:val="auto"/>
        </w:rPr>
        <w:t>(5,269</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38735</wp:posOffset>
            </wp:positionV>
            <wp:extent cx="779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57"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6"/>
          <w:szCs w:val="16"/>
          <w:color w:val="auto"/>
        </w:rPr>
        <w:t>(7,694</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ab/>
        <w: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19,859,817</w:t>
      </w:r>
    </w:p>
    <w:p>
      <w:pPr>
        <w:spacing w:after="0" w:line="26"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6"/>
          <w:szCs w:val="16"/>
          <w:color w:val="auto"/>
        </w:rPr>
        <w:t>(0.39</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ab/>
        <w:t>$</w:t>
      </w:r>
    </w:p>
    <w:p>
      <w:pPr>
        <w:spacing w:after="0" w:line="40"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6"/>
          <w:szCs w:val="16"/>
          <w:color w:val="auto"/>
        </w:rPr>
        <w:t>(5,269</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ab/>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19,859,817</w:t>
      </w:r>
    </w:p>
    <w:p>
      <w:pPr>
        <w:spacing w:after="0" w:line="26"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6"/>
          <w:szCs w:val="16"/>
          <w:color w:val="auto"/>
        </w:rPr>
        <w:t>(0.27)</w:t>
        <w:tab/>
        <w:t>$</w:t>
      </w:r>
    </w:p>
    <w:p>
      <w:pPr>
        <w:spacing w:after="0" w:line="267"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6"/>
          <w:szCs w:val="16"/>
          <w:color w:val="auto"/>
        </w:rPr>
        <w:t>(7,694</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ab/>
        <w:t>$</w:t>
      </w:r>
    </w:p>
    <w:p>
      <w:pPr>
        <w:spacing w:after="0" w:line="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137</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378</w:t>
      </w:r>
    </w:p>
    <w:p>
      <w:pPr>
        <w:spacing w:after="0" w:line="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2,288</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(283</w:t>
      </w:r>
      <w:r>
        <w:rPr>
          <w:rFonts w:ascii="Times New Roman" w:cs="Times New Roman" w:eastAsia="Times New Roman" w:hAnsi="Times New Roman"/>
          <w:sz w:val="17"/>
          <w:szCs w:val="17"/>
          <w:color w:val="auto"/>
        </w:rPr>
        <w:t>)</w:t>
      </w:r>
    </w:p>
    <w:p>
      <w:pPr>
        <w:spacing w:after="0" w:line="39"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6"/>
          <w:szCs w:val="16"/>
          <w:color w:val="auto"/>
        </w:rPr>
        <w:t>(5,174</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38735</wp:posOffset>
            </wp:positionV>
            <wp:extent cx="779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Times New Roman" w:cs="Times New Roman" w:eastAsia="Times New Roman" w:hAnsi="Times New Roman"/>
          <w:sz w:val="16"/>
          <w:szCs w:val="16"/>
          <w:color w:val="auto"/>
        </w:rPr>
        <w:t>(5,567)</w:t>
      </w:r>
    </w:p>
    <w:p>
      <w:pPr>
        <w:spacing w:after="0" w:line="4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63</w:t>
      </w:r>
    </w:p>
    <w:p>
      <w:pPr>
        <w:spacing w:after="0" w:line="4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1,694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37465</wp:posOffset>
            </wp:positionV>
            <wp:extent cx="7797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5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20320</wp:posOffset>
            </wp:positionV>
            <wp:extent cx="7797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55"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505</w:t>
      </w:r>
    </w:p>
    <w:p>
      <w:pPr>
        <w:spacing w:after="0" w:line="4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63</w:t>
      </w:r>
    </w:p>
    <w:p>
      <w:pPr>
        <w:spacing w:after="0" w:line="4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1,694</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2,262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37465</wp:posOffset>
            </wp:positionV>
            <wp:extent cx="7797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82"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505</w:t>
      </w:r>
    </w:p>
    <w:p>
      <w:pPr>
        <w:spacing w:after="0" w:line="4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17,325,351</w:t>
      </w:r>
    </w:p>
    <w:p>
      <w:pPr>
        <w:spacing w:after="0" w:line="4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0.03</w:t>
      </w:r>
    </w:p>
    <w:p>
      <w:pPr>
        <w:spacing w:after="0" w:line="4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2,262</w:t>
      </w:r>
    </w:p>
    <w:p>
      <w:pPr>
        <w:spacing w:after="0" w:line="4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17,325,351</w:t>
      </w:r>
    </w:p>
    <w:p>
      <w:pPr>
        <w:spacing w:after="0" w:line="4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0.13</w:t>
      </w:r>
    </w:p>
    <w:p>
      <w:pPr>
        <w:spacing w:after="0" w:line="275"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505</w:t>
      </w:r>
    </w:p>
    <w:p>
      <w:pPr>
        <w:spacing w:after="0" w:line="2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63</w:t>
      </w:r>
    </w:p>
    <w:p>
      <w:pPr>
        <w:spacing w:after="0" w:line="38"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6"/>
          <w:szCs w:val="16"/>
          <w:color w:val="auto"/>
        </w:rPr>
        <w:t>422</w:t>
      </w:r>
    </w:p>
    <w:p>
      <w:pPr>
        <w:spacing w:after="0" w:line="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1,694</w:t>
      </w:r>
    </w:p>
    <w:p>
      <w:pPr>
        <w:spacing w:after="0" w:line="5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(6,429)</w:t>
      </w:r>
    </w:p>
    <w:p>
      <w:pPr>
        <w:spacing w:after="0" w:line="4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46355</wp:posOffset>
            </wp:positionV>
            <wp:extent cx="7797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4">
            <w:col w:w="7080" w:space="420"/>
            <w:col w:w="1020" w:space="420"/>
            <w:col w:w="1040" w:space="400"/>
            <w:col w:w="860"/>
          </w:cols>
          <w:pgMar w:left="320" w:top="54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Bob Griffin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801-975-7200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investor_relations@clearone.com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sectPr>
      <w:pgSz w:w="11900" w:h="16838" w:orient="portrait"/>
      <w:cols w:equalWidth="0" w:num="1">
        <w:col w:w="11240"/>
      </w:cols>
      <w:pgMar w:left="320" w:top="54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2022-04-18T08:32:16Z</dcterms:created>
  <dcterms:modified xsi:type="dcterms:W3CDTF">2022-04-18T08:32:16Z</dcterms:modified>
</cp:coreProperties>
</file>