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1"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SCHEDULE 14A</w:t>
      </w:r>
    </w:p>
    <w:p>
      <w:pPr>
        <w:spacing w:after="0" w:line="21"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(Rule 14a-101)</w:t>
      </w:r>
    </w:p>
    <w:p>
      <w:pPr>
        <w:spacing w:after="0" w:line="135"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SCHEDULE 14A INFORMATION</w:t>
      </w:r>
    </w:p>
    <w:p>
      <w:pPr>
        <w:spacing w:after="0" w:line="21"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Proxy Statement Pursuant to Section 14(a) of</w:t>
      </w:r>
    </w:p>
    <w:p>
      <w:pPr>
        <w:spacing w:after="0" w:line="6"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the Securities Exchange Act of 1934</w:t>
      </w:r>
    </w:p>
    <w:p>
      <w:pPr>
        <w:spacing w:after="0" w:line="119"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Filed by the Registrant </w:t>
      </w:r>
      <w:r>
        <w:rPr>
          <w:rFonts w:ascii="MS PGothic" w:cs="MS PGothic" w:eastAsia="MS PGothic" w:hAnsi="MS PGothic"/>
          <w:sz w:val="12"/>
          <w:szCs w:val="12"/>
          <w:color w:val="auto"/>
        </w:rPr>
        <w:t>☒</w:t>
      </w:r>
    </w:p>
    <w:p>
      <w:pPr>
        <w:spacing w:after="0" w:line="150"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Filed by a Party other than the Registrant </w:t>
      </w:r>
      <w:r>
        <w:rPr>
          <w:rFonts w:ascii="MS PGothic" w:cs="MS PGothic" w:eastAsia="MS PGothic" w:hAnsi="MS PGothic"/>
          <w:sz w:val="12"/>
          <w:szCs w:val="12"/>
          <w:color w:val="auto"/>
        </w:rPr>
        <w:t>☐</w:t>
      </w:r>
    </w:p>
    <w:p>
      <w:pPr>
        <w:spacing w:after="0" w:line="17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w:t>
      </w:r>
    </w:p>
    <w:p>
      <w:pPr>
        <w:spacing w:after="0" w:line="150" w:lineRule="exact"/>
        <w:rPr>
          <w:sz w:val="24"/>
          <w:szCs w:val="24"/>
          <w:color w:val="auto"/>
        </w:rPr>
      </w:pPr>
    </w:p>
    <w:p>
      <w:pPr>
        <w:ind w:left="428" w:hanging="428"/>
        <w:spacing w:after="0"/>
        <w:tabs>
          <w:tab w:leader="none" w:pos="4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Preliminary Proxy Statement.</w:t>
      </w:r>
    </w:p>
    <w:p>
      <w:pPr>
        <w:spacing w:after="0" w:line="27" w:lineRule="exact"/>
        <w:rPr>
          <w:rFonts w:ascii="MS PGothic" w:cs="MS PGothic" w:eastAsia="MS PGothic" w:hAnsi="MS PGothic"/>
          <w:sz w:val="12"/>
          <w:szCs w:val="12"/>
          <w:color w:val="auto"/>
        </w:rPr>
      </w:pPr>
    </w:p>
    <w:p>
      <w:pPr>
        <w:ind w:left="8" w:right="6920" w:hanging="8"/>
        <w:spacing w:after="0" w:line="153" w:lineRule="exact"/>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 xml:space="preserve">Confidential, for Use of the Commission Only (as permitted by Rule 14a-6(e)(2)).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Definitive Proxy Statement.</w:t>
      </w:r>
    </w:p>
    <w:p>
      <w:pPr>
        <w:ind w:left="428" w:hanging="428"/>
        <w:spacing w:after="0"/>
        <w:tabs>
          <w:tab w:leader="none" w:pos="4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Definitive Additional Materials.</w:t>
      </w:r>
    </w:p>
    <w:p>
      <w:pPr>
        <w:spacing w:after="0" w:line="15" w:lineRule="exact"/>
        <w:rPr>
          <w:rFonts w:ascii="MS PGothic" w:cs="MS PGothic" w:eastAsia="MS PGothic" w:hAnsi="MS PGothic"/>
          <w:sz w:val="12"/>
          <w:szCs w:val="12"/>
          <w:color w:val="auto"/>
        </w:rPr>
      </w:pPr>
    </w:p>
    <w:p>
      <w:pPr>
        <w:ind w:left="428" w:hanging="428"/>
        <w:spacing w:after="0"/>
        <w:tabs>
          <w:tab w:leader="none" w:pos="4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§240.14a-12.</w:t>
      </w:r>
    </w:p>
    <w:p>
      <w:pPr>
        <w:spacing w:after="0" w:line="287"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u w:val="single" w:color="auto"/>
          <w:color w:val="auto"/>
        </w:rPr>
        <w:t>ClearOne, Inc.</w:t>
      </w:r>
    </w:p>
    <w:p>
      <w:pPr>
        <w:spacing w:after="0" w:line="21"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(Name of Registrant as Specified in its Charter)</w:t>
      </w:r>
    </w:p>
    <w:p>
      <w:pPr>
        <w:spacing w:after="0" w:line="6"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(Name of Person(s) Filing Proxy Statement, if other than Registrant)</w:t>
      </w:r>
    </w:p>
    <w:p>
      <w:pPr>
        <w:spacing w:after="0" w:line="13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Payment of Filing Fee (Check the appropriate box):</w:t>
      </w:r>
    </w:p>
    <w:p>
      <w:pPr>
        <w:spacing w:after="0" w:line="159" w:lineRule="exact"/>
        <w:rPr>
          <w:sz w:val="24"/>
          <w:szCs w:val="24"/>
          <w:color w:val="auto"/>
        </w:rPr>
      </w:pPr>
    </w:p>
    <w:p>
      <w:pPr>
        <w:ind w:left="448" w:hanging="448"/>
        <w:spacing w:after="0"/>
        <w:tabs>
          <w:tab w:leader="none" w:pos="44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No fee required.</w:t>
      </w:r>
    </w:p>
    <w:p>
      <w:pPr>
        <w:spacing w:after="0" w:line="23" w:lineRule="exact"/>
        <w:rPr>
          <w:sz w:val="24"/>
          <w:szCs w:val="24"/>
          <w:color w:val="auto"/>
        </w:rPr>
      </w:pPr>
    </w:p>
    <w:p>
      <w:pPr>
        <w:ind w:left="448" w:hanging="448"/>
        <w:spacing w:after="0"/>
        <w:tabs>
          <w:tab w:leader="none" w:pos="448"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Fee computed on table below per Exchange Act Rules 14a-6(i)(4) and 0-11.</w:t>
      </w:r>
    </w:p>
    <w:p>
      <w:pPr>
        <w:spacing w:after="0" w:line="19" w:lineRule="exact"/>
        <w:rPr>
          <w:rFonts w:ascii="MS PGothic" w:cs="MS PGothic" w:eastAsia="MS PGothic" w:hAnsi="MS PGothic"/>
          <w:sz w:val="12"/>
          <w:szCs w:val="12"/>
          <w:color w:val="auto"/>
        </w:rPr>
      </w:pPr>
    </w:p>
    <w:p>
      <w:pPr>
        <w:ind w:left="908" w:hanging="458"/>
        <w:spacing w:after="0"/>
        <w:tabs>
          <w:tab w:leader="none" w:pos="908" w:val="left"/>
        </w:tabs>
        <w:numPr>
          <w:ilvl w:val="1"/>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Title of each class of securities to which transaction applies:</w:t>
      </w:r>
    </w:p>
    <w:p>
      <w:pPr>
        <w:spacing w:after="0" w:line="4" w:lineRule="exact"/>
        <w:rPr>
          <w:rFonts w:ascii="Times New Roman" w:cs="Times New Roman" w:eastAsia="Times New Roman" w:hAnsi="Times New Roman"/>
          <w:sz w:val="12"/>
          <w:szCs w:val="12"/>
          <w:color w:val="auto"/>
        </w:rPr>
      </w:pPr>
    </w:p>
    <w:p>
      <w:pPr>
        <w:ind w:left="908" w:hanging="458"/>
        <w:spacing w:after="0"/>
        <w:tabs>
          <w:tab w:leader="none" w:pos="908" w:val="left"/>
        </w:tabs>
        <w:numPr>
          <w:ilvl w:val="1"/>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Aggregate</w:t>
      </w:r>
    </w:p>
    <w:p>
      <w:pPr>
        <w:spacing w:after="0" w:line="15" w:lineRule="exact"/>
        <w:rPr>
          <w:rFonts w:ascii="Times New Roman" w:cs="Times New Roman" w:eastAsia="Times New Roman" w:hAnsi="Times New Roman"/>
          <w:sz w:val="12"/>
          <w:szCs w:val="12"/>
          <w:color w:val="auto"/>
        </w:rPr>
      </w:pPr>
    </w:p>
    <w:p>
      <w:pPr>
        <w:ind w:left="908" w:hanging="458"/>
        <w:spacing w:after="0"/>
        <w:tabs>
          <w:tab w:leader="none" w:pos="908" w:val="left"/>
        </w:tabs>
        <w:numPr>
          <w:ilvl w:val="1"/>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 unit price or other underlying value of transaction computed pursuant to Exchange Act Rule 0-11 (set forth the amount on which the filing fee is calculated and state how it was determined):</w:t>
      </w:r>
    </w:p>
    <w:p>
      <w:pPr>
        <w:spacing w:after="0" w:line="15" w:lineRule="exact"/>
        <w:rPr>
          <w:rFonts w:ascii="Times New Roman" w:cs="Times New Roman" w:eastAsia="Times New Roman" w:hAnsi="Times New Roman"/>
          <w:sz w:val="12"/>
          <w:szCs w:val="12"/>
          <w:color w:val="auto"/>
        </w:rPr>
      </w:pPr>
    </w:p>
    <w:p>
      <w:pPr>
        <w:ind w:left="908" w:hanging="458"/>
        <w:spacing w:after="0"/>
        <w:tabs>
          <w:tab w:leader="none" w:pos="908" w:val="left"/>
        </w:tabs>
        <w:numPr>
          <w:ilvl w:val="1"/>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Proposed maximum aggregate value of transaction:</w:t>
      </w:r>
    </w:p>
    <w:p>
      <w:pPr>
        <w:spacing w:after="0" w:line="15" w:lineRule="exact"/>
        <w:rPr>
          <w:rFonts w:ascii="Times New Roman" w:cs="Times New Roman" w:eastAsia="Times New Roman" w:hAnsi="Times New Roman"/>
          <w:sz w:val="12"/>
          <w:szCs w:val="12"/>
          <w:color w:val="auto"/>
        </w:rPr>
      </w:pPr>
    </w:p>
    <w:p>
      <w:pPr>
        <w:ind w:left="908" w:hanging="458"/>
        <w:spacing w:after="0"/>
        <w:tabs>
          <w:tab w:leader="none" w:pos="908" w:val="left"/>
        </w:tabs>
        <w:numPr>
          <w:ilvl w:val="1"/>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fee paid:</w:t>
      </w:r>
    </w:p>
    <w:p>
      <w:pPr>
        <w:spacing w:after="0" w:line="15" w:lineRule="exact"/>
        <w:rPr>
          <w:rFonts w:ascii="Times New Roman" w:cs="Times New Roman" w:eastAsia="Times New Roman" w:hAnsi="Times New Roman"/>
          <w:sz w:val="12"/>
          <w:szCs w:val="12"/>
          <w:color w:val="auto"/>
        </w:rPr>
      </w:pPr>
    </w:p>
    <w:p>
      <w:pPr>
        <w:ind w:left="448" w:hanging="448"/>
        <w:spacing w:after="0"/>
        <w:tabs>
          <w:tab w:leader="none" w:pos="448"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Fee paid previously with preliminary materials.</w:t>
      </w:r>
    </w:p>
    <w:p>
      <w:pPr>
        <w:spacing w:after="0" w:line="25" w:lineRule="exact"/>
        <w:rPr>
          <w:rFonts w:ascii="MS PGothic" w:cs="MS PGothic" w:eastAsia="MS PGothic" w:hAnsi="MS PGothic"/>
          <w:sz w:val="12"/>
          <w:szCs w:val="12"/>
          <w:color w:val="auto"/>
        </w:rPr>
      </w:pPr>
    </w:p>
    <w:p>
      <w:pPr>
        <w:ind w:left="448" w:hanging="448"/>
        <w:spacing w:after="0" w:line="249" w:lineRule="auto"/>
        <w:tabs>
          <w:tab w:leader="none" w:pos="448"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08" w:hanging="458"/>
        <w:spacing w:after="0"/>
        <w:tabs>
          <w:tab w:leader="none" w:pos="908" w:val="left"/>
        </w:tabs>
        <w:numPr>
          <w:ilvl w:val="1"/>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 Previously Paid:</w:t>
      </w:r>
    </w:p>
    <w:p>
      <w:pPr>
        <w:spacing w:after="0" w:line="6" w:lineRule="exact"/>
        <w:rPr>
          <w:rFonts w:ascii="Times New Roman" w:cs="Times New Roman" w:eastAsia="Times New Roman" w:hAnsi="Times New Roman"/>
          <w:sz w:val="12"/>
          <w:szCs w:val="12"/>
          <w:color w:val="auto"/>
        </w:rPr>
      </w:pPr>
    </w:p>
    <w:p>
      <w:pPr>
        <w:ind w:left="908" w:hanging="458"/>
        <w:spacing w:after="0"/>
        <w:tabs>
          <w:tab w:leader="none" w:pos="908" w:val="left"/>
        </w:tabs>
        <w:numPr>
          <w:ilvl w:val="1"/>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Form, Schedule or Registration Statement No.:</w:t>
      </w:r>
    </w:p>
    <w:p>
      <w:pPr>
        <w:spacing w:after="0" w:line="15" w:lineRule="exact"/>
        <w:rPr>
          <w:rFonts w:ascii="Times New Roman" w:cs="Times New Roman" w:eastAsia="Times New Roman" w:hAnsi="Times New Roman"/>
          <w:sz w:val="12"/>
          <w:szCs w:val="12"/>
          <w:color w:val="auto"/>
        </w:rPr>
      </w:pPr>
    </w:p>
    <w:p>
      <w:pPr>
        <w:ind w:left="908" w:hanging="458"/>
        <w:spacing w:after="0"/>
        <w:tabs>
          <w:tab w:leader="none" w:pos="908" w:val="left"/>
        </w:tabs>
        <w:numPr>
          <w:ilvl w:val="1"/>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Filing Party:</w:t>
      </w:r>
    </w:p>
    <w:p>
      <w:pPr>
        <w:spacing w:after="0" w:line="15" w:lineRule="exact"/>
        <w:rPr>
          <w:rFonts w:ascii="Times New Roman" w:cs="Times New Roman" w:eastAsia="Times New Roman" w:hAnsi="Times New Roman"/>
          <w:sz w:val="12"/>
          <w:szCs w:val="12"/>
          <w:color w:val="auto"/>
        </w:rPr>
      </w:pPr>
    </w:p>
    <w:p>
      <w:pPr>
        <w:ind w:left="908" w:hanging="458"/>
        <w:spacing w:after="0"/>
        <w:tabs>
          <w:tab w:leader="none" w:pos="908" w:val="left"/>
        </w:tabs>
        <w:numPr>
          <w:ilvl w:val="1"/>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Date Filed:</w:t>
      </w:r>
    </w:p>
    <w:p>
      <w:pPr>
        <w:spacing w:after="0" w:line="175"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8"/>
          </w:cols>
          <w:pgMar w:left="292" w:top="197" w:right="31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CLEARONE, INC.</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Notice of 2020 Annual Meeting of Shareholders</w:t>
      </w:r>
    </w:p>
    <w:p>
      <w:pPr>
        <w:sectPr>
          <w:pgSz w:w="11900" w:h="16838" w:orient="portrait"/>
          <w:cols w:equalWidth="0" w:num="1">
            <w:col w:w="11300"/>
          </w:cols>
          <w:pgMar w:left="300" w:top="407" w:right="299" w:bottom="1440" w:gutter="0" w:footer="0" w:header="0"/>
        </w:sectPr>
      </w:pP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Date</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December 29, 2020</w:t>
      </w:r>
    </w:p>
    <w:p>
      <w:pPr>
        <w:spacing w:after="0" w:line="166" w:lineRule="exact"/>
        <w:rPr>
          <w:sz w:val="20"/>
          <w:szCs w:val="20"/>
          <w:color w:val="auto"/>
        </w:rPr>
      </w:pPr>
    </w:p>
    <w:p>
      <w:pPr>
        <w:sectPr>
          <w:pgSz w:w="11900" w:h="16838" w:orient="portrait"/>
          <w:cols w:equalWidth="0" w:num="2">
            <w:col w:w="1260" w:space="720"/>
            <w:col w:w="9320"/>
          </w:cols>
          <w:pgMar w:left="300" w:top="407"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b w:val="1"/>
          <w:bCs w:val="1"/>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9:30 a.m. Mountain time</w:t>
      </w:r>
    </w:p>
    <w:p>
      <w:pPr>
        <w:spacing w:after="0" w:line="155" w:lineRule="exact"/>
        <w:rPr>
          <w:sz w:val="20"/>
          <w:szCs w:val="20"/>
          <w:color w:val="auto"/>
        </w:rPr>
      </w:pPr>
    </w:p>
    <w:p>
      <w:pPr>
        <w:sectPr>
          <w:pgSz w:w="11900" w:h="16838" w:orient="portrait"/>
          <w:cols w:equalWidth="0" w:num="2">
            <w:col w:w="1260" w:space="720"/>
            <w:col w:w="9320"/>
          </w:cols>
          <w:pgMar w:left="300" w:top="407"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b w:val="1"/>
          <w:bCs w:val="1"/>
          <w:color w:val="auto"/>
        </w:rPr>
        <w:t>Place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5225 Wiley Post Way, Suite 500, Salt Lake City, UT 84116</w:t>
      </w:r>
    </w:p>
    <w:p>
      <w:pPr>
        <w:spacing w:after="0" w:line="167" w:lineRule="exact"/>
        <w:rPr>
          <w:sz w:val="20"/>
          <w:szCs w:val="20"/>
          <w:color w:val="auto"/>
        </w:rPr>
      </w:pPr>
    </w:p>
    <w:p>
      <w:pPr>
        <w:sectPr>
          <w:pgSz w:w="11900" w:h="16838" w:orient="portrait"/>
          <w:cols w:equalWidth="0" w:num="2">
            <w:col w:w="1260" w:space="720"/>
            <w:col w:w="9320"/>
          </w:cols>
          <w:pgMar w:left="300" w:top="407"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b w:val="1"/>
          <w:bCs w:val="1"/>
          <w:color w:val="auto"/>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December 1, 2020. Only shareholders of record at the close of business on the record date are entitled to receive notice of, and to vote at, the Annual Meeting.</w:t>
      </w:r>
    </w:p>
    <w:p>
      <w:pPr>
        <w:spacing w:after="0" w:line="155" w:lineRule="exact"/>
        <w:rPr>
          <w:sz w:val="20"/>
          <w:szCs w:val="20"/>
          <w:color w:val="auto"/>
        </w:rPr>
      </w:pPr>
    </w:p>
    <w:p>
      <w:pPr>
        <w:sectPr>
          <w:pgSz w:w="11900" w:h="16838" w:orient="portrait"/>
          <w:cols w:equalWidth="0" w:num="2">
            <w:col w:w="1260" w:space="720"/>
            <w:col w:w="9320"/>
          </w:cols>
          <w:pgMar w:left="300" w:top="407"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b w:val="1"/>
          <w:bCs w:val="1"/>
          <w:color w:val="auto"/>
        </w:rPr>
        <w:t>Proxy voting</w:t>
      </w:r>
    </w:p>
    <w:p>
      <w:pPr>
        <w:spacing w:after="0" w:line="20" w:lineRule="exact"/>
        <w:rPr>
          <w:sz w:val="20"/>
          <w:szCs w:val="20"/>
          <w:color w:val="auto"/>
        </w:rPr>
      </w:pPr>
      <w:r>
        <w:rPr>
          <w:sz w:val="20"/>
          <w:szCs w:val="20"/>
          <w:color w:val="auto"/>
        </w:rPr>
        <w:br w:type="column"/>
      </w:r>
    </w:p>
    <w:p>
      <w:pPr>
        <w:jc w:val="both"/>
        <w:spacing w:after="0" w:line="260" w:lineRule="auto"/>
        <w:rPr>
          <w:sz w:val="20"/>
          <w:szCs w:val="20"/>
          <w:color w:val="auto"/>
        </w:rPr>
      </w:pPr>
      <w:r>
        <w:rPr>
          <w:rFonts w:ascii="Times New Roman" w:cs="Times New Roman" w:eastAsia="Times New Roman" w:hAnsi="Times New Roman"/>
          <w:sz w:val="12"/>
          <w:szCs w:val="12"/>
          <w:color w:val="auto"/>
        </w:rPr>
        <w:t>All shareholders are cordially invited to attend the meeting and vote in person. However, to ensure your representation at the meeting, you are urged to vote as promptly as possible, whether via the Internet, by telephone, or, by marking, signing, dating, and returning the enclosed proxy in the postage-prepaid envelope enclosed for that purpose. Any shareholder attending the meeting may vote in person even if such shareholder has previously submitted a proxy. If you need to obtain directions on how to attend the Annual Meeting and vote in person, please contact our corporate offices at +1 (801) 975-7200.</w:t>
      </w:r>
    </w:p>
    <w:p>
      <w:pPr>
        <w:spacing w:after="0" w:line="127" w:lineRule="exact"/>
        <w:rPr>
          <w:sz w:val="20"/>
          <w:szCs w:val="20"/>
          <w:color w:val="auto"/>
        </w:rPr>
      </w:pPr>
    </w:p>
    <w:p>
      <w:pPr>
        <w:sectPr>
          <w:pgSz w:w="11900" w:h="16838" w:orient="portrait"/>
          <w:cols w:equalWidth="0" w:num="2">
            <w:col w:w="1260" w:space="720"/>
            <w:col w:w="9320"/>
          </w:cols>
          <w:pgMar w:left="300" w:top="407"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b w:val="1"/>
          <w:bCs w:val="1"/>
          <w:color w:val="auto"/>
        </w:rPr>
        <w:t>Items of business</w:t>
      </w:r>
    </w:p>
    <w:p>
      <w:pPr>
        <w:spacing w:after="0" w:line="20" w:lineRule="exact"/>
        <w:rPr>
          <w:sz w:val="20"/>
          <w:szCs w:val="20"/>
          <w:color w:val="auto"/>
        </w:rPr>
      </w:pPr>
      <w:r>
        <w:rPr>
          <w:sz w:val="20"/>
          <w:szCs w:val="20"/>
          <w:color w:val="auto"/>
        </w:rPr>
        <w:br w:type="column"/>
      </w:r>
    </w:p>
    <w:p>
      <w:pPr>
        <w:spacing w:after="0"/>
        <w:tabs>
          <w:tab w:leader="none" w:pos="220" w:val="left"/>
        </w:tabs>
        <w:rPr>
          <w:sz w:val="20"/>
          <w:szCs w:val="20"/>
          <w:color w:val="auto"/>
        </w:rPr>
      </w:pPr>
      <w:r>
        <w:rPr>
          <w:rFonts w:ascii="Times New Roman" w:cs="Times New Roman" w:eastAsia="Times New Roman" w:hAnsi="Times New Roman"/>
          <w:sz w:val="11"/>
          <w:szCs w:val="11"/>
          <w:color w:val="auto"/>
        </w:rPr>
        <w:t>1.</w:t>
        <w:tab/>
        <w:t>To elect five members of our Board of Directors; and</w:t>
      </w:r>
    </w:p>
    <w:p>
      <w:pPr>
        <w:spacing w:after="0" w:line="180" w:lineRule="exact"/>
        <w:rPr>
          <w:sz w:val="20"/>
          <w:szCs w:val="20"/>
          <w:color w:val="auto"/>
        </w:rPr>
      </w:pPr>
    </w:p>
    <w:p>
      <w:pPr>
        <w:sectPr>
          <w:pgSz w:w="11900" w:h="16838" w:orient="portrait"/>
          <w:cols w:equalWidth="0" w:num="2">
            <w:col w:w="1260" w:space="720"/>
            <w:col w:w="9320"/>
          </w:cols>
          <w:pgMar w:left="300" w:top="407" w:right="299" w:bottom="1440" w:gutter="0" w:footer="0" w:header="0"/>
          <w:type w:val="continuous"/>
        </w:sectPr>
      </w:pPr>
    </w:p>
    <w:p>
      <w:pPr>
        <w:ind w:left="1980"/>
        <w:spacing w:after="0"/>
        <w:tabs>
          <w:tab w:leader="none" w:pos="2200" w:val="left"/>
        </w:tabs>
        <w:rPr>
          <w:sz w:val="20"/>
          <w:szCs w:val="20"/>
          <w:color w:val="auto"/>
        </w:rPr>
      </w:pPr>
      <w:r>
        <w:rPr>
          <w:rFonts w:ascii="Times New Roman" w:cs="Times New Roman" w:eastAsia="Times New Roman" w:hAnsi="Times New Roman"/>
          <w:sz w:val="11"/>
          <w:szCs w:val="11"/>
          <w:color w:val="auto"/>
        </w:rPr>
        <w:t>2.</w:t>
        <w:tab/>
        <w:t>To transact such other business as may properly come before the meeting or any adjournment thereof.</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items of business are more fully described in the proxy statement accompanying this notice.</w:t>
      </w:r>
    </w:p>
    <w:p>
      <w:pPr>
        <w:sectPr>
          <w:pgSz w:w="11900" w:h="16838" w:orient="portrait"/>
          <w:cols w:equalWidth="0" w:num="1">
            <w:col w:w="11300"/>
          </w:cols>
          <w:pgMar w:left="300" w:top="407" w:right="299" w:bottom="1440" w:gutter="0" w:footer="0" w:header="0"/>
          <w:type w:val="continuous"/>
        </w:sectPr>
      </w:pPr>
    </w:p>
    <w:p>
      <w:pPr>
        <w:spacing w:after="0" w:line="14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Important Notice Regarding the Availability of Proxy Materials for the 2020 Annual Meeting of Shareholders to be held on December 29, 2020. </w:t>
      </w:r>
      <w:r>
        <w:rPr>
          <w:rFonts w:ascii="Times New Roman" w:cs="Times New Roman" w:eastAsia="Times New Roman" w:hAnsi="Times New Roman"/>
          <w:sz w:val="12"/>
          <w:szCs w:val="12"/>
          <w:color w:val="auto"/>
        </w:rPr>
        <w:t>Because we have elected to utilize the “full set delivery” option, we are delivering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to all shareholders paper copies of all of our proxy materials, including a proxy card, as well as providing access to our proxy materials on a publicly accessible website. Our Proxy Statement and Annual Report for the fiscal year ended December 31, 2019 are available on our corporate website and may be accessed at </w:t>
      </w:r>
      <w:r>
        <w:rPr>
          <w:rFonts w:ascii="Times New Roman" w:cs="Times New Roman" w:eastAsia="Times New Roman" w:hAnsi="Times New Roman"/>
          <w:sz w:val="12"/>
          <w:szCs w:val="12"/>
          <w:i w:val="1"/>
          <w:iCs w:val="1"/>
          <w:color w:val="auto"/>
        </w:rPr>
        <w:t>www.clearone.com</w:t>
      </w:r>
      <w:r>
        <w:rPr>
          <w:rFonts w:ascii="Times New Roman" w:cs="Times New Roman" w:eastAsia="Times New Roman" w:hAnsi="Times New Roman"/>
          <w:sz w:val="12"/>
          <w:szCs w:val="12"/>
          <w:color w:val="auto"/>
        </w:rPr>
        <w:t xml:space="preserve"> under “Investor Relations”</w:t>
      </w:r>
      <w:r>
        <w:rPr>
          <w:rFonts w:ascii="Times New Roman" w:cs="Times New Roman" w:eastAsia="Times New Roman" w:hAnsi="Times New Roman"/>
          <w:sz w:val="12"/>
          <w:szCs w:val="12"/>
          <w:i w:val="1"/>
          <w:iCs w:val="1"/>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 the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662940" cy="3371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2940" cy="337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Narsi Narayanan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Corporate Secretary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Salt Lake City, Utah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December 7, 2020</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07" w:right="29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CLEARONE,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2020 Proxy Statement</w:t>
      </w:r>
    </w:p>
    <w:p>
      <w:pPr>
        <w:spacing w:after="0" w:line="136"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This proxy statement is solicited by and on behalf of the Board of Directors of ClearOne, Inc., a Delaware corporation (hereinafter referred to as the “Company,” “ClearOne,” “we,” “us” or “our”), for use at the Annual Meeting of Shareholders (the “Annual Meeting”), to be held on December 29, 2020 at 5225 Wiley Post Way, Suite 500, Salt Lake City, UT 84116, at 9:30 A.M. local time, or at any continuations thereof.</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These proxy solicitation materials will be distributed on or about December 14, 2020 to all shareholders entitled to vote at the meeting.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QUESTIONS AND ANSWERS REGARDING THE ANNUAL MEETING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What is the purpose of this Proxy Statement and accompanying Proxy?</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 Proxy Statement is a document that the regulations of the Securities and Exchange Commission (“SEC”) require us to give you when we ask you to sign a proxy designating individuals to vote on your behalf. A proxy is your legal designation of another person to vote the stock you own and are entitled to vote. That other person is called a proxy. If you designate someone as your proxy in a written document, that document is also called a proxy or a proxy card. We have designated two of our officers with full power of substitution as proxies for the Annual Meeting. These officers are Zeynep Hakimoglu and Narsi Narayanan.</w:t>
      </w:r>
    </w:p>
    <w:p>
      <w:pPr>
        <w:spacing w:after="0" w:line="11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The Board of Directors is soliciting your proxy to give all shareholders of record the opportunity to vote on matters that will be presented at the Annual Meeting. This Proxy Statement provides you with information on these matters to assist you in voting your shares.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What is the purpose of the Annual Meeting?</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purpose of the Annual Meeting is to: (i) elect five directors and (ii) to transact any such other business that properly comes before the Annual Meeting (each a “Proposal,” and collectively, the “Proposals”). Although the Board of Directors does not anticipate that any other issues will come before the Annual Meeting, your completed and executed proxy gives the official proxies the right to vote your shares that you are entitled to vote in their discretion on any other matter properly brought before the Annual Meeting.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What is the record date for voting at the Annual Meeting?</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record date for purposes of determining the number of outstanding shares of our common stock eligible to vote at the Annual Meeting, and for determining the shareholders entitled to vote at the Annual Meeting, is the close of business on December 1, 2020 (the “Record Date”). As of the Record Date, 18,766,775 shares of common stock were issued and outstanding. No other series of stock is outstanding. Holders of the shares of common stock have no preemptive rights. The transfer agent for the common stock is: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Colonial Stock Transfer Company, Inc.</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66 Exchange Place, Suite 100</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Salt Lake City, UT 84111</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Phone: 801-355-5740</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Fax: 801-355-6505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What is the quorum requirement for the Annual Meeting?</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 quorum must be present at the meeting in order for the shareholders to take official action. Under Delaware law and our Certificate of Incorporation and Bylaws, a quorum will exist if a majority of the total number of shares entitled to vote are present, in person or by proxy. Abstentions will be counted as “represented” for the purpose of determining the presence or absence of a quorum.</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65"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b w:val="1"/>
          <w:bCs w:val="1"/>
          <w:color w:val="auto"/>
        </w:rPr>
        <w:t>What is a broker non-vote and how is it counted?</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Under applicable rules, brokers are permitted to vote their customers’ stock held in street name on routine matters when the brokers have not received voting instructions from their customers. However, brokers are not allowed to vote their customers’ stock held in street name on non-routine matters unless they have received voting instructions from their customers. In such cases, the uninstructed shares for which the broker is unable to vote are called broker non-votes.</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Similar to abstentions, broker non-votes are not considered entitled to vote if there are no routine matters to be voted on at the meeting, nor are broker non-votes a vote cast. Broker non-votes will have no effect on the election of directors at the meeting.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What routine matters will be voted on at the Annual Meeting?</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There are no routine matters on which brokers may vote in their discretion on behalf of customers who have not provided voting instructions.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What non-routine matters will be voted on at the Annual Meeting?</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election of directors is a non-routine matter on which brokers are not allowed to vote unless they have received voting instructions from their customers. Your broker will not be allowed to vote your shares on any non-routine matters without your specific instructions. Accordingly, it is particularly important that beneficial owners instruct their brokers how they wish to vote their shares.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How many votes are needed to approve each Proposal?</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On all matters, except as otherwise provided by Delaware law, each holder of common stock will be entitled to one vote for each share of common stock held on the Record Date. Assuming that a quorum is present, the votes needed to approve each Proposal are set forth below.</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 xml:space="preserve">Proposal one: </w:t>
      </w:r>
      <w:r>
        <w:rPr>
          <w:rFonts w:ascii="Times New Roman" w:cs="Times New Roman" w:eastAsia="Times New Roman" w:hAnsi="Times New Roman"/>
          <w:sz w:val="12"/>
          <w:szCs w:val="12"/>
          <w:color w:val="auto"/>
        </w:rPr>
        <w:t>In the election of directors, shareholders will not be allowed to cumulate their votes. The election of directors will be determined by plurality vote.</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Abstentions and broker non-votes will not affect the outcome of the election of directors.</w:t>
      </w:r>
    </w:p>
    <w:p>
      <w:pPr>
        <w:spacing w:after="0" w:line="148"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Other Matters: </w:t>
      </w:r>
      <w:r>
        <w:rPr>
          <w:rFonts w:ascii="Times New Roman" w:cs="Times New Roman" w:eastAsia="Times New Roman" w:hAnsi="Times New Roman"/>
          <w:sz w:val="12"/>
          <w:szCs w:val="12"/>
          <w:color w:val="auto"/>
        </w:rPr>
        <w:t>Any other matter properly presented for approval by the shareholders at the Annual Meeting will generally be approved if the number of votes cast in favor of such matter exceeds the number of votes cast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opposition. With respect to any such matter, abstentions and broker non-votes are not likely to affect the outcome of a vote on such matter. We are not currently aware of any other matters to be presented at the Annual Meeting.</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What are the Board of Director’s recommendations on the Proposals?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Board of Directors recommends that shareholders cast their votes “FOR” all director nominees listed in the proxy statement.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What is the difference between a “shareholder of record” and a “street name” holder?</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These terms describe how your shares are held. If your shares are registered directly in your name with Colonial, our transfer agent, you are a “shareholder of record.” If your shares are held in the name of a brokerage, bank, trust or other nominee as a custodian, you are a “street name” holder.</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color w:val="auto"/>
        </w:rPr>
        <w:t>Will I get more than one copy of the proxy statement, annual report or Notice of Internet Availability if there are multiple shareholders at my address?</w:t>
      </w:r>
    </w:p>
    <w:p>
      <w:pPr>
        <w:spacing w:after="0" w:line="15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In some cases, only one copy of this proxy statement, annual report or Notice of Internet Availability is being delivered to multiple shareholders sharing an address unless we have received contrary instructions from one or more of the shareholders. We will deliver promptly, upon a written or oral request, a separate copy of this proxy statement, annual report or Notice of Internet Availability to a shareholder at a shared address to which a single copy of the document was delivered. Shareholders sharing an address may also submit requests for delivery of a single copy of the proxy statement, annual report or Notice of Internet Availability, but in such event will still receive separate proxies for each account. To request separate or single delivery of these materials now or in the future, a shareholder may submit a written request to the Corporate Secretary, ClearOne, Inc., 5225 Wiley Post Way, Suite 500, Salt Lake City, Utah 84116 or a shareholder may make a request by calling the Corporate Secretary at (801) 975-7200, or by contacting our transfer agent, Colonial Stock Transfer Company, Inc, 66 Exchange Place, Suite 100, Salt Lake City, UT 84111or calling (801) 355-5740.</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How do I vote?</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If your shares of common stock are held in street name by a broker, bank or other nominee, you will receive information from your nominee as to how to instruct them to vote your shares of common stock for each of the Proposals discussed in this proxy statement.</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If you are a shareholder of record and hold common stock in your own name, you may give instructions on how to vote your shares of common stock by following the instructions on the proxy card or Notice of Internet Availability on how to vote over the Internet, by phone, or by mail by completing, signing, dating and returning the proxy card.</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By completing and submitting the proxy (whether over the internet, by telephone, or by signing, dating and mailing the accompanying proxy card), the shareholder authorizes Zeynep Hakimoglu, Chairman and Chief Executive Officer, and Narsi Narayanan, Corporate Secretary, as designated on the face of the proxy, to vote all shares for the shareholder. All proxies that are properly completed and submitted will be voted as the shareholder directs. If no direction is given, executed proxies will be voted FOR each proposal set forth in this proxy statement. Votes will be tabulated by Colonial.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How do I revoke my proxy?</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You may revoke your proxy before the vote is taken at the Annual Meeting by:</w:t>
      </w:r>
    </w:p>
    <w:p>
      <w:pPr>
        <w:spacing w:after="0" w:line="150" w:lineRule="exact"/>
        <w:rPr>
          <w:sz w:val="20"/>
          <w:szCs w:val="20"/>
          <w:color w:val="auto"/>
        </w:rPr>
      </w:pPr>
    </w:p>
    <w:p>
      <w:pPr>
        <w:ind w:left="640" w:hanging="215"/>
        <w:spacing w:after="0"/>
        <w:tabs>
          <w:tab w:leader="none" w:pos="6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completing, signing and submitting a new proxy with a later date;</w:t>
      </w:r>
    </w:p>
    <w:p>
      <w:pPr>
        <w:spacing w:after="0" w:line="150" w:lineRule="exact"/>
        <w:rPr>
          <w:rFonts w:ascii="Times New Roman" w:cs="Times New Roman" w:eastAsia="Times New Roman" w:hAnsi="Times New Roman"/>
          <w:sz w:val="12"/>
          <w:szCs w:val="12"/>
          <w:color w:val="auto"/>
        </w:rPr>
      </w:pPr>
    </w:p>
    <w:p>
      <w:pPr>
        <w:ind w:left="640" w:hanging="215"/>
        <w:spacing w:after="0"/>
        <w:tabs>
          <w:tab w:leader="none" w:pos="6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attending the Annual Meeting and voting in person; or</w:t>
      </w:r>
    </w:p>
    <w:p>
      <w:pPr>
        <w:spacing w:after="0" w:line="150" w:lineRule="exact"/>
        <w:rPr>
          <w:rFonts w:ascii="Times New Roman" w:cs="Times New Roman" w:eastAsia="Times New Roman" w:hAnsi="Times New Roman"/>
          <w:sz w:val="12"/>
          <w:szCs w:val="12"/>
          <w:color w:val="auto"/>
        </w:rPr>
      </w:pPr>
    </w:p>
    <w:p>
      <w:pPr>
        <w:ind w:left="420" w:right="6340" w:firstLine="5"/>
        <w:spacing w:after="0" w:line="500" w:lineRule="auto"/>
        <w:tabs>
          <w:tab w:leader="none" w:pos="63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filing a signed, written notice of revocation with the Corporate Secretary of the Company. Your attendance at the Annual Meeting will not automatically revoke your proxy.</w:t>
      </w:r>
    </w:p>
    <w:p>
      <w:pPr>
        <w:spacing w:after="0" w:line="1" w:lineRule="exact"/>
        <w:rPr>
          <w:rFonts w:ascii="Times New Roman" w:cs="Times New Roman" w:eastAsia="Times New Roman" w:hAnsi="Times New Roman"/>
          <w:sz w:val="12"/>
          <w:szCs w:val="12"/>
          <w:color w:val="auto"/>
        </w:rPr>
      </w:pPr>
    </w:p>
    <w:p>
      <w:pPr>
        <w:ind w:left="420" w:right="2220"/>
        <w:spacing w:after="0" w:line="497"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common stock you own is held on your behalf by a broker, bank or other nominee, you must contact the nominee to receive instructions as to how you can revoke your proxy. You may obtain an additional proxy card by writing to Corporate Secretary, ClearOne, Inc., 5225 Wiley Post Way, Suite 500, Salt Lake City, Utah 84116.</w:t>
      </w:r>
    </w:p>
    <w:p>
      <w:pPr>
        <w:spacing w:after="0"/>
        <w:rPr>
          <w:sz w:val="20"/>
          <w:szCs w:val="20"/>
          <w:color w:val="auto"/>
        </w:rPr>
      </w:pPr>
      <w:r>
        <w:rPr>
          <w:rFonts w:ascii="Times New Roman" w:cs="Times New Roman" w:eastAsia="Times New Roman" w:hAnsi="Times New Roman"/>
          <w:sz w:val="12"/>
          <w:szCs w:val="12"/>
          <w:b w:val="1"/>
          <w:bCs w:val="1"/>
          <w:color w:val="auto"/>
        </w:rPr>
        <w:t>Where can I find the voting results of the Annual Meeting?</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We will announce the preliminary voting results at the Annual Meeting and disclose the final voting results in a current report on Form 8-K filed with the SEC within four (4) business days of the date of the Annual Meeting, unless only preliminary voting results are available at that time. To the extent necessary, we will file an amended report on Form 8-K to disclose the final voting results within four business days after the final voting results are known. You may access or obtain a copy of these and our other reports filed with the SEC free of charge on our web site at </w:t>
      </w:r>
      <w:r>
        <w:rPr>
          <w:rFonts w:ascii="Times New Roman" w:cs="Times New Roman" w:eastAsia="Times New Roman" w:hAnsi="Times New Roman"/>
          <w:sz w:val="12"/>
          <w:szCs w:val="12"/>
          <w:i w:val="1"/>
          <w:iCs w:val="1"/>
          <w:color w:val="auto"/>
        </w:rPr>
        <w:t>http://www.clearone.com</w:t>
      </w:r>
      <w:r>
        <w:rPr>
          <w:rFonts w:ascii="Times New Roman" w:cs="Times New Roman" w:eastAsia="Times New Roman" w:hAnsi="Times New Roman"/>
          <w:sz w:val="12"/>
          <w:szCs w:val="12"/>
          <w:color w:val="auto"/>
        </w:rPr>
        <w:t xml:space="preserve">. Also, such Form 8-K, any amendments thereto and other reports we file with the SEC are available to you over the Internet at the SEC’s web site at </w:t>
      </w:r>
      <w:r>
        <w:rPr>
          <w:rFonts w:ascii="Times New Roman" w:cs="Times New Roman" w:eastAsia="Times New Roman" w:hAnsi="Times New Roman"/>
          <w:sz w:val="12"/>
          <w:szCs w:val="12"/>
          <w:i w:val="1"/>
          <w:iCs w:val="1"/>
          <w:color w:val="auto"/>
        </w:rPr>
        <w:t>http://www.sec.gov</w:t>
      </w:r>
      <w:r>
        <w:rPr>
          <w:rFonts w:ascii="Times New Roman" w:cs="Times New Roman" w:eastAsia="Times New Roman" w:hAnsi="Times New Roman"/>
          <w:sz w:val="12"/>
          <w:szCs w:val="12"/>
          <w:color w:val="auto"/>
        </w:rPr>
        <w: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71780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5" w:name="page6"/>
    <w:bookmarkEnd w:id="5"/>
    <w:p>
      <w:pPr>
        <w:ind w:left="7"/>
        <w:spacing w:after="0"/>
        <w:rPr>
          <w:sz w:val="20"/>
          <w:szCs w:val="20"/>
          <w:color w:val="auto"/>
        </w:rPr>
      </w:pPr>
      <w:r>
        <w:rPr>
          <w:rFonts w:ascii="Times New Roman" w:cs="Times New Roman" w:eastAsia="Times New Roman" w:hAnsi="Times New Roman"/>
          <w:sz w:val="12"/>
          <w:szCs w:val="12"/>
          <w:b w:val="1"/>
          <w:bCs w:val="1"/>
          <w:color w:val="auto"/>
        </w:rPr>
        <w:t>How can I view the shareholder list?</w:t>
      </w:r>
    </w:p>
    <w:p>
      <w:pPr>
        <w:spacing w:after="0" w:line="154" w:lineRule="exact"/>
        <w:rPr>
          <w:sz w:val="20"/>
          <w:szCs w:val="20"/>
          <w:color w:val="auto"/>
        </w:rPr>
      </w:pPr>
    </w:p>
    <w:p>
      <w:pPr>
        <w:jc w:val="both"/>
        <w:ind w:left="7" w:firstLine="432"/>
        <w:spacing w:after="0" w:line="279" w:lineRule="auto"/>
        <w:rPr>
          <w:sz w:val="20"/>
          <w:szCs w:val="20"/>
          <w:color w:val="auto"/>
        </w:rPr>
      </w:pPr>
      <w:r>
        <w:rPr>
          <w:rFonts w:ascii="Times New Roman" w:cs="Times New Roman" w:eastAsia="Times New Roman" w:hAnsi="Times New Roman"/>
          <w:sz w:val="12"/>
          <w:szCs w:val="12"/>
          <w:color w:val="auto"/>
        </w:rPr>
        <w:t>A complete list of shareholders of record entitled to vote at the Annual Meeting will be available for viewing during ordinary business hours for a period of ten (10) days before the Annual Meeting at our offices located at 5225 Wiley Post Way, Suite 500, Salt Lake City, Utah 84116.</w:t>
      </w:r>
    </w:p>
    <w:p>
      <w:pPr>
        <w:spacing w:after="0" w:line="10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b w:val="1"/>
          <w:bCs w:val="1"/>
          <w:color w:val="auto"/>
        </w:rPr>
        <w:t>Who pays for the proxy solicitation related to the Annual Meeting?</w:t>
      </w:r>
    </w:p>
    <w:p>
      <w:pPr>
        <w:spacing w:after="0" w:line="154" w:lineRule="exact"/>
        <w:rPr>
          <w:sz w:val="20"/>
          <w:szCs w:val="20"/>
          <w:color w:val="auto"/>
        </w:rPr>
      </w:pPr>
    </w:p>
    <w:p>
      <w:pPr>
        <w:jc w:val="both"/>
        <w:ind w:left="7" w:firstLine="432"/>
        <w:spacing w:after="0" w:line="265" w:lineRule="auto"/>
        <w:rPr>
          <w:sz w:val="20"/>
          <w:szCs w:val="20"/>
          <w:color w:val="auto"/>
        </w:rPr>
      </w:pPr>
      <w:r>
        <w:rPr>
          <w:rFonts w:ascii="Times New Roman" w:cs="Times New Roman" w:eastAsia="Times New Roman" w:hAnsi="Times New Roman"/>
          <w:sz w:val="12"/>
          <w:szCs w:val="12"/>
          <w:color w:val="auto"/>
        </w:rPr>
        <w:t>We will bear the costs of the solicitation. The solicitation of proxies by the Board of Directors will be conducted primarily by mail and through the Internet. Additionally, our officers, directors and employees may solicit proxies personally or by telephone, email or other forms of wire or facsimile communication. These officers, directors and employees will not receive any extra compensation for these services. We may reimburse brokers, custodians, nominees and fiduciaries for reasonable expenses incurred by them in forwarding proxy material to beneficial owners of our common stock as of the record date.</w:t>
      </w:r>
    </w:p>
    <w:p>
      <w:pPr>
        <w:spacing w:after="0" w:line="11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b w:val="1"/>
          <w:bCs w:val="1"/>
          <w:color w:val="auto"/>
        </w:rPr>
        <w:t>How can I obtain a copy of the Annual Report?</w:t>
      </w:r>
    </w:p>
    <w:p>
      <w:pPr>
        <w:spacing w:after="0" w:line="154" w:lineRule="exact"/>
        <w:rPr>
          <w:sz w:val="20"/>
          <w:szCs w:val="20"/>
          <w:color w:val="auto"/>
        </w:rPr>
      </w:pPr>
    </w:p>
    <w:p>
      <w:pPr>
        <w:jc w:val="both"/>
        <w:ind w:left="7" w:firstLine="432"/>
        <w:spacing w:after="0" w:line="257" w:lineRule="auto"/>
        <w:rPr>
          <w:sz w:val="20"/>
          <w:szCs w:val="20"/>
          <w:color w:val="auto"/>
        </w:rPr>
      </w:pPr>
      <w:r>
        <w:rPr>
          <w:rFonts w:ascii="Times New Roman" w:cs="Times New Roman" w:eastAsia="Times New Roman" w:hAnsi="Times New Roman"/>
          <w:sz w:val="12"/>
          <w:szCs w:val="12"/>
          <w:color w:val="auto"/>
        </w:rPr>
        <w:t>Our 2019 Annual Report, has been made available to shareholders with this proxy statement. You may also access or obtain a copy of our 2019 Annual Report, Form 10-K, Form 10-K/A and other reports filed with the SEC free of charge on our web site at http://www.clearone.com, or at the SEC's web site at http://www.sec.gov. The 2019 Annual Report contains financial and other information about our company, but is not incorporated into this proxy statement and is not to be considered a part of these proxy soliciting materials or subject to Regulations 14A or 14C or to the liabilities of Section 18 of the Securities Exchange Act of 1934, as amended (the “Exchange Act”). The information contained in the “Audit and Compliance Committee Report” shall not be deemed “filed” with the Securities and Exchange Commission or subject to Regulations 14A or 14C or to the liabilities of Section 18 of the Exchange Act.</w:t>
      </w:r>
    </w:p>
    <w:p>
      <w:pPr>
        <w:spacing w:after="0" w:line="121" w:lineRule="exact"/>
        <w:rPr>
          <w:sz w:val="20"/>
          <w:szCs w:val="20"/>
          <w:color w:val="auto"/>
        </w:rPr>
      </w:pPr>
    </w:p>
    <w:p>
      <w:pPr>
        <w:jc w:val="both"/>
        <w:ind w:left="7"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will provide, without charge, a printed copy of our 2019 Annual Report to each shareholder of record as of the record date that requests a copy in writing. Any such requests should be directed to our Corporate Secretary at our corporate offices set forth in this proxy statement.</w:t>
      </w:r>
    </w:p>
    <w:p>
      <w:pPr>
        <w:spacing w:after="0" w:line="10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b w:val="1"/>
          <w:bCs w:val="1"/>
          <w:color w:val="auto"/>
        </w:rPr>
        <w:t>PROPOSAL ONE</w:t>
      </w:r>
    </w:p>
    <w:p>
      <w:pPr>
        <w:spacing w:after="0" w:line="15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b w:val="1"/>
          <w:bCs w:val="1"/>
          <w:color w:val="auto"/>
        </w:rPr>
        <w:t>ELECTION OF DIRECTORS</w:t>
      </w:r>
    </w:p>
    <w:p>
      <w:pPr>
        <w:spacing w:after="0" w:line="154" w:lineRule="exact"/>
        <w:rPr>
          <w:sz w:val="20"/>
          <w:szCs w:val="20"/>
          <w:color w:val="auto"/>
        </w:rPr>
      </w:pPr>
    </w:p>
    <w:p>
      <w:pPr>
        <w:jc w:val="both"/>
        <w:ind w:left="7" w:firstLine="432"/>
        <w:spacing w:after="0" w:line="260" w:lineRule="auto"/>
        <w:rPr>
          <w:sz w:val="20"/>
          <w:szCs w:val="20"/>
          <w:color w:val="auto"/>
        </w:rPr>
      </w:pPr>
      <w:r>
        <w:rPr>
          <w:rFonts w:ascii="Times New Roman" w:cs="Times New Roman" w:eastAsia="Times New Roman" w:hAnsi="Times New Roman"/>
          <w:sz w:val="12"/>
          <w:szCs w:val="12"/>
          <w:color w:val="auto"/>
        </w:rPr>
        <w:t>Our Certificate of Incorporation and bylaws provide that our Board of Directors shall consist of not less than three or more than nine members as determined by the Board of Directors or our shareholders from time to time. The Board of Directors has currently fixed the number of directors at five. The term of each of our directors expires at the 2020 Annual Meeting. We have nominated current directors Ms. Hakimoglu, Mr. Hendricks, Ms. Higley, Mr. Robinson and Mr. Whaley for election at the meeting to serve until the next Annual Meeting of Shareholders or until their respective successors are duly elected and qualified. In the event any nominee is unable to serve, the proxies will be voted for a substitute nominee, if any, to be designated by our Board of Directors. The Board of Directors has no reason to believe any nominee will be unable or will decline to serve as a director.</w:t>
      </w:r>
    </w:p>
    <w:p>
      <w:pPr>
        <w:spacing w:after="0" w:line="11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b w:val="1"/>
          <w:bCs w:val="1"/>
          <w:color w:val="auto"/>
        </w:rPr>
        <w:t>THE BOARD OF DIRECTORS UNANIMOUSLY RECOMMENDS A VOTE "</w:t>
      </w:r>
      <w:r>
        <w:rPr>
          <w:rFonts w:ascii="Times New Roman" w:cs="Times New Roman" w:eastAsia="Times New Roman" w:hAnsi="Times New Roman"/>
          <w:sz w:val="12"/>
          <w:szCs w:val="12"/>
          <w:b w:val="1"/>
          <w:bCs w:val="1"/>
          <w:u w:val="single" w:color="auto"/>
          <w:color w:val="auto"/>
        </w:rPr>
        <w:t>FOR</w:t>
      </w:r>
      <w:r>
        <w:rPr>
          <w:rFonts w:ascii="Times New Roman" w:cs="Times New Roman" w:eastAsia="Times New Roman" w:hAnsi="Times New Roman"/>
          <w:sz w:val="12"/>
          <w:szCs w:val="12"/>
          <w:b w:val="1"/>
          <w:bCs w:val="1"/>
          <w:color w:val="auto"/>
        </w:rPr>
        <w:t>" ELECTION OF THE DIRECTOR NOMINEES NAMED HEREIN.</w:t>
      </w:r>
    </w:p>
    <w:p>
      <w:pPr>
        <w:spacing w:after="0" w:line="15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b w:val="1"/>
          <w:bCs w:val="1"/>
          <w:color w:val="auto"/>
        </w:rPr>
        <w:t>Directors and Nominees for Director</w:t>
      </w:r>
    </w:p>
    <w:p>
      <w:pPr>
        <w:spacing w:after="0" w:line="15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auto"/>
        </w:rPr>
        <w:t>The following table sets forth certain information regarding our current directors, including the three nominees for re-election as directors at the Annual Meeting.</w:t>
      </w:r>
    </w:p>
    <w:p>
      <w:pPr>
        <w:spacing w:after="0" w:line="146" w:lineRule="exact"/>
        <w:rPr>
          <w:sz w:val="20"/>
          <w:szCs w:val="20"/>
          <w:color w:val="auto"/>
        </w:rPr>
      </w:pPr>
    </w:p>
    <w:tbl>
      <w:tblPr>
        <w:tblLayout w:type="fixed"/>
        <w:tblInd w:w="7" w:type="dxa"/>
        <w:tblCellMar>
          <w:top w:w="0" w:type="dxa"/>
          <w:left w:w="0" w:type="dxa"/>
          <w:bottom w:w="0" w:type="dxa"/>
          <w:right w:w="0" w:type="dxa"/>
        </w:tblCellMar>
      </w:tblPr>
      <w:tr>
        <w:trPr>
          <w:trHeight w:val="159"/>
        </w:trPr>
        <w:tc>
          <w:tcPr>
            <w:tcW w:w="29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Age</w:t>
            </w:r>
          </w:p>
        </w:tc>
        <w:tc>
          <w:tcPr>
            <w:tcW w:w="57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Position</w:t>
            </w:r>
          </w:p>
        </w:tc>
        <w:tc>
          <w:tcPr>
            <w:tcW w:w="15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Director Since</w:t>
            </w:r>
          </w:p>
        </w:tc>
      </w:tr>
      <w:tr>
        <w:trPr>
          <w:trHeight w:val="133"/>
        </w:trPr>
        <w:tc>
          <w:tcPr>
            <w:tcW w:w="27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Zeynep “Zee” Hakimoglu</w:t>
            </w:r>
          </w:p>
        </w:tc>
        <w:tc>
          <w:tcPr>
            <w:tcW w:w="2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66</w:t>
            </w:r>
          </w:p>
        </w:tc>
        <w:tc>
          <w:tcPr>
            <w:tcW w:w="200" w:type="dxa"/>
            <w:vAlign w:val="bottom"/>
            <w:tcBorders>
              <w:top w:val="single" w:sz="8" w:color="CCEEFF"/>
            </w:tcBorders>
            <w:shd w:val="clear" w:color="auto" w:fill="CCEEFF"/>
          </w:tcPr>
          <w:p>
            <w:pPr>
              <w:spacing w:after="0"/>
              <w:rPr>
                <w:sz w:val="11"/>
                <w:szCs w:val="11"/>
                <w:color w:val="auto"/>
              </w:rPr>
            </w:pPr>
          </w:p>
        </w:tc>
        <w:tc>
          <w:tcPr>
            <w:tcW w:w="55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Chairman, Chief Executive Officer, and President</w:t>
            </w:r>
          </w:p>
        </w:tc>
        <w:tc>
          <w:tcPr>
            <w:tcW w:w="180" w:type="dxa"/>
            <w:vAlign w:val="bottom"/>
            <w:tcBorders>
              <w:top w:val="single" w:sz="8" w:color="CCEEFF"/>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2006</w:t>
            </w:r>
          </w:p>
        </w:tc>
      </w:tr>
      <w:tr>
        <w:trPr>
          <w:trHeight w:val="153"/>
        </w:trPr>
        <w:tc>
          <w:tcPr>
            <w:tcW w:w="2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Larry R. Hendricks</w:t>
            </w:r>
          </w:p>
        </w:tc>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78</w:t>
            </w:r>
          </w:p>
        </w:tc>
        <w:tc>
          <w:tcPr>
            <w:tcW w:w="200" w:type="dxa"/>
            <w:vAlign w:val="bottom"/>
          </w:tcPr>
          <w:p>
            <w:pPr>
              <w:spacing w:after="0"/>
              <w:rPr>
                <w:sz w:val="13"/>
                <w:szCs w:val="13"/>
                <w:color w:val="auto"/>
              </w:rPr>
            </w:pPr>
          </w:p>
        </w:tc>
        <w:tc>
          <w:tcPr>
            <w:tcW w:w="5700" w:type="dxa"/>
            <w:vAlign w:val="bottom"/>
            <w:gridSpan w:val="2"/>
          </w:tcPr>
          <w:p>
            <w:pPr>
              <w:spacing w:after="0" w:line="153" w:lineRule="exact"/>
              <w:rPr>
                <w:sz w:val="20"/>
                <w:szCs w:val="20"/>
                <w:color w:val="auto"/>
              </w:rPr>
            </w:pPr>
            <w:r>
              <w:rPr>
                <w:rFonts w:ascii="Times New Roman" w:cs="Times New Roman" w:eastAsia="Times New Roman" w:hAnsi="Times New Roman"/>
                <w:sz w:val="12"/>
                <w:szCs w:val="12"/>
                <w:color w:val="auto"/>
              </w:rPr>
              <w:t xml:space="preserve">Director </w:t>
            </w:r>
            <w:r>
              <w:rPr>
                <w:rFonts w:ascii="Times New Roman" w:cs="Times New Roman" w:eastAsia="Times New Roman" w:hAnsi="Times New Roman"/>
                <w:sz w:val="16"/>
                <w:szCs w:val="16"/>
                <w:color w:val="auto"/>
                <w:vertAlign w:val="superscript"/>
              </w:rPr>
              <w:t>(1)</w:t>
            </w:r>
          </w:p>
        </w:tc>
        <w:tc>
          <w:tcPr>
            <w:tcW w:w="1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2003</w:t>
            </w:r>
          </w:p>
        </w:tc>
      </w:tr>
      <w:tr>
        <w:trPr>
          <w:trHeight w:val="144"/>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Lisa B. Higley</w:t>
            </w: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53</w:t>
            </w:r>
          </w:p>
        </w:tc>
        <w:tc>
          <w:tcPr>
            <w:tcW w:w="200" w:type="dxa"/>
            <w:vAlign w:val="bottom"/>
            <w:shd w:val="clear" w:color="auto" w:fill="CCEEFF"/>
          </w:tcPr>
          <w:p>
            <w:pPr>
              <w:spacing w:after="0"/>
              <w:rPr>
                <w:sz w:val="12"/>
                <w:szCs w:val="12"/>
                <w:color w:val="auto"/>
              </w:rPr>
            </w:pPr>
          </w:p>
        </w:tc>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Director</w:t>
            </w:r>
          </w:p>
        </w:tc>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2020</w:t>
            </w:r>
          </w:p>
        </w:tc>
      </w:tr>
      <w:tr>
        <w:trPr>
          <w:trHeight w:val="153"/>
        </w:trPr>
        <w:tc>
          <w:tcPr>
            <w:tcW w:w="2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Eric. L Robinson</w:t>
            </w:r>
          </w:p>
        </w:tc>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53</w:t>
            </w:r>
          </w:p>
        </w:tc>
        <w:tc>
          <w:tcPr>
            <w:tcW w:w="200" w:type="dxa"/>
            <w:vAlign w:val="bottom"/>
          </w:tcPr>
          <w:p>
            <w:pPr>
              <w:spacing w:after="0"/>
              <w:rPr>
                <w:sz w:val="13"/>
                <w:szCs w:val="13"/>
                <w:color w:val="auto"/>
              </w:rPr>
            </w:pPr>
          </w:p>
        </w:tc>
        <w:tc>
          <w:tcPr>
            <w:tcW w:w="5700" w:type="dxa"/>
            <w:vAlign w:val="bottom"/>
            <w:gridSpan w:val="2"/>
          </w:tcPr>
          <w:p>
            <w:pPr>
              <w:spacing w:after="0" w:line="153" w:lineRule="exact"/>
              <w:rPr>
                <w:sz w:val="20"/>
                <w:szCs w:val="20"/>
                <w:color w:val="auto"/>
              </w:rPr>
            </w:pPr>
            <w:r>
              <w:rPr>
                <w:rFonts w:ascii="Times New Roman" w:cs="Times New Roman" w:eastAsia="Times New Roman" w:hAnsi="Times New Roman"/>
                <w:sz w:val="12"/>
                <w:szCs w:val="12"/>
                <w:color w:val="auto"/>
              </w:rPr>
              <w:t xml:space="preserve">Director </w:t>
            </w:r>
            <w:r>
              <w:rPr>
                <w:rFonts w:ascii="Times New Roman" w:cs="Times New Roman" w:eastAsia="Times New Roman" w:hAnsi="Times New Roman"/>
                <w:sz w:val="16"/>
                <w:szCs w:val="16"/>
                <w:color w:val="auto"/>
                <w:vertAlign w:val="superscript"/>
              </w:rPr>
              <w:t>(1)</w:t>
            </w:r>
          </w:p>
        </w:tc>
        <w:tc>
          <w:tcPr>
            <w:tcW w:w="1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2015</w:t>
            </w:r>
          </w:p>
        </w:tc>
      </w:tr>
      <w:tr>
        <w:trPr>
          <w:trHeight w:val="153"/>
        </w:trPr>
        <w:tc>
          <w:tcPr>
            <w:tcW w:w="29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Bruce Whaley</w:t>
            </w:r>
          </w:p>
        </w:tc>
        <w:tc>
          <w:tcPr>
            <w:tcW w:w="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70</w:t>
            </w:r>
          </w:p>
        </w:tc>
        <w:tc>
          <w:tcPr>
            <w:tcW w:w="200" w:type="dxa"/>
            <w:vAlign w:val="bottom"/>
            <w:tcBorders>
              <w:bottom w:val="single" w:sz="8" w:color="auto"/>
            </w:tcBorders>
            <w:shd w:val="clear" w:color="auto" w:fill="CCEEFF"/>
          </w:tcPr>
          <w:p>
            <w:pPr>
              <w:spacing w:after="0"/>
              <w:rPr>
                <w:sz w:val="13"/>
                <w:szCs w:val="13"/>
                <w:color w:val="auto"/>
              </w:rPr>
            </w:pPr>
          </w:p>
        </w:tc>
        <w:tc>
          <w:tcPr>
            <w:tcW w:w="5700" w:type="dxa"/>
            <w:vAlign w:val="bottom"/>
            <w:tcBorders>
              <w:bottom w:val="single" w:sz="8" w:color="auto"/>
            </w:tcBorders>
            <w:gridSpan w:val="2"/>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 xml:space="preserve">Director </w:t>
            </w:r>
            <w:r>
              <w:rPr>
                <w:rFonts w:ascii="Times New Roman" w:cs="Times New Roman" w:eastAsia="Times New Roman" w:hAnsi="Times New Roman"/>
                <w:sz w:val="16"/>
                <w:szCs w:val="16"/>
                <w:color w:val="auto"/>
                <w:vertAlign w:val="superscript"/>
              </w:rPr>
              <w:t>(1)</w:t>
            </w:r>
          </w:p>
        </w:tc>
        <w:tc>
          <w:tcPr>
            <w:tcW w:w="1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2019</w:t>
            </w:r>
          </w:p>
        </w:tc>
      </w:tr>
    </w:tbl>
    <w:p>
      <w:pPr>
        <w:spacing w:after="0" w:line="133" w:lineRule="exact"/>
        <w:rPr>
          <w:sz w:val="20"/>
          <w:szCs w:val="20"/>
          <w:color w:val="auto"/>
        </w:rPr>
      </w:pPr>
    </w:p>
    <w:p>
      <w:pPr>
        <w:ind w:left="387" w:hanging="387"/>
        <w:spacing w:after="0"/>
        <w:tabs>
          <w:tab w:leader="none" w:pos="387"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Member of the Audit and Compliance Committee, Compensation Committee and Nominating Committee</w:t>
      </w:r>
    </w:p>
    <w:p>
      <w:pPr>
        <w:spacing w:after="0" w:line="16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71780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7"/>
          </w:cols>
          <w:pgMar w:left="293" w:top="269" w:right="299" w:bottom="1440" w:gutter="0" w:footer="0" w:header="0"/>
        </w:sectPr>
      </w:pPr>
    </w:p>
    <w:bookmarkStart w:id="6" w:name="page7"/>
    <w:bookmarkEnd w:id="6"/>
    <w:p>
      <w:pPr>
        <w:jc w:val="both"/>
        <w:ind w:firstLine="432"/>
        <w:spacing w:after="0" w:line="254" w:lineRule="auto"/>
        <w:rPr>
          <w:sz w:val="20"/>
          <w:szCs w:val="20"/>
          <w:color w:val="auto"/>
        </w:rPr>
      </w:pPr>
      <w:r>
        <w:rPr>
          <w:rFonts w:ascii="Times New Roman" w:cs="Times New Roman" w:eastAsia="Times New Roman" w:hAnsi="Times New Roman"/>
          <w:sz w:val="12"/>
          <w:szCs w:val="12"/>
          <w:b w:val="1"/>
          <w:bCs w:val="1"/>
          <w:color w:val="auto"/>
        </w:rPr>
        <w:t xml:space="preserve">Zee Hakimoglu </w:t>
      </w:r>
      <w:r>
        <w:rPr>
          <w:rFonts w:ascii="Times New Roman" w:cs="Times New Roman" w:eastAsia="Times New Roman" w:hAnsi="Times New Roman"/>
          <w:sz w:val="12"/>
          <w:szCs w:val="12"/>
          <w:color w:val="auto"/>
        </w:rPr>
        <w:t>is our President, Chief Executive Officer and Chairman. She joined our company in December 2003 as Vice President of Product Line Management with additional responsibility for Research &amp; Development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was appointed President and Chief Executive Officer in July 2004; she has served as a director of our company since April 2006 and was named Chairman of the Board in July 2007. Prior to joining ClearOne, Ms. Hakimoglu has held senior executive level positions for a variety of high-tech Silicon Valley firms in such areas as business development, product marketing, engineering and product-line management. She served as Vice President of Product Line Management for a publicly traded developer of fiber optic subsystems and components, from December 2001 to December 2002; and, President of a manufacturer of fiber optic test equipment and components, from August 2000 to November 2001. From October 1998 to August 2000, she was Vice President of Business Development for Kaifa Technology and was instrumental in its acquisition by E-Tek Dynamics and later by JDS Uniphase. Through these acquisitions, she held the role of Deputy General Manager of the Kaifa Technology business unit. From May 1982 until it was acquired in September 1996, Ms. Hakimoglu held various positions including Vice President of Wireless Engineering and Vice President of the Wireless Business Unit for Aydin Corp., a global telecommunications equipment company that formerly traded on the New York Stock Exchange. Ms. Hakimoglu earned a Bachelor of Science Degree in Physics from California State College, Sonoma, and a Master's Degree in Physics from Drexel University. In light of Ms. Hakimoglu's rich experience in the high-tech industry and her unique and extensive understanding of ClearOne's business, our Board has concluded that Ms. Hakimoglu should continue to serve as a director.</w:t>
      </w:r>
    </w:p>
    <w:p>
      <w:pPr>
        <w:spacing w:after="0" w:line="126"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 xml:space="preserve">Larry R. Hendricks </w:t>
      </w:r>
      <w:r>
        <w:rPr>
          <w:rFonts w:ascii="Times New Roman" w:cs="Times New Roman" w:eastAsia="Times New Roman" w:hAnsi="Times New Roman"/>
          <w:sz w:val="12"/>
          <w:szCs w:val="12"/>
          <w:color w:val="auto"/>
        </w:rPr>
        <w:t>has served as a director of our company since June 2003. Mr. Hendricks is a Certified Public Accountant who retired in December 2002 after serving as Vice President of Finance and General Manager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Daily Foods, Inc., a national meat processing company. During his 30-year career in accounting, he served as a self-employed CPA and worked for the international accounting firm Peat Marwick &amp; Mitchell. Mr. Hendricks has served on the boards of eight other organizations, including Tunex International, Habitat for Humanity, Daily Foods, Skin Care International, and the National Advisory Board of the Huntsman College of Business at Utah State University. He earned a Bachelor's Degree in Accounting from Utah State University and a Master of Business Administration Degree from the University of Utah. In light of Mr. Hendricks' background in finance and accounting and his deep understanding of our business due to his long service on our Board, the Board has concluded Mr. Hendricks should continue to serve as a director.</w:t>
      </w:r>
    </w:p>
    <w:p>
      <w:pPr>
        <w:spacing w:after="0" w:line="119"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 xml:space="preserve">Lisa B. Higley </w:t>
      </w:r>
      <w:r>
        <w:rPr>
          <w:rFonts w:ascii="Times New Roman" w:cs="Times New Roman" w:eastAsia="Times New Roman" w:hAnsi="Times New Roman"/>
          <w:sz w:val="12"/>
          <w:szCs w:val="12"/>
          <w:color w:val="auto"/>
        </w:rPr>
        <w:t>was appointed a director of our company effective July 20, 2020. Ms. Higley has been self-employed as a CPA since June 2009. Previously, she was the CFO for Daisy D’s Paper Company from March 2007</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until January 2009, where she managed all aspects of the company’s financial and accounting responsibilities. Additionally, Ms. Higley was the CFO for Tunex International from April 2006 to March 2007 where she was accountable for all financial aspects of the corporation. Prior to that, Ms. Higley was a staff tax accountant at Wisen, Smith, Racker &amp; Prescott LLP from February 2004 to April 2006. Ms. Higley earned her Bachelor of Science in Accounting from the University of Oregon and her MBA from Utah State University, and has been a Utah CPA since 2004. Ms. Higley is the daughter of Edward D. Bagley, our former Chairman of the Board. Mr. Edward D. Bagley beneficially owns 44% of our issued and outstanding common stock. In light of Ms. Higley’s background in finance and accounting, the Board concluded it was appropriate that Ms. Higley continue to serve as a director.</w:t>
      </w:r>
    </w:p>
    <w:p>
      <w:pPr>
        <w:spacing w:after="0" w:line="11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b w:val="1"/>
          <w:bCs w:val="1"/>
          <w:color w:val="auto"/>
        </w:rPr>
        <w:t xml:space="preserve">Eric. L Robinson </w:t>
      </w:r>
      <w:r>
        <w:rPr>
          <w:rFonts w:ascii="Times New Roman" w:cs="Times New Roman" w:eastAsia="Times New Roman" w:hAnsi="Times New Roman"/>
          <w:sz w:val="12"/>
          <w:szCs w:val="12"/>
          <w:color w:val="auto"/>
        </w:rPr>
        <w:t>has served as a director of our company since July 2015. Mr. Robinson spent fourteen years in private practice as a corporate attorney, including eleven years as a partner in the Salt Lake City, Utah law firm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Blackburn &amp; Stoll, LC. Mr. Robinson's law practice focused on securities, corporate and other business transactions. Since 2009, Mr. Robinson has been principally employed by MicroPower Global Limited, a company in the semiconductor business. At MicroPower, Mr. Robinson has acted as General Counsel, Chief Financial Officer and a director. Mr. Robinson also maintains a small law practice and serves as counsel to a number of companies in the fields of genetics, regenerative medicine, transportation and commercial construction. He also served as General Counsel, Chief Financial Officer and a director to a genetic research company from 2008 until 2015. Mr. Robinson previously acted as General Counsel and Chief Financial Officer to a commercial construction company from 2007 until 2008 which had revenues in excess of $100 million during his tenure. Mr. Robinson previously served as chief financial officer, in-house counsel, secretary and treasurer of ActiveCare, Inc. from July 2016 until his voluntary resignation in June 2017, and subsequent to Mr. Robinson’s departure, ActiveCare filed a voluntary bankruptcy petition under Chapter 11 of the U.S. Bankruptcy Code on July 15, 2018. His legal practice includes working with companies in connection with public and private offerings of securities, corporate partnering, mergers and acquisitions, licensing technology transfer, contracts and construction. He graduated from the University of Utah with honors with a B.S. degree in accounting and he subsequently passed the CPA exam (unlicensed). He graduated from Vanderbilt University with a J.D. where he graduated Order of the Coif and acted as a Managing Editor of the Law Review. Mr. Robinson has previously served as corporate and securities legal counsel to the Company and the Company's largest shareholder, E. Dallin Bagley. In light of Mr. Robinson’s legal and financial background, the Board has concluded that Mr. Robinson should continue to serve as a director.</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7" w:name="page8"/>
    <w:bookmarkEnd w:id="7"/>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Bruce Whaley </w:t>
      </w:r>
      <w:r>
        <w:rPr>
          <w:rFonts w:ascii="Times New Roman" w:cs="Times New Roman" w:eastAsia="Times New Roman" w:hAnsi="Times New Roman"/>
          <w:sz w:val="12"/>
          <w:szCs w:val="12"/>
          <w:color w:val="auto"/>
        </w:rPr>
        <w:t>was appointed a director of our company effective April 16, 2019. Mr. Whaley has extensive experience as a stock broker for nearly five decades. Mr. Whaley is currently a broker trading at Wilson &amp; Davis,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regional brokerage firm based in Salt Lake City, Utah. He has been with Wilson &amp; Davis since 1988. Mr. Whaley also holds a real estate license and works as a real estate agent for Coldwell Banker. Mr. Whaley attended University of Utah between 1968 and 1971 and studied many subjects including business administration, accounting and finance. He did not graduate with a degree. In light of Mr. Whaley's background in finance and capital markets, the Board concluded it was appropriate that Mr. Whaley continue to serve as a director.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CORPORATE GOVERNANCE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Information Relating to Corporate Governance and the Board of Directors</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Our Board of Directors has determined, after considering all the relevant facts and circumstances, that Messrs. Hendricks, Robinson and Whaley are independent directors, as “independence” is defined by the listing standards of NASDAQ. This determination was made because Messrs. Hendricks, Robinson and Whaley have no relationship with us that would interfere with their exercise of independent judgment.</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Our Board of Directors has an Audit and Compliance Committee, a Compensation Committee, and a Nominating Committee, each consisting entirely of independent directors.</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Our Board of Directors has adopted charters for the Audit and Compliance, Compensation and Nominating Committees describing the authority and responsibilities delegated to each committee by the Board. We post on our website at </w:t>
      </w:r>
      <w:r>
        <w:rPr>
          <w:rFonts w:ascii="Times New Roman" w:cs="Times New Roman" w:eastAsia="Times New Roman" w:hAnsi="Times New Roman"/>
          <w:sz w:val="12"/>
          <w:szCs w:val="12"/>
          <w:i w:val="1"/>
          <w:iCs w:val="1"/>
          <w:color w:val="auto"/>
        </w:rPr>
        <w:t>www.clearone.com</w:t>
      </w:r>
      <w:r>
        <w:rPr>
          <w:rFonts w:ascii="Times New Roman" w:cs="Times New Roman" w:eastAsia="Times New Roman" w:hAnsi="Times New Roman"/>
          <w:sz w:val="12"/>
          <w:szCs w:val="12"/>
          <w:color w:val="auto"/>
        </w:rPr>
        <w:t xml:space="preserve"> the charters of our Audit and Compliance, Compensation and Nominating Committees, our Code of Ethics, and any amendments or waivers thereto and any other corporate governance materials contemplated by SEC or NASDAQ regulations. These documents are also available in print to any shareholder requesting a copy in writing from our Corporate Secretary at our corporate offices located at the address set forth in this proxy statement.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Board Leadership Structure</w:t>
      </w:r>
    </w:p>
    <w:p>
      <w:pPr>
        <w:spacing w:after="0" w:line="15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The Board has no formal policy on whether the role of the Chairman of the Board and Chief Executive Officer should be held by separate persons. We believe it is important to maintain flexibility to have either combined offices or a separate Chairman and Chief Executive Officer structure as circumstances dictate and to make that determination based on the strategic and operational position and direction of the company and the character of the membership of the Board. The Board believes our current management structure, with Zeynep Hakimoglu serving as Chairman and Chief Executive Officer, is the optimal structure for us at this time. Ms. Hakimoglu possesses detailed and in-depth knowledge of the operational issues, opportunities and challenges facing the Company and its business, and also has a keen understanding of and ability to grasp our strategic position and opportunities. Given Ms. Hakimoglu’s particular skills and knowledge, as well as our size and stage of development, we believe Ms. Hakimoglu is best positioned to identify strategic priorities, develop agendas that the Board’s time and attention should be focused on as the most critical matters, and to lead the discussion and execution of strategy.</w:t>
      </w:r>
    </w:p>
    <w:p>
      <w:pPr>
        <w:spacing w:after="0" w:line="125"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The Chief Executive Officer and the independent directors have different perspectives and roles in strategy development. The Chief Executive Officer brings Company-specific experience and expertise, while the Company’s independent directors bring experience, oversight, and expertise from outside the Company and its industry. The Board believes its independent directors provide effective oversight of management, and that the combined role of Chief Executive Officer and Chairman promotes the development and execution of strategy and facilitates the flow of information between management and the Board, which is essential to effective corporate governance. The Board believes the combined role of Chief Executive Officer and Chairman, together with a Board whose majority of directors are independent, provides the appropriate balance between independent oversight of management and the development of strategy.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Board Role in Risk Oversight</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Board of Directors is responsible for overseeing the management of the business and affairs of the Company, but delegates day-to-day management of the Company to the Chief Executive Officer and our executive management team. The Board of Directors is generally responsible for risk oversight, and the Audit and Compliance Committee assists the Board in fulfilling its responsibilities for general oversight of risk assessment and risk management. In addition, the other Board committees are also tasked with specific risk oversight functions pursuant to the terms of the committee charters or applicable NASDAQ rules. The Board as a whole and the various standing committees, in performing their respective risk oversight functions, have access to our company’s management team and external advisors, as necessary, and receive periodic presentations and reports from management, and incidental reports as matters arise with respect to strategic, operational, financial, legal or other risks and the plans management has to control such risks.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b w:val="1"/>
          <w:bCs w:val="1"/>
          <w:color w:val="auto"/>
        </w:rPr>
        <w:t>Committees of the Board of Directors</w:t>
      </w:r>
    </w:p>
    <w:p>
      <w:pPr>
        <w:spacing w:after="0" w:line="150"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 xml:space="preserve">Audit and Compliance Committee. </w:t>
      </w:r>
      <w:r>
        <w:rPr>
          <w:rFonts w:ascii="Times New Roman" w:cs="Times New Roman" w:eastAsia="Times New Roman" w:hAnsi="Times New Roman"/>
          <w:sz w:val="12"/>
          <w:szCs w:val="12"/>
          <w:color w:val="auto"/>
        </w:rPr>
        <w:t>The Audit and Compliance Committee meets to review and discuss our accounting practices and procedures with management and independent public accountants and to review our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quarterly and annual financial statements. The Audit and Compliance Committee assists the Board of Directors in fulfilling its responsibility for oversight of the quality and integrity of our accounting, auditing, and reporting practices. The Audit and Compliance Committee’s primary duties include reviewing the scope and adequacy of our internal accounting and financial controls; reviewing the independence of our independent registered public accounting firm; approving the scope of our independent registered public accounting firm’s audit activities; approving the fees of our independent registered public accounting firm; approving any non-audit related services; reviewing the audit results; reviewing the objectivity and effectiveness of our internal audit function; and reviewing our financial reporting activities and the application of accounting standards and principles.</w:t>
      </w:r>
    </w:p>
    <w:p>
      <w:pPr>
        <w:spacing w:after="0" w:line="123"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members of the Audit and Compliance Committee are Eric L. Robinson (Chairman), Larry R. Hendricks and Bruce Whaley. Each member of the audit committee, in addition to being independent under the standards of NASDAQ, is independent under the standards of the Securities and Exchange Commission’s rules and regulations pertaining to listed company audit committees. The Board of Directors has determined that Eric L. Robinson is an "audit committee financial expert" in accordance with applicable rules and regulations of the SEC.</w:t>
      </w:r>
    </w:p>
    <w:p>
      <w:pPr>
        <w:spacing w:after="0" w:line="115"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Compensation Committee. </w:t>
      </w:r>
      <w:r>
        <w:rPr>
          <w:rFonts w:ascii="Times New Roman" w:cs="Times New Roman" w:eastAsia="Times New Roman" w:hAnsi="Times New Roman"/>
          <w:sz w:val="12"/>
          <w:szCs w:val="12"/>
          <w:color w:val="auto"/>
        </w:rPr>
        <w:t>The Compensation Committee is responsible for overseeing, reviewing, and approving our executive compensation and benefit programs and administers the Company’s equity incentive plans for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employees. Under its charter, the Compensation Committee may delegate authority to subcommittees of the Compensation Committee or to executive officers of the Company, particularly the President and CEO with respect to compensation determinations for persons who are not executive officers of the Company. The members of the Compensation Committee are Bruce Whaley (Chairman), Larry R. Hendricks and Eric L. Robinson.</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Our compensation objectives for executive officers are as follows:</w:t>
      </w:r>
    </w:p>
    <w:p>
      <w:pPr>
        <w:spacing w:after="0" w:line="150" w:lineRule="exact"/>
        <w:rPr>
          <w:sz w:val="20"/>
          <w:szCs w:val="20"/>
          <w:color w:val="auto"/>
        </w:rPr>
      </w:pPr>
    </w:p>
    <w:p>
      <w:pPr>
        <w:ind w:left="580" w:hanging="155"/>
        <w:spacing w:after="0"/>
        <w:tabs>
          <w:tab w:leader="none" w:pos="5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attract and retain highly qualified individuals capable of making significant contributions to the long-term success of our company;</w:t>
      </w:r>
    </w:p>
    <w:p>
      <w:pPr>
        <w:spacing w:after="0" w:line="150" w:lineRule="exact"/>
        <w:rPr>
          <w:rFonts w:ascii="Times New Roman" w:cs="Times New Roman" w:eastAsia="Times New Roman" w:hAnsi="Times New Roman"/>
          <w:sz w:val="12"/>
          <w:szCs w:val="12"/>
          <w:color w:val="auto"/>
        </w:rPr>
      </w:pPr>
    </w:p>
    <w:p>
      <w:pPr>
        <w:ind w:left="580" w:hanging="155"/>
        <w:spacing w:after="0"/>
        <w:tabs>
          <w:tab w:leader="none" w:pos="5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use incentive compensation to reinforce strategic performance objectives;</w:t>
      </w:r>
    </w:p>
    <w:p>
      <w:pPr>
        <w:spacing w:after="0" w:line="150" w:lineRule="exact"/>
        <w:rPr>
          <w:rFonts w:ascii="Times New Roman" w:cs="Times New Roman" w:eastAsia="Times New Roman" w:hAnsi="Times New Roman"/>
          <w:sz w:val="12"/>
          <w:szCs w:val="12"/>
          <w:color w:val="auto"/>
        </w:rPr>
      </w:pPr>
    </w:p>
    <w:p>
      <w:pPr>
        <w:ind w:left="580" w:hanging="155"/>
        <w:spacing w:after="0"/>
        <w:tabs>
          <w:tab w:leader="none" w:pos="5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align the interest of our executives with the interests of our shareholders such that the risks and rewards of strategic decisions are shared; and</w:t>
      </w:r>
    </w:p>
    <w:p>
      <w:pPr>
        <w:spacing w:after="0" w:line="150" w:lineRule="exact"/>
        <w:rPr>
          <w:rFonts w:ascii="Times New Roman" w:cs="Times New Roman" w:eastAsia="Times New Roman" w:hAnsi="Times New Roman"/>
          <w:sz w:val="12"/>
          <w:szCs w:val="12"/>
          <w:color w:val="auto"/>
        </w:rPr>
      </w:pPr>
    </w:p>
    <w:p>
      <w:pPr>
        <w:ind w:left="580" w:hanging="155"/>
        <w:spacing w:after="0"/>
        <w:tabs>
          <w:tab w:leader="none" w:pos="5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reflect the value of each officer’s position in the marketplace and within our company.</w:t>
      </w:r>
    </w:p>
    <w:p>
      <w:pPr>
        <w:spacing w:after="0" w:line="14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i w:val="1"/>
          <w:iCs w:val="1"/>
          <w:color w:val="auto"/>
        </w:rPr>
        <w:t>Policies and Practices Related to ClearOne’s Compensation Program</w:t>
      </w:r>
      <w:r>
        <w:rPr>
          <w:rFonts w:ascii="Times New Roman" w:cs="Times New Roman" w:eastAsia="Times New Roman" w:hAnsi="Times New Roman"/>
          <w:sz w:val="12"/>
          <w:szCs w:val="12"/>
          <w:color w:val="auto"/>
        </w:rPr>
        <w:t>. We strive to create an overall compensation package for each executive officer that satisfies the aforementioned objectives, recognizing that certain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elements of compensation are better suited to reflect different compensation objectives. For example, as base salaries are the only element of compensation that are fixed in amount in advance of the year in which the compensation will be earned, the Compensation Committee believes that it is most appropriate to determine base salaries with a focus on the market practices for similarly situated officers at comparable companies as adjusted to reflect the individual officer’s performance during the preceding year. In contrast, cash bonuses and long-term incentives are better able to reflect our company’s performance as measured by financial metrics and are well-suited to motivate officers to achieve specific performance goals that the Compensation Committee has determined are in the best interests of our company. Equity grants are also well-suited to drive long-term performance and align management’s interests with those of shareholders. The Compensation Committee believes that as an officer’s responsibility increases, so does his or her ability to influence the performance of our company and accordingly, the proportion of his or her compensation that consists of his or her salary and cash bonus should decrease while the proportion of equity incentives to total compensation should increase.</w:t>
      </w:r>
    </w:p>
    <w:p>
      <w:pPr>
        <w:spacing w:after="0" w:line="126" w:lineRule="exact"/>
        <w:rPr>
          <w:sz w:val="20"/>
          <w:szCs w:val="20"/>
          <w:color w:val="auto"/>
        </w:rPr>
      </w:pPr>
    </w:p>
    <w:p>
      <w:pPr>
        <w:jc w:val="both"/>
        <w:ind w:right="20"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Comparable Companies</w:t>
      </w:r>
      <w:r>
        <w:rPr>
          <w:rFonts w:ascii="Times New Roman" w:cs="Times New Roman" w:eastAsia="Times New Roman" w:hAnsi="Times New Roman"/>
          <w:sz w:val="12"/>
          <w:szCs w:val="12"/>
          <w:color w:val="auto"/>
        </w:rPr>
        <w:t>. In making compensation decisions, including assessing the competitiveness of the total compensation structure for each named executive officer, the Compensation Committee considers compensation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survey data from companies that the Compensation Committee has selected as comparable in terms of industry, size and location. The Compensation Committee periodically reviews the companies that are included as comparable companies and makes revisions to the group as appropriate. The Compensation Committee also reviews executive compensation information for several Utah based publicly-traded companies having revenues similar to those of the Company. The Compensation Committee has reviewed this compensation data to ensure the company’s compensation of our executives is reasonable.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71780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9" w:name="page10"/>
    <w:bookmarkEnd w:id="9"/>
    <w:p>
      <w:pPr>
        <w:jc w:val="both"/>
        <w:ind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Equity Grant Practices</w:t>
      </w:r>
      <w:r>
        <w:rPr>
          <w:rFonts w:ascii="Times New Roman" w:cs="Times New Roman" w:eastAsia="Times New Roman" w:hAnsi="Times New Roman"/>
          <w:sz w:val="12"/>
          <w:szCs w:val="12"/>
          <w:color w:val="auto"/>
        </w:rPr>
        <w:t>. The Compensation Committee recognizes the importance of equity ownership in the alignment of shareholder and management interests. The exercise price of each stock option awarded to 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executive officers under our incentive compensation programs is equal to the closing price of our common stock on the date of grant, which is the date when the Compensation Committee acts to approve equity awards for senior executives. Performance-based equity awards are also granted to our named executive officers at this time.</w:t>
      </w:r>
    </w:p>
    <w:p>
      <w:pPr>
        <w:spacing w:after="0" w:line="11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The Compensation Committee establishes the criteria, and directs the implementation, of all compensation program elements for the executive officers. Generally, the base salary for each named executive officer is set at the beginning of each fiscal year by our Board of Directors after review of the recommendation of the Compensation Committee. The Compensation Committee considers the Chief Executive Officer’s appraisal of other executive officers’ general performance and looks especially to performance against predetermined goals before making its recommendation to the Board of Directors. In the past, the Compensation Committee has authorized the Chief Executive Officer to recruit executive officers and offer initial base salaries. The Chief Executive Officer recommends for the Compensation Committee’s approval the stock option grants and compensation related to achievement of non-quantitative goals under non-equity-based incentive plans for other executive officers. The Compensation Committee did not employ any compensation consultants during the year ended December 31, 2019.</w:t>
      </w:r>
    </w:p>
    <w:p>
      <w:pPr>
        <w:spacing w:after="0" w:line="121"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Nominating Committee. </w:t>
      </w:r>
      <w:r>
        <w:rPr>
          <w:rFonts w:ascii="Times New Roman" w:cs="Times New Roman" w:eastAsia="Times New Roman" w:hAnsi="Times New Roman"/>
          <w:sz w:val="12"/>
          <w:szCs w:val="12"/>
          <w:color w:val="auto"/>
        </w:rPr>
        <w:t>The Nominating Committee is responsible for overseeing the nomination of our directors. The Nominating Committee selects, evaluates, and recommends to the full Board of Directors qualified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candidates for election to the Board of Directors. The members of the Nominating Committee are Larry R. Hendricks (Chairman), Eric L. Robinson, and Bruce Whaley.</w:t>
      </w:r>
    </w:p>
    <w:p>
      <w:pPr>
        <w:spacing w:after="0" w:line="10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The Board of Directors will consider recommendations by shareholders for director nominees if the names of those nominees and relevant biographical information are submitted in writing to our company’s Secretary in the manner described for shareholder nominations below under the heading “Shareholder Proposals.” The Nominating Committee identifies and evaluates nominees for our Board of Directors, including nominees recommended by shareholders, based on numerous factors it considers appropriate, some of which may include strength of character, mature judgment, career specialization, relevant technical skills, diversity, and the extent to which the nominee would fill a present need on our Board of Directors. Although the Nominating Committee does not have a formal policy with regard to the consideration of diversity in identifying director nominees, the Nominating Committee strives to nominate directors with a variety of complementary skills so that, as a group, the Board will possess the appropriate talent, skills and expertise to oversee the Company’s business. All director nominations, whether submitted by a shareholder, the Nominating Committee, or the Board of Directors, will be evaluated in the same manner. All of the current nominees for director were recommended by the Nominating Committee and nominated by the Board of Directors. All director nominees have consented to serve as directors, if elected, until the next Annual Meeting of Shareholders or until their successors are elected and qualified and have consented to be named as nominees.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Board and Committee Meetings</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Our Board of Directors held a total of eight meetings in 2019. No director attended fewer than 75% of the aggregate of (i) the total number of meetings of the Board of Directors; and (ii) the total number of meetings held by all committees of the Board of Directors on which such director was a member. Although we currently have no formal policy with respect to the attendance of members of the Board of Directors at the Annual Meetings of Shareholders, we encourage each of our directors to attend each annual meeting of shareholders. To that end, and to the extent reasonably practicable, we regularly schedule a meeting of the Board of Directors on the same day as our annual meeting of shareholders. All members of our current Board of Directors attended the 2019 Annual Meeting of Shareholders.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 2019, the Audit and Compliance Committee held four meetings, the Compensation Committee held no meetings, and the Nominating Committee held two meetings.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Code of Ethics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The Board of Directors adopted a code of ethics that applies to our Board of Directors, executive officers, and employees. The Company's Code of Ethics is posted on our website at </w:t>
      </w:r>
      <w:r>
        <w:rPr>
          <w:rFonts w:ascii="Times New Roman" w:cs="Times New Roman" w:eastAsia="Times New Roman" w:hAnsi="Times New Roman"/>
          <w:sz w:val="12"/>
          <w:szCs w:val="12"/>
          <w:u w:val="single" w:color="auto"/>
          <w:color w:val="auto"/>
        </w:rPr>
        <w:t>www.clearone.com</w:t>
      </w:r>
      <w:r>
        <w:rPr>
          <w:rFonts w:ascii="Times New Roman" w:cs="Times New Roman" w:eastAsia="Times New Roman" w:hAnsi="Times New Roman"/>
          <w:sz w:val="12"/>
          <w:szCs w:val="12"/>
          <w:color w:val="auto"/>
        </w:rPr>
        <w: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717804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color w:val="auto"/>
        </w:rPr>
        <w:t>Section 16(a) Beneficial Ownership Reporting Compliance</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Section 16(a) of the Exchange Act, as amended, requires our directors, executive officers and persons who own more than 10% of a registered class of our equity securities to file with the SEC initial reports of ownership on Form 3 and reports of changes of ownership of our equity securities on Forms 4 and 5. Officers, directors, and greater than 10% shareholders are required to furnish us with copies of all Section 16(a) reports they file. Based solely on a review of the reports and amendments to reports furnished to us for the year ended December 31, 2019, we believe that each person who, at any time during such fiscal year was a director, officer, or beneficial owner of more than 10% of our common stock complied with all Section 16(a) filing requirements during such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EXECUTIVE OFFICERS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 sets forth certain information regarding our executive officers.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Age</w:t>
            </w:r>
          </w:p>
        </w:tc>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Position</w:t>
            </w:r>
          </w:p>
        </w:tc>
        <w:tc>
          <w:tcPr>
            <w:tcW w:w="88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8"/>
              </w:rPr>
              <w:t>Officer Since</w:t>
            </w:r>
          </w:p>
        </w:tc>
      </w:tr>
      <w:tr>
        <w:trPr>
          <w:trHeight w:val="133"/>
        </w:trPr>
        <w:tc>
          <w:tcPr>
            <w:tcW w:w="28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Zeynep Hakimoglu</w:t>
            </w:r>
          </w:p>
        </w:tc>
        <w:tc>
          <w:tcPr>
            <w:tcW w:w="16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66</w:t>
            </w:r>
          </w:p>
        </w:tc>
        <w:tc>
          <w:tcPr>
            <w:tcW w:w="160" w:type="dxa"/>
            <w:vAlign w:val="bottom"/>
            <w:tcBorders>
              <w:top w:val="single" w:sz="8" w:color="CCEEFF"/>
            </w:tcBorders>
            <w:shd w:val="clear" w:color="auto" w:fill="CCEEFF"/>
          </w:tcPr>
          <w:p>
            <w:pPr>
              <w:spacing w:after="0"/>
              <w:rPr>
                <w:sz w:val="11"/>
                <w:szCs w:val="11"/>
                <w:color w:val="auto"/>
              </w:rPr>
            </w:pPr>
          </w:p>
        </w:tc>
        <w:tc>
          <w:tcPr>
            <w:tcW w:w="61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Chairman, Chief Executive Officer, and President</w:t>
            </w:r>
          </w:p>
        </w:tc>
        <w:tc>
          <w:tcPr>
            <w:tcW w:w="16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2004</w:t>
            </w:r>
          </w:p>
        </w:tc>
      </w:tr>
      <w:tr>
        <w:trPr>
          <w:trHeight w:val="144"/>
        </w:trPr>
        <w:tc>
          <w:tcPr>
            <w:tcW w:w="2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Narsi Narayanan</w:t>
            </w:r>
          </w:p>
        </w:tc>
        <w:tc>
          <w:tcPr>
            <w:tcW w:w="9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2"/>
                <w:szCs w:val="12"/>
                <w:color w:val="auto"/>
              </w:rPr>
              <w:t>50</w:t>
            </w:r>
          </w:p>
        </w:tc>
        <w:tc>
          <w:tcPr>
            <w:tcW w:w="160" w:type="dxa"/>
            <w:vAlign w:val="bottom"/>
            <w:tcBorders>
              <w:bottom w:val="single" w:sz="8" w:color="auto"/>
            </w:tcBorders>
          </w:tcPr>
          <w:p>
            <w:pPr>
              <w:spacing w:after="0"/>
              <w:rPr>
                <w:sz w:val="12"/>
                <w:szCs w:val="12"/>
                <w:color w:val="auto"/>
              </w:rPr>
            </w:pPr>
          </w:p>
        </w:tc>
        <w:tc>
          <w:tcPr>
            <w:tcW w:w="6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Senior Vice President of Finance and Corporate Secretary</w:t>
            </w: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rPr>
              <w:t>2009</w:t>
            </w:r>
          </w:p>
        </w:tc>
      </w:tr>
    </w:tbl>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For the biography of Ms. Hakimoglu, see “Directors and Nominees for Director.”</w:t>
      </w:r>
    </w:p>
    <w:p>
      <w:pPr>
        <w:spacing w:after="0" w:line="146"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b w:val="1"/>
          <w:bCs w:val="1"/>
          <w:color w:val="auto"/>
        </w:rPr>
        <w:t xml:space="preserve">Narsi Narayanan </w:t>
      </w:r>
      <w:r>
        <w:rPr>
          <w:rFonts w:ascii="Times New Roman" w:cs="Times New Roman" w:eastAsia="Times New Roman" w:hAnsi="Times New Roman"/>
          <w:sz w:val="12"/>
          <w:szCs w:val="12"/>
          <w:color w:val="auto"/>
        </w:rPr>
        <w:t>(now serving as Senior Vice President of Finance) has served as our Vice President of Finance since July 2009 and has more than two decades of professional experience in the areas of accounting, finance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taxes. Prior to joining our company, he managed the SEC reporting, US GAAP accounting research, Sarbanes-Oxley Act (“SOX”) compliance and other financial reporting functions from August 2007 through February 2009 at Solo Cup Company, which was a publicly-reporting international consumer products company that was acquired by Dart Container in 2012. Prior to that, Mr. Narayanan managed the accounting and finance functions, including SEC Reporting, SOX compliance and US GAAP accounting research, from June 2004 through August 2007 at eCollege.com, a leading technology company serving private educational institutions, which was also a publicly-reporting company before being acquired by Pearson Education group. In addition to being a Chartered Accountant, Mr. Narayanan has extensive experience working in public accounting and in senior finance positions in India with a large conglomerate. He is a Certified Public Accountant with graduate degrees in accounting (University of Utah, M. Acc.) and business (University of Illinois, MBA-Finance).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EXECUTIVE COMPENSATION</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 sets forth the compensation paid or earned by each named executive officer for the years ended December 31, 2019 and 2018.</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20" w:type="dxa"/>
            <w:vAlign w:val="bottom"/>
          </w:tcPr>
          <w:p>
            <w:pPr>
              <w:spacing w:after="0"/>
              <w:rPr>
                <w:sz w:val="13"/>
                <w:szCs w:val="13"/>
                <w:color w:val="auto"/>
              </w:rPr>
            </w:pPr>
          </w:p>
        </w:tc>
        <w:tc>
          <w:tcPr>
            <w:tcW w:w="2380" w:type="dxa"/>
            <w:vAlign w:val="bottom"/>
            <w:gridSpan w:val="5"/>
          </w:tcPr>
          <w:p>
            <w:pPr>
              <w:jc w:val="right"/>
              <w:ind w:right="163"/>
              <w:spacing w:after="0"/>
              <w:rPr>
                <w:sz w:val="20"/>
                <w:szCs w:val="20"/>
                <w:color w:val="auto"/>
              </w:rPr>
            </w:pPr>
            <w:r>
              <w:rPr>
                <w:rFonts w:ascii="Times New Roman" w:cs="Times New Roman" w:eastAsia="Times New Roman" w:hAnsi="Times New Roman"/>
                <w:sz w:val="12"/>
                <w:szCs w:val="12"/>
                <w:b w:val="1"/>
                <w:bCs w:val="1"/>
                <w:color w:val="auto"/>
              </w:rPr>
              <w:t>SUMMARY COMPENSATION TABLE</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45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 Principal Position</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83"/>
              <w:spacing w:after="0"/>
              <w:rPr>
                <w:sz w:val="20"/>
                <w:szCs w:val="20"/>
                <w:color w:val="auto"/>
              </w:rPr>
            </w:pPr>
            <w:r>
              <w:rPr>
                <w:rFonts w:ascii="Times New Roman" w:cs="Times New Roman" w:eastAsia="Times New Roman" w:hAnsi="Times New Roman"/>
                <w:sz w:val="12"/>
                <w:szCs w:val="12"/>
                <w:b w:val="1"/>
                <w:bCs w:val="1"/>
                <w:color w:val="auto"/>
              </w:rPr>
              <w:t>Option</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Non-Equity Incentive</w:t>
            </w:r>
          </w:p>
        </w:tc>
        <w:tc>
          <w:tcPr>
            <w:tcW w:w="140" w:type="dxa"/>
            <w:vAlign w:val="bottom"/>
          </w:tcPr>
          <w:p>
            <w:pPr>
              <w:spacing w:after="0"/>
              <w:rPr>
                <w:sz w:val="23"/>
                <w:szCs w:val="23"/>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All Other</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45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Salary</w:t>
            </w:r>
          </w:p>
        </w:tc>
        <w:tc>
          <w:tcPr>
            <w:tcW w:w="880" w:type="dxa"/>
            <w:vAlign w:val="bottom"/>
          </w:tcPr>
          <w:p>
            <w:pPr>
              <w:jc w:val="right"/>
              <w:ind w:right="63"/>
              <w:spacing w:after="0"/>
              <w:rPr>
                <w:sz w:val="20"/>
                <w:szCs w:val="20"/>
                <w:color w:val="auto"/>
              </w:rPr>
            </w:pPr>
            <w:r>
              <w:rPr>
                <w:rFonts w:ascii="Times New Roman" w:cs="Times New Roman" w:eastAsia="Times New Roman" w:hAnsi="Times New Roman"/>
                <w:sz w:val="12"/>
                <w:szCs w:val="12"/>
                <w:b w:val="1"/>
                <w:bCs w:val="1"/>
                <w:color w:val="auto"/>
              </w:rPr>
              <w:t>Awards</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Plan Compensation</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Compensation</w:t>
            </w:r>
          </w:p>
        </w:tc>
        <w:tc>
          <w:tcPr>
            <w:tcW w:w="260" w:type="dxa"/>
            <w:vAlign w:val="bottom"/>
          </w:tcPr>
          <w:p>
            <w:pPr>
              <w:spacing w:after="0"/>
              <w:rPr>
                <w:sz w:val="13"/>
                <w:szCs w:val="13"/>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2"/>
        </w:trPr>
        <w:tc>
          <w:tcPr>
            <w:tcW w:w="4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 xml:space="preserve">Zeynep Hakimoglu - </w:t>
            </w:r>
            <w:r>
              <w:rPr>
                <w:rFonts w:ascii="Times New Roman" w:cs="Times New Roman" w:eastAsia="Times New Roman" w:hAnsi="Times New Roman"/>
                <w:sz w:val="12"/>
                <w:szCs w:val="12"/>
                <w:color w:val="auto"/>
              </w:rPr>
              <w:t>Chief Executive Officer and President</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Year ended December 31, 2019</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355,000</w:t>
            </w:r>
          </w:p>
        </w:tc>
        <w:tc>
          <w:tcPr>
            <w:tcW w:w="240" w:type="dxa"/>
            <w:vAlign w:val="bottom"/>
          </w:tcPr>
          <w:p>
            <w:pPr>
              <w:spacing w:after="0"/>
              <w:rPr>
                <w:sz w:val="12"/>
                <w:szCs w:val="12"/>
                <w:color w:val="auto"/>
              </w:rPr>
            </w:pPr>
          </w:p>
        </w:tc>
        <w:tc>
          <w:tcPr>
            <w:tcW w:w="880" w:type="dxa"/>
            <w:vAlign w:val="bottom"/>
          </w:tcPr>
          <w:p>
            <w:pPr>
              <w:jc w:val="right"/>
              <w:ind w:right="76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Year ended December 31, 2018</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355,000</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355,000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xml:space="preserve">Narsi Narayanan - </w:t>
            </w:r>
            <w:r>
              <w:rPr>
                <w:rFonts w:ascii="Times New Roman" w:cs="Times New Roman" w:eastAsia="Times New Roman" w:hAnsi="Times New Roman"/>
                <w:sz w:val="12"/>
                <w:szCs w:val="12"/>
                <w:color w:val="auto"/>
              </w:rPr>
              <w:t>Senior Vice President of Finance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Year ended December 31, 2019</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196,500</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196,500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Year ended December 31, 2018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196,500</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196,500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4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5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413" w:right="299" w:bottom="1440" w:gutter="0" w:footer="0" w:header="0"/>
        </w:sectPr>
      </w:pPr>
    </w:p>
    <w:bookmarkStart w:id="11" w:name="page12"/>
    <w:bookmarkEnd w:id="11"/>
    <w:p>
      <w:pPr>
        <w:ind w:left="4024"/>
        <w:spacing w:after="0"/>
        <w:rPr>
          <w:sz w:val="20"/>
          <w:szCs w:val="20"/>
          <w:color w:val="auto"/>
        </w:rPr>
      </w:pPr>
      <w:r>
        <w:rPr>
          <w:rFonts w:ascii="Times New Roman" w:cs="Times New Roman" w:eastAsia="Times New Roman" w:hAnsi="Times New Roman"/>
          <w:sz w:val="12"/>
          <w:szCs w:val="12"/>
          <w:b w:val="1"/>
          <w:bCs w:val="1"/>
          <w:color w:val="auto"/>
        </w:rPr>
        <w:t>OUTSTANDING EQUITY AWARDS AT FISCAL YEAR-END</w:t>
      </w:r>
    </w:p>
    <w:p>
      <w:pPr>
        <w:spacing w:after="0" w:line="154"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2"/>
          <w:szCs w:val="12"/>
          <w:color w:val="auto"/>
        </w:rPr>
        <w:t>The following table provides information on the holdings of stock options by the named executive officers as of December 31, 2019.</w:t>
      </w:r>
    </w:p>
    <w:p>
      <w:pPr>
        <w:spacing w:after="0" w:line="150" w:lineRule="exact"/>
        <w:rPr>
          <w:sz w:val="20"/>
          <w:szCs w:val="20"/>
          <w:color w:val="auto"/>
        </w:rPr>
      </w:pPr>
    </w:p>
    <w:tbl>
      <w:tblPr>
        <w:tblLayout w:type="fixed"/>
        <w:tblInd w:w="4" w:type="dxa"/>
        <w:tblCellMar>
          <w:top w:w="0" w:type="dxa"/>
          <w:left w:w="0" w:type="dxa"/>
          <w:bottom w:w="0" w:type="dxa"/>
          <w:right w:w="0" w:type="dxa"/>
        </w:tblCellMar>
      </w:tblPr>
      <w:tr>
        <w:trPr>
          <w:trHeight w:val="142"/>
        </w:trPr>
        <w:tc>
          <w:tcPr>
            <w:tcW w:w="2000" w:type="dxa"/>
            <w:vAlign w:val="bottom"/>
          </w:tcPr>
          <w:p>
            <w:pPr>
              <w:spacing w:after="0"/>
              <w:rPr>
                <w:sz w:val="12"/>
                <w:szCs w:val="12"/>
                <w:color w:val="auto"/>
              </w:rPr>
            </w:pPr>
          </w:p>
        </w:tc>
        <w:tc>
          <w:tcPr>
            <w:tcW w:w="1740" w:type="dxa"/>
            <w:vAlign w:val="bottom"/>
          </w:tcPr>
          <w:p>
            <w:pPr>
              <w:jc w:val="center"/>
              <w:ind w:left="609"/>
              <w:spacing w:after="0"/>
              <w:rPr>
                <w:sz w:val="20"/>
                <w:szCs w:val="20"/>
                <w:color w:val="auto"/>
              </w:rPr>
            </w:pPr>
            <w:r>
              <w:rPr>
                <w:rFonts w:ascii="Times New Roman" w:cs="Times New Roman" w:eastAsia="Times New Roman" w:hAnsi="Times New Roman"/>
                <w:sz w:val="11"/>
                <w:szCs w:val="11"/>
                <w:b w:val="1"/>
                <w:bCs w:val="1"/>
                <w:color w:val="auto"/>
              </w:rPr>
              <w:t>Number of Securities</w:t>
            </w:r>
          </w:p>
        </w:tc>
        <w:tc>
          <w:tcPr>
            <w:tcW w:w="1820" w:type="dxa"/>
            <w:vAlign w:val="bottom"/>
            <w:vMerge w:val="restart"/>
          </w:tcPr>
          <w:p>
            <w:pPr>
              <w:jc w:val="center"/>
              <w:ind w:left="641"/>
              <w:spacing w:after="0"/>
              <w:rPr>
                <w:sz w:val="20"/>
                <w:szCs w:val="20"/>
                <w:color w:val="auto"/>
              </w:rPr>
            </w:pPr>
            <w:r>
              <w:rPr>
                <w:rFonts w:ascii="Times New Roman" w:cs="Times New Roman" w:eastAsia="Times New Roman" w:hAnsi="Times New Roman"/>
                <w:sz w:val="11"/>
                <w:szCs w:val="11"/>
                <w:b w:val="1"/>
                <w:bCs w:val="1"/>
                <w:color w:val="auto"/>
              </w:rPr>
              <w:t>Number of Securities</w:t>
            </w:r>
          </w:p>
        </w:tc>
        <w:tc>
          <w:tcPr>
            <w:tcW w:w="1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2000" w:type="dxa"/>
            <w:vAlign w:val="bottom"/>
          </w:tcPr>
          <w:p>
            <w:pPr>
              <w:spacing w:after="0"/>
              <w:rPr>
                <w:sz w:val="2"/>
                <w:szCs w:val="2"/>
                <w:color w:val="auto"/>
              </w:rPr>
            </w:pPr>
          </w:p>
        </w:tc>
        <w:tc>
          <w:tcPr>
            <w:tcW w:w="1740" w:type="dxa"/>
            <w:vAlign w:val="bottom"/>
            <w:vMerge w:val="restart"/>
          </w:tcPr>
          <w:p>
            <w:pPr>
              <w:jc w:val="center"/>
              <w:ind w:left="649"/>
              <w:spacing w:after="0"/>
              <w:rPr>
                <w:sz w:val="20"/>
                <w:szCs w:val="20"/>
                <w:color w:val="auto"/>
              </w:rPr>
            </w:pPr>
            <w:r>
              <w:rPr>
                <w:rFonts w:ascii="Times New Roman" w:cs="Times New Roman" w:eastAsia="Times New Roman" w:hAnsi="Times New Roman"/>
                <w:sz w:val="11"/>
                <w:szCs w:val="11"/>
                <w:b w:val="1"/>
                <w:bCs w:val="1"/>
                <w:color w:val="auto"/>
                <w:w w:val="97"/>
              </w:rPr>
              <w:t>Underlying</w:t>
            </w:r>
          </w:p>
        </w:tc>
        <w:tc>
          <w:tcPr>
            <w:tcW w:w="1820" w:type="dxa"/>
            <w:vAlign w:val="bottom"/>
            <w:vMerge w:val="continue"/>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200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1820" w:type="dxa"/>
            <w:vAlign w:val="bottom"/>
            <w:vMerge w:val="restart"/>
          </w:tcPr>
          <w:p>
            <w:pPr>
              <w:jc w:val="center"/>
              <w:ind w:left="641"/>
              <w:spacing w:after="0"/>
              <w:rPr>
                <w:sz w:val="20"/>
                <w:szCs w:val="20"/>
                <w:color w:val="auto"/>
              </w:rPr>
            </w:pPr>
            <w:r>
              <w:rPr>
                <w:rFonts w:ascii="Times New Roman" w:cs="Times New Roman" w:eastAsia="Times New Roman" w:hAnsi="Times New Roman"/>
                <w:sz w:val="11"/>
                <w:szCs w:val="11"/>
                <w:b w:val="1"/>
                <w:bCs w:val="1"/>
                <w:color w:val="auto"/>
                <w:w w:val="97"/>
              </w:rPr>
              <w:t>Underlying</w:t>
            </w:r>
          </w:p>
        </w:tc>
        <w:tc>
          <w:tcPr>
            <w:tcW w:w="1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000" w:type="dxa"/>
            <w:vAlign w:val="bottom"/>
            <w:vMerge w:val="restart"/>
          </w:tcPr>
          <w:p>
            <w:pPr>
              <w:ind w:left="10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1740" w:type="dxa"/>
            <w:vAlign w:val="bottom"/>
            <w:vMerge w:val="restart"/>
          </w:tcPr>
          <w:p>
            <w:pPr>
              <w:jc w:val="center"/>
              <w:ind w:left="609"/>
              <w:spacing w:after="0"/>
              <w:rPr>
                <w:sz w:val="20"/>
                <w:szCs w:val="20"/>
                <w:color w:val="auto"/>
              </w:rPr>
            </w:pPr>
            <w:r>
              <w:rPr>
                <w:rFonts w:ascii="Times New Roman" w:cs="Times New Roman" w:eastAsia="Times New Roman" w:hAnsi="Times New Roman"/>
                <w:sz w:val="11"/>
                <w:szCs w:val="11"/>
                <w:b w:val="1"/>
                <w:bCs w:val="1"/>
                <w:color w:val="auto"/>
                <w:w w:val="97"/>
              </w:rPr>
              <w:t>Unexercised</w:t>
            </w:r>
          </w:p>
        </w:tc>
        <w:tc>
          <w:tcPr>
            <w:tcW w:w="1820" w:type="dxa"/>
            <w:vAlign w:val="bottom"/>
            <w:vMerge w:val="continue"/>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80" w:type="dxa"/>
            <w:vAlign w:val="bottom"/>
            <w:vMerge w:val="restart"/>
          </w:tcPr>
          <w:p>
            <w:pPr>
              <w:jc w:val="center"/>
              <w:ind w:right="262"/>
              <w:spacing w:after="0"/>
              <w:rPr>
                <w:sz w:val="20"/>
                <w:szCs w:val="20"/>
                <w:color w:val="auto"/>
              </w:rPr>
            </w:pPr>
            <w:r>
              <w:rPr>
                <w:rFonts w:ascii="Times New Roman" w:cs="Times New Roman" w:eastAsia="Times New Roman" w:hAnsi="Times New Roman"/>
                <w:sz w:val="11"/>
                <w:szCs w:val="11"/>
                <w:b w:val="1"/>
                <w:bCs w:val="1"/>
                <w:color w:val="auto"/>
                <w:w w:val="96"/>
              </w:rPr>
              <w:t>Option</w:t>
            </w:r>
          </w:p>
        </w:tc>
        <w:tc>
          <w:tcPr>
            <w:tcW w:w="0" w:type="dxa"/>
            <w:vAlign w:val="bottom"/>
          </w:tcPr>
          <w:p>
            <w:pPr>
              <w:spacing w:after="0" w:line="20" w:lineRule="exact"/>
              <w:rPr>
                <w:sz w:val="1"/>
                <w:szCs w:val="1"/>
                <w:color w:val="auto"/>
              </w:rPr>
            </w:pPr>
          </w:p>
        </w:tc>
      </w:tr>
      <w:tr>
        <w:trPr>
          <w:trHeight w:val="110"/>
        </w:trPr>
        <w:tc>
          <w:tcPr>
            <w:tcW w:w="200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1820" w:type="dxa"/>
            <w:vAlign w:val="bottom"/>
          </w:tcPr>
          <w:p>
            <w:pPr>
              <w:jc w:val="center"/>
              <w:ind w:left="641"/>
              <w:spacing w:after="0" w:line="111" w:lineRule="exact"/>
              <w:rPr>
                <w:sz w:val="20"/>
                <w:szCs w:val="20"/>
                <w:color w:val="auto"/>
              </w:rPr>
            </w:pPr>
            <w:r>
              <w:rPr>
                <w:rFonts w:ascii="Times New Roman" w:cs="Times New Roman" w:eastAsia="Times New Roman" w:hAnsi="Times New Roman"/>
                <w:sz w:val="11"/>
                <w:szCs w:val="11"/>
                <w:b w:val="1"/>
                <w:bCs w:val="1"/>
                <w:color w:val="auto"/>
                <w:w w:val="98"/>
              </w:rPr>
              <w:t>Unexercised Options</w:t>
            </w:r>
          </w:p>
        </w:tc>
        <w:tc>
          <w:tcPr>
            <w:tcW w:w="1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00" w:type="dxa"/>
            <w:vAlign w:val="bottom"/>
          </w:tcPr>
          <w:p>
            <w:pPr>
              <w:spacing w:after="0"/>
              <w:rPr>
                <w:sz w:val="17"/>
                <w:szCs w:val="17"/>
                <w:color w:val="auto"/>
              </w:rPr>
            </w:pPr>
          </w:p>
        </w:tc>
        <w:tc>
          <w:tcPr>
            <w:tcW w:w="1740" w:type="dxa"/>
            <w:vAlign w:val="bottom"/>
          </w:tcPr>
          <w:p>
            <w:pPr>
              <w:jc w:val="center"/>
              <w:ind w:left="609"/>
              <w:spacing w:after="0"/>
              <w:rPr>
                <w:sz w:val="20"/>
                <w:szCs w:val="20"/>
                <w:color w:val="auto"/>
              </w:rPr>
            </w:pPr>
            <w:r>
              <w:rPr>
                <w:rFonts w:ascii="Times New Roman" w:cs="Times New Roman" w:eastAsia="Times New Roman" w:hAnsi="Times New Roman"/>
                <w:sz w:val="11"/>
                <w:szCs w:val="11"/>
                <w:b w:val="1"/>
                <w:bCs w:val="1"/>
                <w:color w:val="auto"/>
                <w:w w:val="96"/>
              </w:rPr>
              <w:t>Options</w:t>
            </w:r>
          </w:p>
        </w:tc>
        <w:tc>
          <w:tcPr>
            <w:tcW w:w="1820" w:type="dxa"/>
            <w:vAlign w:val="bottom"/>
          </w:tcPr>
          <w:p>
            <w:pPr>
              <w:jc w:val="center"/>
              <w:ind w:left="681"/>
              <w:spacing w:after="0"/>
              <w:rPr>
                <w:sz w:val="20"/>
                <w:szCs w:val="20"/>
                <w:color w:val="auto"/>
              </w:rPr>
            </w:pPr>
            <w:r>
              <w:rPr>
                <w:rFonts w:ascii="Times New Roman" w:cs="Times New Roman" w:eastAsia="Times New Roman" w:hAnsi="Times New Roman"/>
                <w:sz w:val="11"/>
                <w:szCs w:val="11"/>
                <w:b w:val="1"/>
                <w:bCs w:val="1"/>
                <w:color w:val="auto"/>
                <w:w w:val="95"/>
              </w:rPr>
              <w:t>Unexercisable</w:t>
            </w:r>
            <w:r>
              <w:rPr>
                <w:rFonts w:ascii="Times New Roman" w:cs="Times New Roman" w:eastAsia="Times New Roman" w:hAnsi="Times New Roman"/>
                <w:sz w:val="17"/>
                <w:szCs w:val="17"/>
                <w:b w:val="1"/>
                <w:bCs w:val="1"/>
                <w:color w:val="auto"/>
                <w:w w:val="95"/>
                <w:vertAlign w:val="superscript"/>
              </w:rPr>
              <w:t>(1)</w:t>
            </w:r>
          </w:p>
        </w:tc>
        <w:tc>
          <w:tcPr>
            <w:tcW w:w="1700" w:type="dxa"/>
            <w:vAlign w:val="bottom"/>
          </w:tcPr>
          <w:p>
            <w:pPr>
              <w:jc w:val="right"/>
              <w:ind w:right="22"/>
              <w:spacing w:after="0"/>
              <w:rPr>
                <w:sz w:val="20"/>
                <w:szCs w:val="20"/>
                <w:color w:val="auto"/>
              </w:rPr>
            </w:pPr>
            <w:r>
              <w:rPr>
                <w:rFonts w:ascii="Times New Roman" w:cs="Times New Roman" w:eastAsia="Times New Roman" w:hAnsi="Times New Roman"/>
                <w:sz w:val="11"/>
                <w:szCs w:val="11"/>
                <w:b w:val="1"/>
                <w:bCs w:val="1"/>
                <w:color w:val="auto"/>
              </w:rPr>
              <w:t>Option Exercise</w:t>
            </w:r>
          </w:p>
        </w:tc>
        <w:tc>
          <w:tcPr>
            <w:tcW w:w="720" w:type="dxa"/>
            <w:vAlign w:val="bottom"/>
          </w:tcPr>
          <w:p>
            <w:pPr>
              <w:spacing w:after="0"/>
              <w:rPr>
                <w:sz w:val="17"/>
                <w:szCs w:val="17"/>
                <w:color w:val="auto"/>
              </w:rPr>
            </w:pPr>
          </w:p>
        </w:tc>
        <w:tc>
          <w:tcPr>
            <w:tcW w:w="1840" w:type="dxa"/>
            <w:vAlign w:val="bottom"/>
          </w:tcPr>
          <w:p>
            <w:pPr>
              <w:jc w:val="right"/>
              <w:ind w:right="842"/>
              <w:spacing w:after="0"/>
              <w:rPr>
                <w:sz w:val="20"/>
                <w:szCs w:val="20"/>
                <w:color w:val="auto"/>
              </w:rPr>
            </w:pPr>
            <w:r>
              <w:rPr>
                <w:rFonts w:ascii="Times New Roman" w:cs="Times New Roman" w:eastAsia="Times New Roman" w:hAnsi="Times New Roman"/>
                <w:sz w:val="11"/>
                <w:szCs w:val="11"/>
                <w:b w:val="1"/>
                <w:bCs w:val="1"/>
                <w:color w:val="auto"/>
              </w:rPr>
              <w:t>Option Grant</w:t>
            </w:r>
          </w:p>
        </w:tc>
        <w:tc>
          <w:tcPr>
            <w:tcW w:w="1480" w:type="dxa"/>
            <w:vAlign w:val="bottom"/>
          </w:tcPr>
          <w:p>
            <w:pPr>
              <w:jc w:val="center"/>
              <w:ind w:right="242"/>
              <w:spacing w:after="0"/>
              <w:rPr>
                <w:sz w:val="20"/>
                <w:szCs w:val="20"/>
                <w:color w:val="auto"/>
              </w:rPr>
            </w:pPr>
            <w:r>
              <w:rPr>
                <w:rFonts w:ascii="Times New Roman" w:cs="Times New Roman" w:eastAsia="Times New Roman" w:hAnsi="Times New Roman"/>
                <w:sz w:val="11"/>
                <w:szCs w:val="11"/>
                <w:b w:val="1"/>
                <w:bCs w:val="1"/>
                <w:color w:val="auto"/>
                <w:w w:val="98"/>
              </w:rPr>
              <w:t>Expiration</w:t>
            </w:r>
          </w:p>
        </w:tc>
        <w:tc>
          <w:tcPr>
            <w:tcW w:w="0" w:type="dxa"/>
            <w:vAlign w:val="bottom"/>
          </w:tcPr>
          <w:p>
            <w:pPr>
              <w:spacing w:after="0"/>
              <w:rPr>
                <w:sz w:val="1"/>
                <w:szCs w:val="1"/>
                <w:color w:val="auto"/>
              </w:rPr>
            </w:pPr>
          </w:p>
        </w:tc>
      </w:tr>
      <w:tr>
        <w:trPr>
          <w:trHeight w:val="72"/>
        </w:trPr>
        <w:tc>
          <w:tcPr>
            <w:tcW w:w="200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tcPr>
          <w:p>
            <w:pPr>
              <w:jc w:val="center"/>
              <w:ind w:left="649"/>
              <w:spacing w:after="0" w:line="72" w:lineRule="exact"/>
              <w:rPr>
                <w:sz w:val="20"/>
                <w:szCs w:val="20"/>
                <w:color w:val="auto"/>
              </w:rPr>
            </w:pPr>
            <w:r>
              <w:rPr>
                <w:rFonts w:ascii="Times New Roman" w:cs="Times New Roman" w:eastAsia="Times New Roman" w:hAnsi="Times New Roman"/>
                <w:sz w:val="8"/>
                <w:szCs w:val="8"/>
                <w:b w:val="1"/>
                <w:bCs w:val="1"/>
                <w:color w:val="auto"/>
              </w:rPr>
              <w:t>Exercisable</w:t>
            </w:r>
          </w:p>
        </w:tc>
        <w:tc>
          <w:tcPr>
            <w:tcW w:w="182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jc w:val="right"/>
              <w:ind w:right="182"/>
              <w:spacing w:after="0" w:line="72" w:lineRule="exact"/>
              <w:rPr>
                <w:sz w:val="20"/>
                <w:szCs w:val="20"/>
                <w:color w:val="auto"/>
              </w:rPr>
            </w:pPr>
            <w:r>
              <w:rPr>
                <w:rFonts w:ascii="Times New Roman" w:cs="Times New Roman" w:eastAsia="Times New Roman" w:hAnsi="Times New Roman"/>
                <w:sz w:val="8"/>
                <w:szCs w:val="8"/>
                <w:b w:val="1"/>
                <w:bCs w:val="1"/>
                <w:color w:val="auto"/>
              </w:rPr>
              <w:t>Price ($)</w:t>
            </w:r>
          </w:p>
        </w:tc>
        <w:tc>
          <w:tcPr>
            <w:tcW w:w="72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jc w:val="right"/>
              <w:ind w:right="1042"/>
              <w:spacing w:after="0" w:line="72" w:lineRule="exact"/>
              <w:rPr>
                <w:sz w:val="20"/>
                <w:szCs w:val="20"/>
                <w:color w:val="auto"/>
              </w:rPr>
            </w:pPr>
            <w:r>
              <w:rPr>
                <w:rFonts w:ascii="Times New Roman" w:cs="Times New Roman" w:eastAsia="Times New Roman" w:hAnsi="Times New Roman"/>
                <w:sz w:val="8"/>
                <w:szCs w:val="8"/>
                <w:b w:val="1"/>
                <w:bCs w:val="1"/>
                <w:color w:val="auto"/>
              </w:rPr>
              <w:t>Date</w:t>
            </w:r>
          </w:p>
        </w:tc>
        <w:tc>
          <w:tcPr>
            <w:tcW w:w="1480" w:type="dxa"/>
            <w:vAlign w:val="bottom"/>
            <w:tcBorders>
              <w:bottom w:val="single" w:sz="8" w:color="auto"/>
            </w:tcBorders>
          </w:tcPr>
          <w:p>
            <w:pPr>
              <w:jc w:val="center"/>
              <w:ind w:right="242"/>
              <w:spacing w:after="0" w:line="72" w:lineRule="exact"/>
              <w:rPr>
                <w:sz w:val="20"/>
                <w:szCs w:val="20"/>
                <w:color w:val="auto"/>
              </w:rPr>
            </w:pPr>
            <w:r>
              <w:rPr>
                <w:rFonts w:ascii="Times New Roman" w:cs="Times New Roman" w:eastAsia="Times New Roman" w:hAnsi="Times New Roman"/>
                <w:sz w:val="8"/>
                <w:szCs w:val="8"/>
                <w:b w:val="1"/>
                <w:bCs w:val="1"/>
                <w:color w:val="auto"/>
              </w:rPr>
              <w:t>Date</w:t>
            </w:r>
          </w:p>
        </w:tc>
        <w:tc>
          <w:tcPr>
            <w:tcW w:w="0" w:type="dxa"/>
            <w:vAlign w:val="bottom"/>
          </w:tcPr>
          <w:p>
            <w:pPr>
              <w:spacing w:after="0"/>
              <w:rPr>
                <w:sz w:val="1"/>
                <w:szCs w:val="1"/>
                <w:color w:val="auto"/>
              </w:rPr>
            </w:pPr>
          </w:p>
        </w:tc>
      </w:tr>
      <w:tr>
        <w:trPr>
          <w:trHeight w:val="133"/>
        </w:trPr>
        <w:tc>
          <w:tcPr>
            <w:tcW w:w="20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Zeynep Hakimoglu</w:t>
            </w:r>
          </w:p>
        </w:tc>
        <w:tc>
          <w:tcPr>
            <w:tcW w:w="1740" w:type="dxa"/>
            <w:vAlign w:val="bottom"/>
            <w:shd w:val="clear" w:color="auto" w:fill="CCEEFF"/>
          </w:tcPr>
          <w:p>
            <w:pPr>
              <w:spacing w:after="0"/>
              <w:rPr>
                <w:sz w:val="11"/>
                <w:szCs w:val="11"/>
                <w:color w:val="auto"/>
              </w:rPr>
            </w:pPr>
          </w:p>
        </w:tc>
        <w:tc>
          <w:tcPr>
            <w:tcW w:w="1820" w:type="dxa"/>
            <w:vAlign w:val="bottom"/>
            <w:shd w:val="clear" w:color="auto" w:fill="CCEEFF"/>
          </w:tcPr>
          <w:p>
            <w:pPr>
              <w:jc w:val="right"/>
              <w:ind w:right="1401"/>
              <w:spacing w:after="0" w:line="133" w:lineRule="exact"/>
              <w:rPr>
                <w:sz w:val="20"/>
                <w:szCs w:val="20"/>
                <w:color w:val="auto"/>
              </w:rPr>
            </w:pPr>
            <w:r>
              <w:rPr>
                <w:rFonts w:ascii="Times New Roman" w:cs="Times New Roman" w:eastAsia="Times New Roman" w:hAnsi="Times New Roman"/>
                <w:sz w:val="12"/>
                <w:szCs w:val="12"/>
                <w:color w:val="auto"/>
              </w:rPr>
              <w:t>10,000</w:t>
            </w:r>
          </w:p>
        </w:tc>
        <w:tc>
          <w:tcPr>
            <w:tcW w:w="1700" w:type="dxa"/>
            <w:vAlign w:val="bottom"/>
            <w:shd w:val="clear" w:color="auto" w:fill="CCEEFF"/>
          </w:tcPr>
          <w:p>
            <w:pPr>
              <w:jc w:val="right"/>
              <w:ind w:right="1302"/>
              <w:spacing w:after="0" w:line="133"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3.004</w:t>
            </w:r>
          </w:p>
        </w:tc>
        <w:tc>
          <w:tcPr>
            <w:tcW w:w="1840" w:type="dxa"/>
            <w:vAlign w:val="bottom"/>
            <w:shd w:val="clear" w:color="auto" w:fill="CCEEFF"/>
          </w:tcPr>
          <w:p>
            <w:pPr>
              <w:jc w:val="right"/>
              <w:ind w:right="262"/>
              <w:spacing w:after="0" w:line="133" w:lineRule="exact"/>
              <w:rPr>
                <w:sz w:val="20"/>
                <w:szCs w:val="20"/>
                <w:color w:val="auto"/>
              </w:rPr>
            </w:pPr>
            <w:r>
              <w:rPr>
                <w:rFonts w:ascii="Times New Roman" w:cs="Times New Roman" w:eastAsia="Times New Roman" w:hAnsi="Times New Roman"/>
                <w:sz w:val="12"/>
                <w:szCs w:val="12"/>
                <w:color w:val="auto"/>
              </w:rPr>
              <w:t>05-26-2010</w:t>
            </w:r>
          </w:p>
        </w:tc>
        <w:tc>
          <w:tcPr>
            <w:tcW w:w="1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05-26-2020</w:t>
            </w:r>
          </w:p>
        </w:tc>
        <w:tc>
          <w:tcPr>
            <w:tcW w:w="0" w:type="dxa"/>
            <w:vAlign w:val="bottom"/>
          </w:tcPr>
          <w:p>
            <w:pPr>
              <w:spacing w:after="0"/>
              <w:rPr>
                <w:sz w:val="1"/>
                <w:szCs w:val="1"/>
                <w:color w:val="auto"/>
              </w:rPr>
            </w:pPr>
          </w:p>
        </w:tc>
      </w:tr>
      <w:tr>
        <w:trPr>
          <w:trHeight w:val="144"/>
        </w:trPr>
        <w:tc>
          <w:tcPr>
            <w:tcW w:w="2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20" w:type="dxa"/>
            <w:vAlign w:val="bottom"/>
          </w:tcPr>
          <w:p>
            <w:pPr>
              <w:jc w:val="right"/>
              <w:ind w:right="1401"/>
              <w:spacing w:after="0"/>
              <w:rPr>
                <w:sz w:val="20"/>
                <w:szCs w:val="20"/>
                <w:color w:val="auto"/>
              </w:rPr>
            </w:pPr>
            <w:r>
              <w:rPr>
                <w:rFonts w:ascii="Times New Roman" w:cs="Times New Roman" w:eastAsia="Times New Roman" w:hAnsi="Times New Roman"/>
                <w:sz w:val="12"/>
                <w:szCs w:val="12"/>
                <w:color w:val="auto"/>
              </w:rPr>
              <w:t>10,000</w:t>
            </w:r>
          </w:p>
        </w:tc>
        <w:tc>
          <w:tcPr>
            <w:tcW w:w="1700" w:type="dxa"/>
            <w:vAlign w:val="bottom"/>
          </w:tcPr>
          <w:p>
            <w:pPr>
              <w:jc w:val="right"/>
              <w:ind w:right="1302"/>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5.480</w:t>
            </w:r>
          </w:p>
        </w:tc>
        <w:tc>
          <w:tcPr>
            <w:tcW w:w="1840" w:type="dxa"/>
            <w:vAlign w:val="bottom"/>
          </w:tcPr>
          <w:p>
            <w:pPr>
              <w:jc w:val="right"/>
              <w:ind w:right="262"/>
              <w:spacing w:after="0"/>
              <w:rPr>
                <w:sz w:val="20"/>
                <w:szCs w:val="20"/>
                <w:color w:val="auto"/>
              </w:rPr>
            </w:pPr>
            <w:r>
              <w:rPr>
                <w:rFonts w:ascii="Times New Roman" w:cs="Times New Roman" w:eastAsia="Times New Roman" w:hAnsi="Times New Roman"/>
                <w:sz w:val="12"/>
                <w:szCs w:val="12"/>
                <w:color w:val="auto"/>
              </w:rPr>
              <w:t>08-05-2011</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08-05-2021</w:t>
            </w:r>
          </w:p>
        </w:tc>
        <w:tc>
          <w:tcPr>
            <w:tcW w:w="0" w:type="dxa"/>
            <w:vAlign w:val="bottom"/>
          </w:tcPr>
          <w:p>
            <w:pPr>
              <w:spacing w:after="0"/>
              <w:rPr>
                <w:sz w:val="1"/>
                <w:szCs w:val="1"/>
                <w:color w:val="auto"/>
              </w:rPr>
            </w:pPr>
          </w:p>
        </w:tc>
      </w:tr>
      <w:tr>
        <w:trPr>
          <w:trHeight w:val="144"/>
        </w:trPr>
        <w:tc>
          <w:tcPr>
            <w:tcW w:w="20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20" w:type="dxa"/>
            <w:vAlign w:val="bottom"/>
            <w:shd w:val="clear" w:color="auto" w:fill="CCEEFF"/>
          </w:tcPr>
          <w:p>
            <w:pPr>
              <w:jc w:val="right"/>
              <w:ind w:right="1401"/>
              <w:spacing w:after="0"/>
              <w:rPr>
                <w:sz w:val="20"/>
                <w:szCs w:val="20"/>
                <w:color w:val="auto"/>
              </w:rPr>
            </w:pPr>
            <w:r>
              <w:rPr>
                <w:rFonts w:ascii="Times New Roman" w:cs="Times New Roman" w:eastAsia="Times New Roman" w:hAnsi="Times New Roman"/>
                <w:sz w:val="12"/>
                <w:szCs w:val="12"/>
                <w:color w:val="auto"/>
              </w:rPr>
              <w:t>25,000</w:t>
            </w:r>
          </w:p>
        </w:tc>
        <w:tc>
          <w:tcPr>
            <w:tcW w:w="1700" w:type="dxa"/>
            <w:vAlign w:val="bottom"/>
            <w:shd w:val="clear" w:color="auto" w:fill="CCEEFF"/>
          </w:tcPr>
          <w:p>
            <w:pPr>
              <w:jc w:val="right"/>
              <w:ind w:right="1302"/>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3.920</w:t>
            </w:r>
          </w:p>
        </w:tc>
        <w:tc>
          <w:tcPr>
            <w:tcW w:w="184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2"/>
                <w:szCs w:val="12"/>
                <w:color w:val="auto"/>
              </w:rPr>
              <w:t>05-11-2012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05-11-2022</w:t>
            </w:r>
          </w:p>
        </w:tc>
        <w:tc>
          <w:tcPr>
            <w:tcW w:w="0" w:type="dxa"/>
            <w:vAlign w:val="bottom"/>
          </w:tcPr>
          <w:p>
            <w:pPr>
              <w:spacing w:after="0"/>
              <w:rPr>
                <w:sz w:val="1"/>
                <w:szCs w:val="1"/>
                <w:color w:val="auto"/>
              </w:rPr>
            </w:pPr>
          </w:p>
        </w:tc>
      </w:tr>
      <w:tr>
        <w:trPr>
          <w:trHeight w:val="144"/>
        </w:trPr>
        <w:tc>
          <w:tcPr>
            <w:tcW w:w="2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20" w:type="dxa"/>
            <w:vAlign w:val="bottom"/>
          </w:tcPr>
          <w:p>
            <w:pPr>
              <w:jc w:val="right"/>
              <w:ind w:right="1401"/>
              <w:spacing w:after="0"/>
              <w:rPr>
                <w:sz w:val="20"/>
                <w:szCs w:val="20"/>
                <w:color w:val="auto"/>
              </w:rPr>
            </w:pPr>
            <w:r>
              <w:rPr>
                <w:rFonts w:ascii="Times New Roman" w:cs="Times New Roman" w:eastAsia="Times New Roman" w:hAnsi="Times New Roman"/>
                <w:sz w:val="12"/>
                <w:szCs w:val="12"/>
                <w:color w:val="auto"/>
              </w:rPr>
              <w:t>25,000</w:t>
            </w:r>
          </w:p>
        </w:tc>
        <w:tc>
          <w:tcPr>
            <w:tcW w:w="1700" w:type="dxa"/>
            <w:vAlign w:val="bottom"/>
          </w:tcPr>
          <w:p>
            <w:pPr>
              <w:jc w:val="right"/>
              <w:ind w:right="1302"/>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8.220</w:t>
            </w:r>
          </w:p>
        </w:tc>
        <w:tc>
          <w:tcPr>
            <w:tcW w:w="1840" w:type="dxa"/>
            <w:vAlign w:val="bottom"/>
          </w:tcPr>
          <w:p>
            <w:pPr>
              <w:jc w:val="right"/>
              <w:ind w:right="262"/>
              <w:spacing w:after="0"/>
              <w:rPr>
                <w:sz w:val="20"/>
                <w:szCs w:val="20"/>
                <w:color w:val="auto"/>
              </w:rPr>
            </w:pPr>
            <w:r>
              <w:rPr>
                <w:rFonts w:ascii="Times New Roman" w:cs="Times New Roman" w:eastAsia="Times New Roman" w:hAnsi="Times New Roman"/>
                <w:sz w:val="12"/>
                <w:szCs w:val="12"/>
                <w:color w:val="auto"/>
              </w:rPr>
              <w:t>08-22-2013</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08-22-2023</w:t>
            </w:r>
          </w:p>
        </w:tc>
        <w:tc>
          <w:tcPr>
            <w:tcW w:w="0" w:type="dxa"/>
            <w:vAlign w:val="bottom"/>
          </w:tcPr>
          <w:p>
            <w:pPr>
              <w:spacing w:after="0"/>
              <w:rPr>
                <w:sz w:val="1"/>
                <w:szCs w:val="1"/>
                <w:color w:val="auto"/>
              </w:rPr>
            </w:pPr>
          </w:p>
        </w:tc>
      </w:tr>
      <w:tr>
        <w:trPr>
          <w:trHeight w:val="144"/>
        </w:trPr>
        <w:tc>
          <w:tcPr>
            <w:tcW w:w="20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20" w:type="dxa"/>
            <w:vAlign w:val="bottom"/>
            <w:shd w:val="clear" w:color="auto" w:fill="CCEEFF"/>
          </w:tcPr>
          <w:p>
            <w:pPr>
              <w:jc w:val="right"/>
              <w:ind w:right="1401"/>
              <w:spacing w:after="0"/>
              <w:rPr>
                <w:sz w:val="20"/>
                <w:szCs w:val="20"/>
                <w:color w:val="auto"/>
              </w:rPr>
            </w:pPr>
            <w:r>
              <w:rPr>
                <w:rFonts w:ascii="Times New Roman" w:cs="Times New Roman" w:eastAsia="Times New Roman" w:hAnsi="Times New Roman"/>
                <w:sz w:val="12"/>
                <w:szCs w:val="12"/>
                <w:color w:val="auto"/>
              </w:rPr>
              <w:t>40,000</w:t>
            </w:r>
          </w:p>
        </w:tc>
        <w:tc>
          <w:tcPr>
            <w:tcW w:w="1700" w:type="dxa"/>
            <w:vAlign w:val="bottom"/>
            <w:shd w:val="clear" w:color="auto" w:fill="CCEEFF"/>
          </w:tcPr>
          <w:p>
            <w:pPr>
              <w:jc w:val="right"/>
              <w:ind w:right="1302"/>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8.340</w:t>
            </w:r>
          </w:p>
        </w:tc>
        <w:tc>
          <w:tcPr>
            <w:tcW w:w="184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2"/>
                <w:szCs w:val="12"/>
                <w:color w:val="auto"/>
              </w:rPr>
              <w:t>09-12-2014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09-12-2024</w:t>
            </w:r>
          </w:p>
        </w:tc>
        <w:tc>
          <w:tcPr>
            <w:tcW w:w="0" w:type="dxa"/>
            <w:vAlign w:val="bottom"/>
          </w:tcPr>
          <w:p>
            <w:pPr>
              <w:spacing w:after="0"/>
              <w:rPr>
                <w:sz w:val="1"/>
                <w:szCs w:val="1"/>
                <w:color w:val="auto"/>
              </w:rPr>
            </w:pPr>
          </w:p>
        </w:tc>
      </w:tr>
      <w:tr>
        <w:trPr>
          <w:trHeight w:val="144"/>
        </w:trPr>
        <w:tc>
          <w:tcPr>
            <w:tcW w:w="2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20" w:type="dxa"/>
            <w:vAlign w:val="bottom"/>
          </w:tcPr>
          <w:p>
            <w:pPr>
              <w:jc w:val="right"/>
              <w:ind w:right="1401"/>
              <w:spacing w:after="0"/>
              <w:rPr>
                <w:sz w:val="20"/>
                <w:szCs w:val="20"/>
                <w:color w:val="auto"/>
              </w:rPr>
            </w:pPr>
            <w:r>
              <w:rPr>
                <w:rFonts w:ascii="Times New Roman" w:cs="Times New Roman" w:eastAsia="Times New Roman" w:hAnsi="Times New Roman"/>
                <w:sz w:val="12"/>
                <w:szCs w:val="12"/>
                <w:color w:val="auto"/>
              </w:rPr>
              <w:t>50,000</w:t>
            </w:r>
          </w:p>
        </w:tc>
        <w:tc>
          <w:tcPr>
            <w:tcW w:w="1700" w:type="dxa"/>
            <w:vAlign w:val="bottom"/>
          </w:tcPr>
          <w:p>
            <w:pPr>
              <w:jc w:val="right"/>
              <w:ind w:right="1302"/>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11.960</w:t>
            </w:r>
          </w:p>
        </w:tc>
        <w:tc>
          <w:tcPr>
            <w:tcW w:w="1840" w:type="dxa"/>
            <w:vAlign w:val="bottom"/>
          </w:tcPr>
          <w:p>
            <w:pPr>
              <w:jc w:val="right"/>
              <w:ind w:right="262"/>
              <w:spacing w:after="0"/>
              <w:rPr>
                <w:sz w:val="20"/>
                <w:szCs w:val="20"/>
                <w:color w:val="auto"/>
              </w:rPr>
            </w:pPr>
            <w:r>
              <w:rPr>
                <w:rFonts w:ascii="Times New Roman" w:cs="Times New Roman" w:eastAsia="Times New Roman" w:hAnsi="Times New Roman"/>
                <w:sz w:val="12"/>
                <w:szCs w:val="12"/>
                <w:color w:val="auto"/>
              </w:rPr>
              <w:t>03-11-2016</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03-11-2026</w:t>
            </w:r>
          </w:p>
        </w:tc>
        <w:tc>
          <w:tcPr>
            <w:tcW w:w="0" w:type="dxa"/>
            <w:vAlign w:val="bottom"/>
          </w:tcPr>
          <w:p>
            <w:pPr>
              <w:spacing w:after="0"/>
              <w:rPr>
                <w:sz w:val="1"/>
                <w:szCs w:val="1"/>
                <w:color w:val="auto"/>
              </w:rPr>
            </w:pPr>
          </w:p>
        </w:tc>
      </w:tr>
      <w:tr>
        <w:trPr>
          <w:trHeight w:val="144"/>
        </w:trPr>
        <w:tc>
          <w:tcPr>
            <w:tcW w:w="20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20" w:type="dxa"/>
            <w:vAlign w:val="bottom"/>
            <w:shd w:val="clear" w:color="auto" w:fill="CCEEFF"/>
          </w:tcPr>
          <w:p>
            <w:pPr>
              <w:jc w:val="right"/>
              <w:ind w:right="1401"/>
              <w:spacing w:after="0"/>
              <w:rPr>
                <w:sz w:val="20"/>
                <w:szCs w:val="20"/>
                <w:color w:val="auto"/>
              </w:rPr>
            </w:pPr>
            <w:r>
              <w:rPr>
                <w:rFonts w:ascii="Times New Roman" w:cs="Times New Roman" w:eastAsia="Times New Roman" w:hAnsi="Times New Roman"/>
                <w:sz w:val="12"/>
                <w:szCs w:val="12"/>
                <w:color w:val="auto"/>
              </w:rPr>
              <w:t>10,000</w:t>
            </w:r>
          </w:p>
        </w:tc>
        <w:tc>
          <w:tcPr>
            <w:tcW w:w="1700" w:type="dxa"/>
            <w:vAlign w:val="bottom"/>
            <w:shd w:val="clear" w:color="auto" w:fill="CCEEFF"/>
          </w:tcPr>
          <w:p>
            <w:pPr>
              <w:jc w:val="right"/>
              <w:ind w:right="1302"/>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11.000</w:t>
            </w:r>
          </w:p>
        </w:tc>
        <w:tc>
          <w:tcPr>
            <w:tcW w:w="184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2"/>
                <w:szCs w:val="12"/>
                <w:color w:val="auto"/>
              </w:rPr>
              <w:t>12-14-2016</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12-14-2026</w:t>
            </w:r>
          </w:p>
        </w:tc>
        <w:tc>
          <w:tcPr>
            <w:tcW w:w="0" w:type="dxa"/>
            <w:vAlign w:val="bottom"/>
          </w:tcPr>
          <w:p>
            <w:pPr>
              <w:spacing w:after="0"/>
              <w:rPr>
                <w:sz w:val="1"/>
                <w:szCs w:val="1"/>
                <w:color w:val="auto"/>
              </w:rPr>
            </w:pPr>
          </w:p>
        </w:tc>
      </w:tr>
      <w:tr>
        <w:trPr>
          <w:trHeight w:val="144"/>
        </w:trPr>
        <w:tc>
          <w:tcPr>
            <w:tcW w:w="20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right"/>
              <w:ind w:right="1401"/>
              <w:spacing w:after="0"/>
              <w:rPr>
                <w:sz w:val="20"/>
                <w:szCs w:val="20"/>
                <w:color w:val="auto"/>
              </w:rPr>
            </w:pPr>
            <w:r>
              <w:rPr>
                <w:rFonts w:ascii="Times New Roman" w:cs="Times New Roman" w:eastAsia="Times New Roman" w:hAnsi="Times New Roman"/>
                <w:sz w:val="12"/>
                <w:szCs w:val="12"/>
                <w:color w:val="auto"/>
              </w:rPr>
              <w:t>33,333</w:t>
            </w:r>
          </w:p>
        </w:tc>
        <w:tc>
          <w:tcPr>
            <w:tcW w:w="1700" w:type="dxa"/>
            <w:vAlign w:val="bottom"/>
            <w:tcBorders>
              <w:bottom w:val="single" w:sz="8" w:color="auto"/>
            </w:tcBorders>
          </w:tcPr>
          <w:p>
            <w:pPr>
              <w:jc w:val="right"/>
              <w:ind w:right="1302"/>
              <w:spacing w:after="0"/>
              <w:rPr>
                <w:sz w:val="20"/>
                <w:szCs w:val="20"/>
                <w:color w:val="auto"/>
              </w:rPr>
            </w:pPr>
            <w:r>
              <w:rPr>
                <w:rFonts w:ascii="Times New Roman" w:cs="Times New Roman" w:eastAsia="Times New Roman" w:hAnsi="Times New Roman"/>
                <w:sz w:val="12"/>
                <w:szCs w:val="12"/>
                <w:color w:val="auto"/>
              </w:rPr>
              <w:t>6,667</w:t>
            </w:r>
          </w:p>
        </w:tc>
        <w:tc>
          <w:tcPr>
            <w:tcW w:w="7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rPr>
              <w:t>9.900</w:t>
            </w:r>
          </w:p>
        </w:tc>
        <w:tc>
          <w:tcPr>
            <w:tcW w:w="18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2"/>
                <w:szCs w:val="12"/>
                <w:color w:val="auto"/>
              </w:rPr>
              <w:t>06-01-2017</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06-01-2027</w:t>
            </w:r>
          </w:p>
        </w:tc>
        <w:tc>
          <w:tcPr>
            <w:tcW w:w="0" w:type="dxa"/>
            <w:vAlign w:val="bottom"/>
          </w:tcPr>
          <w:p>
            <w:pPr>
              <w:spacing w:after="0"/>
              <w:rPr>
                <w:sz w:val="1"/>
                <w:szCs w:val="1"/>
                <w:color w:val="auto"/>
              </w:rPr>
            </w:pPr>
          </w:p>
        </w:tc>
      </w:tr>
      <w:tr>
        <w:trPr>
          <w:trHeight w:val="133"/>
        </w:trPr>
        <w:tc>
          <w:tcPr>
            <w:tcW w:w="20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Narsi Narayanan</w:t>
            </w:r>
          </w:p>
        </w:tc>
        <w:tc>
          <w:tcPr>
            <w:tcW w:w="1740" w:type="dxa"/>
            <w:vAlign w:val="bottom"/>
            <w:shd w:val="clear" w:color="auto" w:fill="CCEEFF"/>
          </w:tcPr>
          <w:p>
            <w:pPr>
              <w:spacing w:after="0"/>
              <w:rPr>
                <w:sz w:val="11"/>
                <w:szCs w:val="11"/>
                <w:color w:val="auto"/>
              </w:rPr>
            </w:pPr>
          </w:p>
        </w:tc>
        <w:tc>
          <w:tcPr>
            <w:tcW w:w="1820" w:type="dxa"/>
            <w:vAlign w:val="bottom"/>
            <w:shd w:val="clear" w:color="auto" w:fill="CCEEFF"/>
          </w:tcPr>
          <w:p>
            <w:pPr>
              <w:jc w:val="right"/>
              <w:ind w:right="1401"/>
              <w:spacing w:after="0" w:line="133" w:lineRule="exact"/>
              <w:rPr>
                <w:sz w:val="20"/>
                <w:szCs w:val="20"/>
                <w:color w:val="auto"/>
              </w:rPr>
            </w:pPr>
            <w:r>
              <w:rPr>
                <w:rFonts w:ascii="Times New Roman" w:cs="Times New Roman" w:eastAsia="Times New Roman" w:hAnsi="Times New Roman"/>
                <w:sz w:val="12"/>
                <w:szCs w:val="12"/>
                <w:color w:val="auto"/>
              </w:rPr>
              <w:t>10,000</w:t>
            </w:r>
          </w:p>
        </w:tc>
        <w:tc>
          <w:tcPr>
            <w:tcW w:w="1700" w:type="dxa"/>
            <w:vAlign w:val="bottom"/>
            <w:shd w:val="clear" w:color="auto" w:fill="CCEEFF"/>
          </w:tcPr>
          <w:p>
            <w:pPr>
              <w:jc w:val="right"/>
              <w:ind w:right="1302"/>
              <w:spacing w:after="0" w:line="133"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3.004</w:t>
            </w:r>
          </w:p>
        </w:tc>
        <w:tc>
          <w:tcPr>
            <w:tcW w:w="1840" w:type="dxa"/>
            <w:vAlign w:val="bottom"/>
            <w:shd w:val="clear" w:color="auto" w:fill="CCEEFF"/>
          </w:tcPr>
          <w:p>
            <w:pPr>
              <w:jc w:val="right"/>
              <w:ind w:right="262"/>
              <w:spacing w:after="0" w:line="133" w:lineRule="exact"/>
              <w:rPr>
                <w:sz w:val="20"/>
                <w:szCs w:val="20"/>
                <w:color w:val="auto"/>
              </w:rPr>
            </w:pPr>
            <w:r>
              <w:rPr>
                <w:rFonts w:ascii="Times New Roman" w:cs="Times New Roman" w:eastAsia="Times New Roman" w:hAnsi="Times New Roman"/>
                <w:sz w:val="12"/>
                <w:szCs w:val="12"/>
                <w:color w:val="auto"/>
              </w:rPr>
              <w:t>05-26-2010</w:t>
            </w:r>
          </w:p>
        </w:tc>
        <w:tc>
          <w:tcPr>
            <w:tcW w:w="1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05-26-2020</w:t>
            </w:r>
          </w:p>
        </w:tc>
        <w:tc>
          <w:tcPr>
            <w:tcW w:w="0" w:type="dxa"/>
            <w:vAlign w:val="bottom"/>
          </w:tcPr>
          <w:p>
            <w:pPr>
              <w:spacing w:after="0"/>
              <w:rPr>
                <w:sz w:val="1"/>
                <w:szCs w:val="1"/>
                <w:color w:val="auto"/>
              </w:rPr>
            </w:pPr>
          </w:p>
        </w:tc>
      </w:tr>
      <w:tr>
        <w:trPr>
          <w:trHeight w:val="144"/>
        </w:trPr>
        <w:tc>
          <w:tcPr>
            <w:tcW w:w="2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20" w:type="dxa"/>
            <w:vAlign w:val="bottom"/>
          </w:tcPr>
          <w:p>
            <w:pPr>
              <w:jc w:val="right"/>
              <w:ind w:right="1401"/>
              <w:spacing w:after="0"/>
              <w:rPr>
                <w:sz w:val="20"/>
                <w:szCs w:val="20"/>
                <w:color w:val="auto"/>
              </w:rPr>
            </w:pPr>
            <w:r>
              <w:rPr>
                <w:rFonts w:ascii="Times New Roman" w:cs="Times New Roman" w:eastAsia="Times New Roman" w:hAnsi="Times New Roman"/>
                <w:sz w:val="12"/>
                <w:szCs w:val="12"/>
                <w:color w:val="auto"/>
              </w:rPr>
              <w:t>10,000</w:t>
            </w:r>
          </w:p>
        </w:tc>
        <w:tc>
          <w:tcPr>
            <w:tcW w:w="1700" w:type="dxa"/>
            <w:vAlign w:val="bottom"/>
          </w:tcPr>
          <w:p>
            <w:pPr>
              <w:jc w:val="right"/>
              <w:ind w:right="1302"/>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5.480</w:t>
            </w:r>
          </w:p>
        </w:tc>
        <w:tc>
          <w:tcPr>
            <w:tcW w:w="1840" w:type="dxa"/>
            <w:vAlign w:val="bottom"/>
          </w:tcPr>
          <w:p>
            <w:pPr>
              <w:jc w:val="right"/>
              <w:ind w:right="262"/>
              <w:spacing w:after="0"/>
              <w:rPr>
                <w:sz w:val="20"/>
                <w:szCs w:val="20"/>
                <w:color w:val="auto"/>
              </w:rPr>
            </w:pPr>
            <w:r>
              <w:rPr>
                <w:rFonts w:ascii="Times New Roman" w:cs="Times New Roman" w:eastAsia="Times New Roman" w:hAnsi="Times New Roman"/>
                <w:sz w:val="12"/>
                <w:szCs w:val="12"/>
                <w:color w:val="auto"/>
              </w:rPr>
              <w:t>08-05-2011</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08-05-2021</w:t>
            </w:r>
          </w:p>
        </w:tc>
        <w:tc>
          <w:tcPr>
            <w:tcW w:w="0" w:type="dxa"/>
            <w:vAlign w:val="bottom"/>
          </w:tcPr>
          <w:p>
            <w:pPr>
              <w:spacing w:after="0"/>
              <w:rPr>
                <w:sz w:val="1"/>
                <w:szCs w:val="1"/>
                <w:color w:val="auto"/>
              </w:rPr>
            </w:pPr>
          </w:p>
        </w:tc>
      </w:tr>
      <w:tr>
        <w:trPr>
          <w:trHeight w:val="144"/>
        </w:trPr>
        <w:tc>
          <w:tcPr>
            <w:tcW w:w="20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20" w:type="dxa"/>
            <w:vAlign w:val="bottom"/>
            <w:shd w:val="clear" w:color="auto" w:fill="CCEEFF"/>
          </w:tcPr>
          <w:p>
            <w:pPr>
              <w:jc w:val="right"/>
              <w:ind w:right="1401"/>
              <w:spacing w:after="0"/>
              <w:rPr>
                <w:sz w:val="20"/>
                <w:szCs w:val="20"/>
                <w:color w:val="auto"/>
              </w:rPr>
            </w:pPr>
            <w:r>
              <w:rPr>
                <w:rFonts w:ascii="Times New Roman" w:cs="Times New Roman" w:eastAsia="Times New Roman" w:hAnsi="Times New Roman"/>
                <w:sz w:val="12"/>
                <w:szCs w:val="12"/>
                <w:color w:val="auto"/>
              </w:rPr>
              <w:t>20,000</w:t>
            </w:r>
          </w:p>
        </w:tc>
        <w:tc>
          <w:tcPr>
            <w:tcW w:w="1700" w:type="dxa"/>
            <w:vAlign w:val="bottom"/>
            <w:shd w:val="clear" w:color="auto" w:fill="CCEEFF"/>
          </w:tcPr>
          <w:p>
            <w:pPr>
              <w:jc w:val="right"/>
              <w:ind w:right="1302"/>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3.920</w:t>
            </w:r>
          </w:p>
        </w:tc>
        <w:tc>
          <w:tcPr>
            <w:tcW w:w="184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2"/>
                <w:szCs w:val="12"/>
                <w:color w:val="auto"/>
              </w:rPr>
              <w:t>05-11-2012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05-11-2022</w:t>
            </w:r>
          </w:p>
        </w:tc>
        <w:tc>
          <w:tcPr>
            <w:tcW w:w="0" w:type="dxa"/>
            <w:vAlign w:val="bottom"/>
          </w:tcPr>
          <w:p>
            <w:pPr>
              <w:spacing w:after="0"/>
              <w:rPr>
                <w:sz w:val="1"/>
                <w:szCs w:val="1"/>
                <w:color w:val="auto"/>
              </w:rPr>
            </w:pPr>
          </w:p>
        </w:tc>
      </w:tr>
      <w:tr>
        <w:trPr>
          <w:trHeight w:val="144"/>
        </w:trPr>
        <w:tc>
          <w:tcPr>
            <w:tcW w:w="2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20" w:type="dxa"/>
            <w:vAlign w:val="bottom"/>
          </w:tcPr>
          <w:p>
            <w:pPr>
              <w:jc w:val="right"/>
              <w:ind w:right="1401"/>
              <w:spacing w:after="0"/>
              <w:rPr>
                <w:sz w:val="20"/>
                <w:szCs w:val="20"/>
                <w:color w:val="auto"/>
              </w:rPr>
            </w:pPr>
            <w:r>
              <w:rPr>
                <w:rFonts w:ascii="Times New Roman" w:cs="Times New Roman" w:eastAsia="Times New Roman" w:hAnsi="Times New Roman"/>
                <w:sz w:val="12"/>
                <w:szCs w:val="12"/>
                <w:color w:val="auto"/>
              </w:rPr>
              <w:t>15,000</w:t>
            </w:r>
          </w:p>
        </w:tc>
        <w:tc>
          <w:tcPr>
            <w:tcW w:w="1700" w:type="dxa"/>
            <w:vAlign w:val="bottom"/>
          </w:tcPr>
          <w:p>
            <w:pPr>
              <w:jc w:val="right"/>
              <w:ind w:right="1302"/>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8.220</w:t>
            </w:r>
          </w:p>
        </w:tc>
        <w:tc>
          <w:tcPr>
            <w:tcW w:w="1840" w:type="dxa"/>
            <w:vAlign w:val="bottom"/>
          </w:tcPr>
          <w:p>
            <w:pPr>
              <w:jc w:val="right"/>
              <w:ind w:right="262"/>
              <w:spacing w:after="0"/>
              <w:rPr>
                <w:sz w:val="20"/>
                <w:szCs w:val="20"/>
                <w:color w:val="auto"/>
              </w:rPr>
            </w:pPr>
            <w:r>
              <w:rPr>
                <w:rFonts w:ascii="Times New Roman" w:cs="Times New Roman" w:eastAsia="Times New Roman" w:hAnsi="Times New Roman"/>
                <w:sz w:val="12"/>
                <w:szCs w:val="12"/>
                <w:color w:val="auto"/>
              </w:rPr>
              <w:t>08-22-2013</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08-22-2023</w:t>
            </w:r>
          </w:p>
        </w:tc>
        <w:tc>
          <w:tcPr>
            <w:tcW w:w="0" w:type="dxa"/>
            <w:vAlign w:val="bottom"/>
          </w:tcPr>
          <w:p>
            <w:pPr>
              <w:spacing w:after="0"/>
              <w:rPr>
                <w:sz w:val="1"/>
                <w:szCs w:val="1"/>
                <w:color w:val="auto"/>
              </w:rPr>
            </w:pPr>
          </w:p>
        </w:tc>
      </w:tr>
      <w:tr>
        <w:trPr>
          <w:trHeight w:val="144"/>
        </w:trPr>
        <w:tc>
          <w:tcPr>
            <w:tcW w:w="20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20" w:type="dxa"/>
            <w:vAlign w:val="bottom"/>
            <w:shd w:val="clear" w:color="auto" w:fill="CCEEFF"/>
          </w:tcPr>
          <w:p>
            <w:pPr>
              <w:jc w:val="right"/>
              <w:ind w:right="1401"/>
              <w:spacing w:after="0"/>
              <w:rPr>
                <w:sz w:val="20"/>
                <w:szCs w:val="20"/>
                <w:color w:val="auto"/>
              </w:rPr>
            </w:pPr>
            <w:r>
              <w:rPr>
                <w:rFonts w:ascii="Times New Roman" w:cs="Times New Roman" w:eastAsia="Times New Roman" w:hAnsi="Times New Roman"/>
                <w:sz w:val="12"/>
                <w:szCs w:val="12"/>
                <w:color w:val="auto"/>
              </w:rPr>
              <w:t>20,000</w:t>
            </w:r>
          </w:p>
        </w:tc>
        <w:tc>
          <w:tcPr>
            <w:tcW w:w="1700" w:type="dxa"/>
            <w:vAlign w:val="bottom"/>
            <w:shd w:val="clear" w:color="auto" w:fill="CCEEFF"/>
          </w:tcPr>
          <w:p>
            <w:pPr>
              <w:jc w:val="right"/>
              <w:ind w:right="1302"/>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8.340</w:t>
            </w:r>
          </w:p>
        </w:tc>
        <w:tc>
          <w:tcPr>
            <w:tcW w:w="184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2"/>
                <w:szCs w:val="12"/>
                <w:color w:val="auto"/>
              </w:rPr>
              <w:t>09-12-2014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09-12-2024</w:t>
            </w:r>
          </w:p>
        </w:tc>
        <w:tc>
          <w:tcPr>
            <w:tcW w:w="0" w:type="dxa"/>
            <w:vAlign w:val="bottom"/>
          </w:tcPr>
          <w:p>
            <w:pPr>
              <w:spacing w:after="0"/>
              <w:rPr>
                <w:sz w:val="1"/>
                <w:szCs w:val="1"/>
                <w:color w:val="auto"/>
              </w:rPr>
            </w:pPr>
          </w:p>
        </w:tc>
      </w:tr>
      <w:tr>
        <w:trPr>
          <w:trHeight w:val="144"/>
        </w:trPr>
        <w:tc>
          <w:tcPr>
            <w:tcW w:w="2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20" w:type="dxa"/>
            <w:vAlign w:val="bottom"/>
          </w:tcPr>
          <w:p>
            <w:pPr>
              <w:jc w:val="right"/>
              <w:ind w:right="1401"/>
              <w:spacing w:after="0"/>
              <w:rPr>
                <w:sz w:val="20"/>
                <w:szCs w:val="20"/>
                <w:color w:val="auto"/>
              </w:rPr>
            </w:pPr>
            <w:r>
              <w:rPr>
                <w:rFonts w:ascii="Times New Roman" w:cs="Times New Roman" w:eastAsia="Times New Roman" w:hAnsi="Times New Roman"/>
                <w:sz w:val="12"/>
                <w:szCs w:val="12"/>
                <w:color w:val="auto"/>
              </w:rPr>
              <w:t>25,000</w:t>
            </w:r>
          </w:p>
        </w:tc>
        <w:tc>
          <w:tcPr>
            <w:tcW w:w="1700" w:type="dxa"/>
            <w:vAlign w:val="bottom"/>
          </w:tcPr>
          <w:p>
            <w:pPr>
              <w:jc w:val="right"/>
              <w:ind w:right="1302"/>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11.960</w:t>
            </w:r>
          </w:p>
        </w:tc>
        <w:tc>
          <w:tcPr>
            <w:tcW w:w="1840" w:type="dxa"/>
            <w:vAlign w:val="bottom"/>
          </w:tcPr>
          <w:p>
            <w:pPr>
              <w:jc w:val="right"/>
              <w:ind w:right="262"/>
              <w:spacing w:after="0"/>
              <w:rPr>
                <w:sz w:val="20"/>
                <w:szCs w:val="20"/>
                <w:color w:val="auto"/>
              </w:rPr>
            </w:pPr>
            <w:r>
              <w:rPr>
                <w:rFonts w:ascii="Times New Roman" w:cs="Times New Roman" w:eastAsia="Times New Roman" w:hAnsi="Times New Roman"/>
                <w:sz w:val="12"/>
                <w:szCs w:val="12"/>
                <w:color w:val="auto"/>
              </w:rPr>
              <w:t>03-11-2016</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03-11-2026</w:t>
            </w:r>
          </w:p>
        </w:tc>
        <w:tc>
          <w:tcPr>
            <w:tcW w:w="0" w:type="dxa"/>
            <w:vAlign w:val="bottom"/>
          </w:tcPr>
          <w:p>
            <w:pPr>
              <w:spacing w:after="0"/>
              <w:rPr>
                <w:sz w:val="1"/>
                <w:szCs w:val="1"/>
                <w:color w:val="auto"/>
              </w:rPr>
            </w:pPr>
          </w:p>
        </w:tc>
      </w:tr>
      <w:tr>
        <w:trPr>
          <w:trHeight w:val="144"/>
        </w:trPr>
        <w:tc>
          <w:tcPr>
            <w:tcW w:w="20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20" w:type="dxa"/>
            <w:vAlign w:val="bottom"/>
            <w:shd w:val="clear" w:color="auto" w:fill="CCEEFF"/>
          </w:tcPr>
          <w:p>
            <w:pPr>
              <w:jc w:val="right"/>
              <w:ind w:right="1401"/>
              <w:spacing w:after="0"/>
              <w:rPr>
                <w:sz w:val="20"/>
                <w:szCs w:val="20"/>
                <w:color w:val="auto"/>
              </w:rPr>
            </w:pPr>
            <w:r>
              <w:rPr>
                <w:rFonts w:ascii="Times New Roman" w:cs="Times New Roman" w:eastAsia="Times New Roman" w:hAnsi="Times New Roman"/>
                <w:sz w:val="12"/>
                <w:szCs w:val="12"/>
                <w:color w:val="auto"/>
              </w:rPr>
              <w:t>2,500</w:t>
            </w:r>
          </w:p>
        </w:tc>
        <w:tc>
          <w:tcPr>
            <w:tcW w:w="1700" w:type="dxa"/>
            <w:vAlign w:val="bottom"/>
            <w:shd w:val="clear" w:color="auto" w:fill="CCEEFF"/>
          </w:tcPr>
          <w:p>
            <w:pPr>
              <w:jc w:val="right"/>
              <w:ind w:right="1302"/>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11.000</w:t>
            </w:r>
          </w:p>
        </w:tc>
        <w:tc>
          <w:tcPr>
            <w:tcW w:w="184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2"/>
                <w:szCs w:val="12"/>
                <w:color w:val="auto"/>
              </w:rPr>
              <w:t>12-14-2016</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12-14-2026</w:t>
            </w:r>
          </w:p>
        </w:tc>
        <w:tc>
          <w:tcPr>
            <w:tcW w:w="0" w:type="dxa"/>
            <w:vAlign w:val="bottom"/>
          </w:tcPr>
          <w:p>
            <w:pPr>
              <w:spacing w:after="0"/>
              <w:rPr>
                <w:sz w:val="1"/>
                <w:szCs w:val="1"/>
                <w:color w:val="auto"/>
              </w:rPr>
            </w:pPr>
          </w:p>
        </w:tc>
      </w:tr>
      <w:tr>
        <w:trPr>
          <w:trHeight w:val="144"/>
        </w:trPr>
        <w:tc>
          <w:tcPr>
            <w:tcW w:w="20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right"/>
              <w:ind w:right="1401"/>
              <w:spacing w:after="0"/>
              <w:rPr>
                <w:sz w:val="20"/>
                <w:szCs w:val="20"/>
                <w:color w:val="auto"/>
              </w:rPr>
            </w:pPr>
            <w:r>
              <w:rPr>
                <w:rFonts w:ascii="Times New Roman" w:cs="Times New Roman" w:eastAsia="Times New Roman" w:hAnsi="Times New Roman"/>
                <w:sz w:val="12"/>
                <w:szCs w:val="12"/>
                <w:color w:val="auto"/>
              </w:rPr>
              <w:t>16,666</w:t>
            </w:r>
          </w:p>
        </w:tc>
        <w:tc>
          <w:tcPr>
            <w:tcW w:w="1700" w:type="dxa"/>
            <w:vAlign w:val="bottom"/>
            <w:tcBorders>
              <w:bottom w:val="single" w:sz="8" w:color="auto"/>
            </w:tcBorders>
          </w:tcPr>
          <w:p>
            <w:pPr>
              <w:jc w:val="right"/>
              <w:ind w:right="1302"/>
              <w:spacing w:after="0"/>
              <w:rPr>
                <w:sz w:val="20"/>
                <w:szCs w:val="20"/>
                <w:color w:val="auto"/>
              </w:rPr>
            </w:pPr>
            <w:r>
              <w:rPr>
                <w:rFonts w:ascii="Times New Roman" w:cs="Times New Roman" w:eastAsia="Times New Roman" w:hAnsi="Times New Roman"/>
                <w:sz w:val="12"/>
                <w:szCs w:val="12"/>
                <w:color w:val="auto"/>
              </w:rPr>
              <w:t>3,334</w:t>
            </w:r>
          </w:p>
        </w:tc>
        <w:tc>
          <w:tcPr>
            <w:tcW w:w="7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rPr>
              <w:t>9.900</w:t>
            </w:r>
          </w:p>
        </w:tc>
        <w:tc>
          <w:tcPr>
            <w:tcW w:w="18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2"/>
                <w:szCs w:val="12"/>
                <w:color w:val="auto"/>
              </w:rPr>
              <w:t>06-01-2017</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06-01-2027</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One-third of the shares underlying each stock option vest on the first anniversary of the grant date and the remaining shares vest equally over a period of 24 months following the first anniversary of the grant date.</w:t>
      </w:r>
    </w:p>
    <w:p>
      <w:pPr>
        <w:spacing w:after="0" w:line="14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2"/>
          <w:szCs w:val="12"/>
          <w:b w:val="1"/>
          <w:bCs w:val="1"/>
          <w:color w:val="auto"/>
        </w:rPr>
        <w:t>GRANTS OF PLAN-BASED AWARDS</w:t>
      </w:r>
    </w:p>
    <w:p>
      <w:pPr>
        <w:spacing w:after="0" w:line="154" w:lineRule="exact"/>
        <w:rPr>
          <w:sz w:val="20"/>
          <w:szCs w:val="20"/>
          <w:color w:val="auto"/>
        </w:rPr>
      </w:pPr>
    </w:p>
    <w:p>
      <w:pPr>
        <w:ind w:left="484"/>
        <w:spacing w:after="0"/>
        <w:rPr>
          <w:sz w:val="20"/>
          <w:szCs w:val="20"/>
          <w:color w:val="auto"/>
        </w:rPr>
      </w:pPr>
      <w:r>
        <w:rPr>
          <w:rFonts w:ascii="Times New Roman" w:cs="Times New Roman" w:eastAsia="Times New Roman" w:hAnsi="Times New Roman"/>
          <w:sz w:val="12"/>
          <w:szCs w:val="12"/>
          <w:color w:val="auto"/>
        </w:rPr>
        <w:t>There were no grants of plan-based awards to named executive officers in 2019.</w:t>
      </w:r>
    </w:p>
    <w:p>
      <w:pPr>
        <w:spacing w:after="0" w:line="14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2"/>
          <w:szCs w:val="12"/>
          <w:b w:val="1"/>
          <w:bCs w:val="1"/>
          <w:color w:val="auto"/>
        </w:rPr>
        <w:t>OPTION EXERCISES AND STOCK VESTED</w:t>
      </w:r>
    </w:p>
    <w:p>
      <w:pPr>
        <w:spacing w:after="0" w:line="154" w:lineRule="exact"/>
        <w:rPr>
          <w:sz w:val="20"/>
          <w:szCs w:val="20"/>
          <w:color w:val="auto"/>
        </w:rPr>
      </w:pPr>
    </w:p>
    <w:p>
      <w:pPr>
        <w:ind w:left="484"/>
        <w:spacing w:after="0"/>
        <w:rPr>
          <w:sz w:val="20"/>
          <w:szCs w:val="20"/>
          <w:color w:val="auto"/>
        </w:rPr>
      </w:pPr>
      <w:r>
        <w:rPr>
          <w:rFonts w:ascii="Times New Roman" w:cs="Times New Roman" w:eastAsia="Times New Roman" w:hAnsi="Times New Roman"/>
          <w:sz w:val="12"/>
          <w:szCs w:val="12"/>
          <w:color w:val="auto"/>
        </w:rPr>
        <w:t>There were no exercises of stock options by named executive officers during 2019. There were no equity awards that vested for the named executive officers during 2019.</w:t>
      </w:r>
    </w:p>
    <w:p>
      <w:pPr>
        <w:spacing w:after="0" w:line="1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2"/>
          <w:szCs w:val="12"/>
          <w:b w:val="1"/>
          <w:bCs w:val="1"/>
          <w:color w:val="auto"/>
        </w:rPr>
        <w:t>Potential Payments Upon Termination or Change in Control</w:t>
      </w:r>
    </w:p>
    <w:p>
      <w:pPr>
        <w:spacing w:after="0" w:line="152" w:lineRule="exact"/>
        <w:rPr>
          <w:sz w:val="20"/>
          <w:szCs w:val="20"/>
          <w:color w:val="auto"/>
        </w:rPr>
      </w:pPr>
    </w:p>
    <w:p>
      <w:pPr>
        <w:ind w:left="4"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Employment Agreements. </w:t>
      </w:r>
      <w:r>
        <w:rPr>
          <w:rFonts w:ascii="Times New Roman" w:cs="Times New Roman" w:eastAsia="Times New Roman" w:hAnsi="Times New Roman"/>
          <w:sz w:val="12"/>
          <w:szCs w:val="12"/>
          <w:color w:val="auto"/>
        </w:rPr>
        <w:t>As of the year ended December 31, 2019, none of our named executive officers was party to an employment or severance agreement with us, and each named executive officer’s employment was 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 “at-will” basis, permitting either us or the executive to terminate his or her employment for any reason or for no reason.</w:t>
      </w:r>
    </w:p>
    <w:p>
      <w:pPr>
        <w:spacing w:after="0" w:line="107" w:lineRule="exact"/>
        <w:rPr>
          <w:sz w:val="20"/>
          <w:szCs w:val="20"/>
          <w:color w:val="auto"/>
        </w:rPr>
      </w:pPr>
    </w:p>
    <w:p>
      <w:pPr>
        <w:ind w:left="4"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Accelerated Stock Option Vesting Upon a Change in Control</w:t>
      </w:r>
      <w:r>
        <w:rPr>
          <w:rFonts w:ascii="Times New Roman" w:cs="Times New Roman" w:eastAsia="Times New Roman" w:hAnsi="Times New Roman"/>
          <w:sz w:val="12"/>
          <w:szCs w:val="12"/>
          <w:color w:val="auto"/>
        </w:rPr>
        <w:t>. For certain option grants to executive officers and directors, in the event of a change in control, all of such optionee’s unvested stock options will vest and become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exercisable immediately prior to the event or the closing of the transaction causing the change in control.</w:t>
      </w:r>
    </w:p>
    <w:p>
      <w:pPr>
        <w:spacing w:after="0" w:line="10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2"/>
          <w:szCs w:val="12"/>
          <w:color w:val="auto"/>
        </w:rPr>
        <w:t>Under the option grants, a “</w:t>
      </w:r>
      <w:r>
        <w:rPr>
          <w:rFonts w:ascii="Times New Roman" w:cs="Times New Roman" w:eastAsia="Times New Roman" w:hAnsi="Times New Roman"/>
          <w:sz w:val="12"/>
          <w:szCs w:val="12"/>
          <w:i w:val="1"/>
          <w:iCs w:val="1"/>
          <w:color w:val="auto"/>
        </w:rPr>
        <w:t>Change in Control</w:t>
      </w:r>
      <w:r>
        <w:rPr>
          <w:rFonts w:ascii="Times New Roman" w:cs="Times New Roman" w:eastAsia="Times New Roman" w:hAnsi="Times New Roman"/>
          <w:sz w:val="12"/>
          <w:szCs w:val="12"/>
          <w:color w:val="auto"/>
        </w:rPr>
        <w:t>” means a change in ownership or control of the Company effected through either of the following transactions:</w:t>
      </w:r>
    </w:p>
    <w:p>
      <w:pPr>
        <w:spacing w:after="0" w:line="26" w:lineRule="exact"/>
        <w:rPr>
          <w:sz w:val="20"/>
          <w:szCs w:val="20"/>
          <w:color w:val="auto"/>
        </w:rPr>
      </w:pPr>
    </w:p>
    <w:p>
      <w:pPr>
        <w:ind w:left="5584"/>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62230</wp:posOffset>
            </wp:positionV>
            <wp:extent cx="717804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4"/>
          </w:cols>
          <w:pgMar w:left="296" w:top="269" w:right="299" w:bottom="1440" w:gutter="0" w:footer="0" w:header="0"/>
        </w:sectPr>
      </w:pPr>
    </w:p>
    <w:bookmarkStart w:id="12" w:name="page13"/>
    <w:bookmarkEnd w:id="12"/>
    <w:p>
      <w:pPr>
        <w:jc w:val="both"/>
        <w:ind w:left="680" w:right="120" w:firstLine="8"/>
        <w:spacing w:after="0" w:line="265" w:lineRule="auto"/>
        <w:tabs>
          <w:tab w:leader="none" w:pos="837"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acquisition, directly or indirectly, by any person or related group of persons (other than the Company or a person that directly or indirectly controls, is controlled by, or is under common control with, the Company), of beneficial ownership (within the meaning of Rule 13d-3 of the Exchange Act) of securities possessing more than fifty percent (50%) of the total combined voting power of the Company’s outstanding securities pursuant to a tender or exchange offer made directly to the Company’s shareholders, or</w:t>
      </w:r>
    </w:p>
    <w:p>
      <w:pPr>
        <w:spacing w:after="0" w:line="118" w:lineRule="exact"/>
        <w:rPr>
          <w:rFonts w:ascii="Times New Roman" w:cs="Times New Roman" w:eastAsia="Times New Roman" w:hAnsi="Times New Roman"/>
          <w:sz w:val="12"/>
          <w:szCs w:val="12"/>
          <w:color w:val="auto"/>
        </w:rPr>
      </w:pPr>
    </w:p>
    <w:p>
      <w:pPr>
        <w:jc w:val="both"/>
        <w:ind w:left="680" w:right="120" w:firstLine="8"/>
        <w:spacing w:after="0" w:line="265" w:lineRule="auto"/>
        <w:tabs>
          <w:tab w:leader="none" w:pos="867"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Except as otherwise set forth in an option grant, in the event of a change in control of our company, the Board of Directors has the sole authority to elect that the vesting of each outstanding option automatically accelerate so that each such option shall, immediately prior to the effective date of the corporate transaction, become fully exercisable for all of the shares of common stock at the time subject to such option and may be exercised for any or all of those shares as fully vested shares of common stock.</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At our current stock price of $2.33 per share, the last reported closing price of our common stock on the NASDAQ Capital Market on December 4, 2020, none of our named executive officers would benefit from any potential accelerated vesting of unvested stock options.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DIRECTOR COMPENSATION</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 summarizes the compensation paid by us to non-employee directors for the year ended December 31, 2019. Ms. Hakimoglu did not receive additional compensation for her service as a director.</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left="282"/>
              <w:spacing w:after="0"/>
              <w:rPr>
                <w:sz w:val="20"/>
                <w:szCs w:val="20"/>
                <w:color w:val="auto"/>
              </w:rPr>
            </w:pPr>
            <w:r>
              <w:rPr>
                <w:rFonts w:ascii="Times New Roman" w:cs="Times New Roman" w:eastAsia="Times New Roman" w:hAnsi="Times New Roman"/>
                <w:sz w:val="12"/>
                <w:szCs w:val="12"/>
                <w:b w:val="1"/>
                <w:bCs w:val="1"/>
                <w:color w:val="auto"/>
              </w:rPr>
              <w:t>Fees Earned</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980" w:type="dxa"/>
            <w:vAlign w:val="bottom"/>
          </w:tcPr>
          <w:p>
            <w:pPr>
              <w:jc w:val="center"/>
              <w:ind w:left="302"/>
              <w:spacing w:after="0"/>
              <w:rPr>
                <w:sz w:val="20"/>
                <w:szCs w:val="20"/>
                <w:color w:val="auto"/>
              </w:rPr>
            </w:pPr>
            <w:r>
              <w:rPr>
                <w:rFonts w:ascii="Times New Roman" w:cs="Times New Roman" w:eastAsia="Times New Roman" w:hAnsi="Times New Roman"/>
                <w:sz w:val="12"/>
                <w:szCs w:val="12"/>
                <w:b w:val="1"/>
                <w:bCs w:val="1"/>
                <w:color w:val="auto"/>
                <w:w w:val="98"/>
              </w:rPr>
              <w:t>or Paid in</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Option</w:t>
            </w:r>
          </w:p>
        </w:tc>
        <w:tc>
          <w:tcPr>
            <w:tcW w:w="200" w:type="dxa"/>
            <w:vAlign w:val="bottom"/>
          </w:tcPr>
          <w:p>
            <w:pPr>
              <w:spacing w:after="0"/>
              <w:rPr>
                <w:sz w:val="12"/>
                <w:szCs w:val="12"/>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100" w:type="dxa"/>
            <w:vAlign w:val="bottom"/>
            <w:gridSpan w:val="2"/>
            <w:vMerge w:val="continue"/>
          </w:tcPr>
          <w:p>
            <w:pPr>
              <w:spacing w:after="0"/>
              <w:rPr>
                <w:sz w:val="13"/>
                <w:szCs w:val="13"/>
                <w:color w:val="auto"/>
              </w:rPr>
            </w:pPr>
          </w:p>
        </w:tc>
        <w:tc>
          <w:tcPr>
            <w:tcW w:w="980" w:type="dxa"/>
            <w:vAlign w:val="bottom"/>
          </w:tcPr>
          <w:p>
            <w:pPr>
              <w:jc w:val="center"/>
              <w:ind w:left="302"/>
              <w:spacing w:after="0"/>
              <w:rPr>
                <w:sz w:val="20"/>
                <w:szCs w:val="20"/>
                <w:color w:val="auto"/>
              </w:rPr>
            </w:pPr>
            <w:r>
              <w:rPr>
                <w:rFonts w:ascii="Times New Roman" w:cs="Times New Roman" w:eastAsia="Times New Roman" w:hAnsi="Times New Roman"/>
                <w:sz w:val="12"/>
                <w:szCs w:val="12"/>
                <w:b w:val="1"/>
                <w:bCs w:val="1"/>
                <w:color w:val="auto"/>
                <w:w w:val="94"/>
              </w:rPr>
              <w:t>Cash</w:t>
            </w:r>
            <w:r>
              <w:rPr>
                <w:rFonts w:ascii="Times New Roman" w:cs="Times New Roman" w:eastAsia="Times New Roman" w:hAnsi="Times New Roman"/>
                <w:sz w:val="13"/>
                <w:szCs w:val="13"/>
                <w:b w:val="1"/>
                <w:bCs w:val="1"/>
                <w:color w:val="auto"/>
                <w:w w:val="94"/>
                <w:vertAlign w:val="superscript"/>
              </w:rPr>
              <w:t>(1)</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Awards</w:t>
            </w:r>
          </w:p>
        </w:tc>
        <w:tc>
          <w:tcPr>
            <w:tcW w:w="200" w:type="dxa"/>
            <w:vAlign w:val="bottom"/>
          </w:tcPr>
          <w:p>
            <w:pPr>
              <w:spacing w:after="0"/>
              <w:rPr>
                <w:sz w:val="13"/>
                <w:szCs w:val="13"/>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9"/>
              </w:rPr>
              <w:t>Compensation</w:t>
            </w:r>
          </w:p>
        </w:tc>
        <w:tc>
          <w:tcPr>
            <w:tcW w:w="280" w:type="dxa"/>
            <w:vAlign w:val="bottom"/>
          </w:tcPr>
          <w:p>
            <w:pPr>
              <w:spacing w:after="0"/>
              <w:rPr>
                <w:sz w:val="13"/>
                <w:szCs w:val="13"/>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2"/>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Larry R. Hendricks</w:t>
            </w:r>
          </w:p>
        </w:tc>
        <w:tc>
          <w:tcPr>
            <w:tcW w:w="14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ind w:right="862"/>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36,600</w:t>
            </w:r>
          </w:p>
        </w:tc>
        <w:tc>
          <w:tcPr>
            <w:tcW w:w="2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2"/>
                <w:szCs w:val="12"/>
                <w:color w:val="auto"/>
                <w:w w:val="82"/>
              </w:rPr>
              <w:t>—</w:t>
            </w:r>
          </w:p>
        </w:tc>
        <w:tc>
          <w:tcPr>
            <w:tcW w:w="2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2"/>
                <w:szCs w:val="12"/>
                <w:color w:val="auto"/>
                <w:w w:val="82"/>
              </w:rPr>
              <w:t>—</w:t>
            </w:r>
          </w:p>
        </w:tc>
        <w:tc>
          <w:tcPr>
            <w:tcW w:w="2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36,600</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Eric L. Robinson</w:t>
            </w:r>
          </w:p>
        </w:tc>
        <w:tc>
          <w:tcPr>
            <w:tcW w:w="9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37,800</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37,800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Bruce Whaley</w:t>
            </w:r>
          </w:p>
        </w:tc>
        <w:tc>
          <w:tcPr>
            <w:tcW w:w="9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25,100</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420" w:right="20" w:hanging="419"/>
        <w:spacing w:after="0" w:line="279" w:lineRule="auto"/>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base annual director’s fee for the reporting year was $30,000. In addition, independent directors were paid $100 per month for each board committee served on, and an additional $300 per month if the director was the chair of the Audit and Compliance Committee or Compensation Committee. The fee is not dependent on the number of meetings attended by any directors.</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Historically, the Company's non-employee directors have received an annual grant of stock options to purchase 10,000 shares of the Company's common stock, of which one-third of the shares vest on the first anniversary of the grant date, and the remaining vest in equal monthly increments over the subsequent 24-month period. However, the Board decided to terminate the annual stock option award to non-employee directors in 2018, and consequently, no such grants were made in 2019. All directors are reimbursed by the Company for their out-of-pocket travel and related expenses, if any, incurred in attending all Board of Directors and committee meetings.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CERTAIN RELATIONSHIPS AND RELATED TRANSACTIONS AND DIRECTOR INDEPENDENCE</w:t>
      </w:r>
    </w:p>
    <w:p>
      <w:pPr>
        <w:spacing w:after="0" w:line="15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We recognize that transactions between us and any of our directors, executives or other related persons can present potential or actual conflicts of interest and create the appearance that our decisions are based on considerations other than the best interests of our company and shareholders. Therefore, as a general matter and in accordance with our Code of Ethics, it is our preference to avoid such transactions. Nevertheless, we recognize that there are situations where such transactions may be in, or may not be inconsistent with, the best interests of our company. Under the terms of its charter, our Audit and Compliance Committee reviews and, if appropriate, approves or ratifies any such transactions. Pursuant to the charter, the Committee will review any transaction in which we are or will be a participant and the amount involved exceeds $120,000, and in which any of our directors or executives had, has or will have a direct or indirect material interest. After its review, the Committee will only approve or ratify those transactions that are in, or are not inconsistent with, the best interests of our company and our shareholders, as the Committee determines in good faith. The Company’s Board of Directors adopted the Company's Related Party Transactions Policy on January 18, 2017. This policy is available in our website at http://investors.clearone.com/governance.cfm.</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717804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b w:val="1"/>
          <w:bCs w:val="1"/>
          <w:color w:val="auto"/>
        </w:rPr>
        <w:t>Related Party Transactions: Consulting Agreement with Edward D. Bagley</w:t>
      </w:r>
    </w:p>
    <w:p>
      <w:pPr>
        <w:spacing w:after="0" w:line="154" w:lineRule="exact"/>
        <w:rPr>
          <w:sz w:val="20"/>
          <w:szCs w:val="20"/>
          <w:color w:val="auto"/>
        </w:rPr>
      </w:pPr>
    </w:p>
    <w:p>
      <w:pPr>
        <w:jc w:val="both"/>
        <w:ind w:right="20" w:firstLine="432"/>
        <w:spacing w:after="0" w:line="260" w:lineRule="auto"/>
        <w:rPr>
          <w:sz w:val="20"/>
          <w:szCs w:val="20"/>
          <w:color w:val="auto"/>
        </w:rPr>
      </w:pPr>
      <w:r>
        <w:rPr>
          <w:rFonts w:ascii="Times New Roman" w:cs="Times New Roman" w:eastAsia="Times New Roman" w:hAnsi="Times New Roman"/>
          <w:sz w:val="12"/>
          <w:szCs w:val="12"/>
          <w:color w:val="auto"/>
        </w:rPr>
        <w:t>On June 3, 2015, the Company entered into a Consulting Agreement with Edward D. Bagley, former Chairman of the Board and greater than 10% shareholder (“Consulting Agreement”) which became effective on July 29, 2015 for an initial term of three years which was renewed in 2018 for an additional term of three years through 2021. Pursuant to the terms of the Consulting Agreement Mr. Bagley is paid a fee of $5,000 per month and is eligible to participate in our equity incentive programs and will be granted stock options commensurate with grants of stock options made to our directors. During 2019, he was paid $60,000 as consulting fees but was not awarded any stock options.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Director Independence</w:t>
      </w:r>
    </w:p>
    <w:p>
      <w:pPr>
        <w:spacing w:after="0" w:line="154" w:lineRule="exact"/>
        <w:rPr>
          <w:sz w:val="20"/>
          <w:szCs w:val="20"/>
          <w:color w:val="auto"/>
        </w:rPr>
      </w:pPr>
    </w:p>
    <w:p>
      <w:pPr>
        <w:ind w:left="60" w:right="100" w:firstLine="432"/>
        <w:spacing w:after="0" w:line="279" w:lineRule="auto"/>
        <w:rPr>
          <w:sz w:val="20"/>
          <w:szCs w:val="20"/>
          <w:color w:val="auto"/>
        </w:rPr>
      </w:pPr>
      <w:r>
        <w:rPr>
          <w:rFonts w:ascii="Times New Roman" w:cs="Times New Roman" w:eastAsia="Times New Roman" w:hAnsi="Times New Roman"/>
          <w:sz w:val="12"/>
          <w:szCs w:val="12"/>
          <w:color w:val="auto"/>
        </w:rPr>
        <w:t>Our Board of Directors has determined, after considering all the relevant facts and circumstances, that Larry Hendricks, Eric Robinson and Bruce Whaley are independent directors, in accordance with the definition of “independence” under the listing standards of NASDAQ, because they have no relationship with us that would interfere with their exercise of independent judgment.</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Our Board of Directors has an Audit and Compliance Committee, a Compensation Committee, and a Nominating Committee, each consisting entirely of independent directors.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AUDIT AND COMPLIANCE COMMITTEE REPORT</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The Audit and Compliance Committee of the Board of Directors is comprised of three directors, all of whom are independent as defined in NASDAQ and SEC rules and regulations. The members of the Audit and Compliance Committee are Eric L. Robinson (Chair), Larry R. Hendricks, and Bruce Whaley. Eric L. Robinson is the Board of Directors’ designated “audit committee financial expert” as that term is defined in the securities laws. The Audit and Compliance Committee serves as an independent and objective party to monitor and provide general oversight of the Company’s financial accounting and reporting process, selection of critical accounting policies, system of internal control, internal audit function, audit process for monitoring compliance with laws and regulations and the Company’s standards of business conduct. The Audit and Compliance Committee performs these oversight responsibilities in accordance with its charter.</w:t>
      </w:r>
    </w:p>
    <w:p>
      <w:pPr>
        <w:spacing w:after="0" w:line="12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Company’s management has primary responsibility for preparing the Company’s financial statements and the Company’s financial reporting process, including its system of internal control over financial reporting. The Company’s independent registered public accountants, Tanner LLC, are responsible for expressing opinions on the conformity of the Company’s 2019 audited financial statements to accounting principles generally accepted in the United States of America and the effectiveness of the Company’s internal control over financial reporting as of December 31, 2019.</w:t>
      </w:r>
    </w:p>
    <w:p>
      <w:pPr>
        <w:spacing w:after="0" w:line="119"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The Audit and Compliance Committee discussed with the Company’s independent registered public accountants the overall scope and plans for its audits. The Audit and Compliance Committee met with the Company’s independent registered public accountants, with and without management present, to discuss the results of their examinations, their evaluations of the Company’s internal control over financial reporting, and the overall quality of the Company’s financial reporting.</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 this context, the Audit and Compliance Committee hereby reports as follows:</w:t>
      </w:r>
    </w:p>
    <w:p>
      <w:pPr>
        <w:spacing w:after="0" w:line="150" w:lineRule="exact"/>
        <w:rPr>
          <w:sz w:val="20"/>
          <w:szCs w:val="20"/>
          <w:color w:val="auto"/>
        </w:rPr>
      </w:pPr>
    </w:p>
    <w:p>
      <w:pPr>
        <w:ind w:firstLine="424"/>
        <w:spacing w:after="0" w:line="279" w:lineRule="auto"/>
        <w:tabs>
          <w:tab w:leader="none" w:pos="672"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Audit and Compliance Committee has reviewed and discussed the 2019 audited financial statements with the Company’s management, including the quality, not just the acceptability, of the Company’s accounting principles, the reasonableness of significant judgments, and the clarity of disclosures in the financial statements;</w:t>
      </w:r>
    </w:p>
    <w:p>
      <w:pPr>
        <w:spacing w:after="0" w:line="111" w:lineRule="exact"/>
        <w:rPr>
          <w:rFonts w:ascii="Times New Roman" w:cs="Times New Roman" w:eastAsia="Times New Roman" w:hAnsi="Times New Roman"/>
          <w:sz w:val="12"/>
          <w:szCs w:val="12"/>
          <w:color w:val="auto"/>
        </w:rPr>
      </w:pPr>
    </w:p>
    <w:p>
      <w:pPr>
        <w:ind w:right="20" w:firstLine="424"/>
        <w:spacing w:after="0" w:line="279" w:lineRule="auto"/>
        <w:tabs>
          <w:tab w:leader="none" w:pos="70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Audit Committee has discussed with the Company's independent registered public accountants the matters required to be discussed by the statement on Auditing Standards No. 1301, Communications with Audit Committees, as adopted by the Public Company Accounting Oversight Board;</w:t>
      </w:r>
    </w:p>
    <w:p>
      <w:pPr>
        <w:spacing w:after="0" w:line="111" w:lineRule="exact"/>
        <w:rPr>
          <w:rFonts w:ascii="Times New Roman" w:cs="Times New Roman" w:eastAsia="Times New Roman" w:hAnsi="Times New Roman"/>
          <w:sz w:val="12"/>
          <w:szCs w:val="12"/>
          <w:color w:val="auto"/>
        </w:rPr>
      </w:pPr>
    </w:p>
    <w:p>
      <w:pPr>
        <w:jc w:val="both"/>
        <w:ind w:firstLine="424"/>
        <w:spacing w:after="0" w:line="265" w:lineRule="auto"/>
        <w:tabs>
          <w:tab w:leader="none" w:pos="717"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Audit and Compliance Committee has received the written disclosures and the letter from the Company’s independent registered public accountants required by applicable requirements of the Public Company Accounting Oversight Board regarding the independent registered public accountant’s communications with the Audit and Compliance Committee concerning independence, and has discussed with the Company’s independent registered public accountants the independent registered public accountants’ independence from management and the Company; and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717804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14" w:name="page15"/>
    <w:bookmarkEnd w:id="14"/>
    <w:p>
      <w:pPr>
        <w:ind w:left="7" w:right="20" w:firstLine="424"/>
        <w:spacing w:after="0" w:line="279" w:lineRule="auto"/>
        <w:tabs>
          <w:tab w:leader="none" w:pos="723"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the review and discussions referred to in paragraphs (1) through (3) above, the Audit and Compliance Committee recommended to the Board of Directors (and the Board of Directors has approved) that the audited financial statements be included in the Company’s Annual Report on Form 10-K for the year ended December 31, 2019, for filing with the Securities and Exchange Commission on March 30, 2020.</w:t>
      </w:r>
    </w:p>
    <w:p>
      <w:pPr>
        <w:spacing w:after="0" w:line="111" w:lineRule="exact"/>
        <w:rPr>
          <w:sz w:val="20"/>
          <w:szCs w:val="20"/>
          <w:color w:val="auto"/>
        </w:rPr>
      </w:pPr>
    </w:p>
    <w:p>
      <w:pPr>
        <w:jc w:val="both"/>
        <w:ind w:left="7" w:firstLine="432"/>
        <w:spacing w:after="0" w:line="265" w:lineRule="auto"/>
        <w:rPr>
          <w:sz w:val="20"/>
          <w:szCs w:val="20"/>
          <w:color w:val="auto"/>
        </w:rPr>
      </w:pPr>
      <w:r>
        <w:rPr>
          <w:rFonts w:ascii="Times New Roman" w:cs="Times New Roman" w:eastAsia="Times New Roman" w:hAnsi="Times New Roman"/>
          <w:sz w:val="12"/>
          <w:szCs w:val="12"/>
          <w:color w:val="auto"/>
        </w:rPr>
        <w:t>The foregoing Audit and Compliance Committee Report does not constitute soliciting material and shall not be deemed filed or incorporated by reference into any other Company filing under the Securities Act of 1933, as amended, or Exchange Act, except to the extent the Company specifically incorporates this Audit and Compliance Committee Report by reference therein. Each of the members of the Audit and Compliance Committee is independent as defined under the standards of the NASDAQ Capital Market and the Securities and Exchange Commission, and meets all other requirements of such exchange and of such rules of the SEC.</w:t>
      </w:r>
    </w:p>
    <w:p>
      <w:pPr>
        <w:spacing w:after="0" w:line="119" w:lineRule="exact"/>
        <w:rPr>
          <w:sz w:val="20"/>
          <w:szCs w:val="20"/>
          <w:color w:val="auto"/>
        </w:rPr>
      </w:pPr>
    </w:p>
    <w:p>
      <w:pPr>
        <w:ind w:left="427"/>
        <w:spacing w:after="0"/>
        <w:rPr>
          <w:sz w:val="20"/>
          <w:szCs w:val="20"/>
          <w:color w:val="auto"/>
        </w:rPr>
      </w:pPr>
      <w:r>
        <w:rPr>
          <w:rFonts w:ascii="Times New Roman" w:cs="Times New Roman" w:eastAsia="Times New Roman" w:hAnsi="Times New Roman"/>
          <w:sz w:val="12"/>
          <w:szCs w:val="12"/>
          <w:color w:val="auto"/>
        </w:rPr>
        <w:t>Respectfully submitted by the members of the Audit and Compliance Committee.</w:t>
      </w:r>
    </w:p>
    <w:p>
      <w:pPr>
        <w:spacing w:after="0" w:line="150" w:lineRule="exact"/>
        <w:rPr>
          <w:sz w:val="20"/>
          <w:szCs w:val="20"/>
          <w:color w:val="auto"/>
        </w:rPr>
      </w:pPr>
    </w:p>
    <w:p>
      <w:pPr>
        <w:ind w:left="527"/>
        <w:spacing w:after="0"/>
        <w:rPr>
          <w:sz w:val="20"/>
          <w:szCs w:val="20"/>
          <w:color w:val="auto"/>
        </w:rPr>
      </w:pPr>
      <w:r>
        <w:rPr>
          <w:rFonts w:ascii="Times New Roman" w:cs="Times New Roman" w:eastAsia="Times New Roman" w:hAnsi="Times New Roman"/>
          <w:sz w:val="12"/>
          <w:szCs w:val="12"/>
          <w:color w:val="auto"/>
        </w:rPr>
        <w:t>Eric L. Robinson (Chair)</w:t>
      </w:r>
    </w:p>
    <w:p>
      <w:pPr>
        <w:spacing w:after="0" w:line="17" w:lineRule="exact"/>
        <w:rPr>
          <w:sz w:val="20"/>
          <w:szCs w:val="20"/>
          <w:color w:val="auto"/>
        </w:rPr>
      </w:pPr>
    </w:p>
    <w:p>
      <w:pPr>
        <w:ind w:left="527"/>
        <w:spacing w:after="0"/>
        <w:rPr>
          <w:sz w:val="20"/>
          <w:szCs w:val="20"/>
          <w:color w:val="auto"/>
        </w:rPr>
      </w:pPr>
      <w:r>
        <w:rPr>
          <w:rFonts w:ascii="Times New Roman" w:cs="Times New Roman" w:eastAsia="Times New Roman" w:hAnsi="Times New Roman"/>
          <w:sz w:val="12"/>
          <w:szCs w:val="12"/>
          <w:color w:val="auto"/>
        </w:rPr>
        <w:t>Larry R. Hendricks</w:t>
      </w:r>
    </w:p>
    <w:p>
      <w:pPr>
        <w:spacing w:after="0" w:line="6" w:lineRule="exact"/>
        <w:rPr>
          <w:sz w:val="20"/>
          <w:szCs w:val="20"/>
          <w:color w:val="auto"/>
        </w:rPr>
      </w:pPr>
    </w:p>
    <w:p>
      <w:pPr>
        <w:ind w:left="527"/>
        <w:spacing w:after="0"/>
        <w:rPr>
          <w:sz w:val="20"/>
          <w:szCs w:val="20"/>
          <w:color w:val="auto"/>
        </w:rPr>
      </w:pPr>
      <w:r>
        <w:rPr>
          <w:rFonts w:ascii="Times New Roman" w:cs="Times New Roman" w:eastAsia="Times New Roman" w:hAnsi="Times New Roman"/>
          <w:sz w:val="12"/>
          <w:szCs w:val="12"/>
          <w:color w:val="auto"/>
        </w:rPr>
        <w:t>Bruce Whaley</w:t>
      </w:r>
    </w:p>
    <w:p>
      <w:pPr>
        <w:spacing w:after="0" w:line="13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b w:val="1"/>
          <w:bCs w:val="1"/>
          <w:color w:val="auto"/>
        </w:rPr>
        <w:t>SECURITY OWNERSHIP OF CERTAIN BENEFICIAL OWNERS AND MANAGEMENT</w:t>
      </w:r>
    </w:p>
    <w:p>
      <w:pPr>
        <w:spacing w:after="0" w:line="154" w:lineRule="exact"/>
        <w:rPr>
          <w:sz w:val="20"/>
          <w:szCs w:val="20"/>
          <w:color w:val="auto"/>
        </w:rPr>
      </w:pPr>
    </w:p>
    <w:p>
      <w:pPr>
        <w:jc w:val="both"/>
        <w:ind w:left="7" w:right="20" w:firstLine="264"/>
        <w:spacing w:after="0" w:line="279" w:lineRule="auto"/>
        <w:rPr>
          <w:sz w:val="20"/>
          <w:szCs w:val="20"/>
          <w:color w:val="auto"/>
        </w:rPr>
      </w:pPr>
      <w:r>
        <w:rPr>
          <w:rFonts w:ascii="Times New Roman" w:cs="Times New Roman" w:eastAsia="Times New Roman" w:hAnsi="Times New Roman"/>
          <w:sz w:val="12"/>
          <w:szCs w:val="12"/>
          <w:color w:val="auto"/>
        </w:rPr>
        <w:t>The following table sets forth certain information regarding ownership of our common stock as of December 4, 2020, except as otherwise stated, by (i) each director and nominee for director, (ii) the named executive officers, (iii) all of our named executive officers and directors as a group, and (iv) each person known to us to be the beneficial owner of more than 5% of our outstanding common stock.</w:t>
      </w:r>
    </w:p>
    <w:p>
      <w:pPr>
        <w:spacing w:after="0" w:line="116" w:lineRule="exact"/>
        <w:rPr>
          <w:sz w:val="20"/>
          <w:szCs w:val="20"/>
          <w:color w:val="auto"/>
        </w:rPr>
      </w:pPr>
    </w:p>
    <w:tbl>
      <w:tblPr>
        <w:tblLayout w:type="fixed"/>
        <w:tblInd w:w="7" w:type="dxa"/>
        <w:tblCellMar>
          <w:top w:w="0" w:type="dxa"/>
          <w:left w:w="0" w:type="dxa"/>
          <w:bottom w:w="0" w:type="dxa"/>
          <w:right w:w="0" w:type="dxa"/>
        </w:tblCellMar>
      </w:tblPr>
      <w:tr>
        <w:trPr>
          <w:trHeight w:val="159"/>
        </w:trPr>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2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2"/>
                <w:szCs w:val="12"/>
                <w:b w:val="1"/>
                <w:bCs w:val="1"/>
                <w:color w:val="auto"/>
              </w:rPr>
              <w:t>Shares Beneficially Owned</w:t>
            </w:r>
          </w:p>
        </w:tc>
        <w:tc>
          <w:tcPr>
            <w:tcW w:w="3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center"/>
              <w:ind w:left="300"/>
              <w:spacing w:after="0" w:line="128" w:lineRule="exact"/>
              <w:rPr>
                <w:sz w:val="20"/>
                <w:szCs w:val="20"/>
                <w:color w:val="auto"/>
              </w:rPr>
            </w:pPr>
            <w:r>
              <w:rPr>
                <w:rFonts w:ascii="Times New Roman" w:cs="Times New Roman" w:eastAsia="Times New Roman" w:hAnsi="Times New Roman"/>
                <w:sz w:val="12"/>
                <w:szCs w:val="12"/>
                <w:b w:val="1"/>
                <w:bCs w:val="1"/>
                <w:color w:val="auto"/>
                <w:w w:val="97"/>
              </w:rPr>
              <w:t>Currently</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2"/>
                <w:szCs w:val="12"/>
                <w:b w:val="1"/>
                <w:bCs w:val="1"/>
                <w:color w:val="auto"/>
                <w:w w:val="99"/>
              </w:rPr>
              <w:t>Shares that</w:t>
            </w:r>
          </w:p>
        </w:tc>
        <w:tc>
          <w:tcPr>
            <w:tcW w:w="1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Currently</w:t>
            </w:r>
          </w:p>
        </w:tc>
        <w:tc>
          <w:tcPr>
            <w:tcW w:w="1020" w:type="dxa"/>
            <w:vAlign w:val="bottom"/>
          </w:tcPr>
          <w:p>
            <w:pPr>
              <w:jc w:val="center"/>
              <w:ind w:left="300"/>
              <w:spacing w:after="0"/>
              <w:rPr>
                <w:sz w:val="20"/>
                <w:szCs w:val="20"/>
                <w:color w:val="auto"/>
              </w:rPr>
            </w:pPr>
            <w:r>
              <w:rPr>
                <w:rFonts w:ascii="Times New Roman" w:cs="Times New Roman" w:eastAsia="Times New Roman" w:hAnsi="Times New Roman"/>
                <w:sz w:val="12"/>
                <w:szCs w:val="12"/>
                <w:b w:val="1"/>
                <w:bCs w:val="1"/>
                <w:color w:val="auto"/>
              </w:rPr>
              <w:t>Owned</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could be acquired</w:t>
            </w: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920" w:type="dxa"/>
            <w:vAlign w:val="bottom"/>
          </w:tcPr>
          <w:p>
            <w:pPr>
              <w:spacing w:after="0"/>
              <w:rPr>
                <w:sz w:val="14"/>
                <w:szCs w:val="14"/>
                <w:color w:val="auto"/>
              </w:rPr>
            </w:pPr>
          </w:p>
        </w:tc>
        <w:tc>
          <w:tcPr>
            <w:tcW w:w="2580" w:type="dxa"/>
            <w:vAlign w:val="bottom"/>
            <w:gridSpan w:val="5"/>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Name of Beneficial Owner</w:t>
            </w:r>
            <w:r>
              <w:rPr>
                <w:rFonts w:ascii="Times New Roman" w:cs="Times New Roman" w:eastAsia="Times New Roman" w:hAnsi="Times New Roman"/>
                <w:sz w:val="13"/>
                <w:szCs w:val="13"/>
                <w:b w:val="1"/>
                <w:bCs w:val="1"/>
                <w:color w:val="auto"/>
                <w:vertAlign w:val="superscript"/>
              </w:rPr>
              <w:t>(1)</w:t>
            </w: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6"/>
              </w:rPr>
              <w:t xml:space="preserve">Owned </w:t>
            </w:r>
            <w:r>
              <w:rPr>
                <w:rFonts w:ascii="Times New Roman" w:cs="Times New Roman" w:eastAsia="Times New Roman" w:hAnsi="Times New Roman"/>
                <w:sz w:val="13"/>
                <w:szCs w:val="13"/>
                <w:b w:val="1"/>
                <w:bCs w:val="1"/>
                <w:color w:val="auto"/>
                <w:w w:val="96"/>
                <w:vertAlign w:val="superscript"/>
              </w:rPr>
              <w:t>(2)</w:t>
            </w:r>
          </w:p>
        </w:tc>
        <w:tc>
          <w:tcPr>
            <w:tcW w:w="1020" w:type="dxa"/>
            <w:vAlign w:val="bottom"/>
          </w:tcPr>
          <w:p>
            <w:pPr>
              <w:jc w:val="center"/>
              <w:ind w:left="300"/>
              <w:spacing w:after="0"/>
              <w:rPr>
                <w:sz w:val="20"/>
                <w:szCs w:val="20"/>
                <w:color w:val="auto"/>
              </w:rPr>
            </w:pPr>
            <w:r>
              <w:rPr>
                <w:rFonts w:ascii="Times New Roman" w:cs="Times New Roman" w:eastAsia="Times New Roman" w:hAnsi="Times New Roman"/>
                <w:sz w:val="12"/>
                <w:szCs w:val="12"/>
                <w:b w:val="1"/>
                <w:bCs w:val="1"/>
                <w:color w:val="auto"/>
                <w:w w:val="95"/>
              </w:rPr>
              <w:t xml:space="preserve">Percent </w:t>
            </w:r>
            <w:r>
              <w:rPr>
                <w:rFonts w:ascii="Times New Roman" w:cs="Times New Roman" w:eastAsia="Times New Roman" w:hAnsi="Times New Roman"/>
                <w:sz w:val="13"/>
                <w:szCs w:val="13"/>
                <w:b w:val="1"/>
                <w:bCs w:val="1"/>
                <w:color w:val="auto"/>
                <w:w w:val="95"/>
                <w:vertAlign w:val="superscript"/>
              </w:rPr>
              <w:t>(2)</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6"/>
              </w:rPr>
              <w:t xml:space="preserve">within 60 days </w:t>
            </w:r>
            <w:r>
              <w:rPr>
                <w:rFonts w:ascii="Times New Roman" w:cs="Times New Roman" w:eastAsia="Times New Roman" w:hAnsi="Times New Roman"/>
                <w:sz w:val="13"/>
                <w:szCs w:val="13"/>
                <w:b w:val="1"/>
                <w:bCs w:val="1"/>
                <w:color w:val="auto"/>
                <w:w w:val="96"/>
                <w:vertAlign w:val="superscript"/>
              </w:rPr>
              <w:t>(2)</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3"/>
              </w:rPr>
              <w:t xml:space="preserve">Total </w:t>
            </w:r>
            <w:r>
              <w:rPr>
                <w:rFonts w:ascii="Times New Roman" w:cs="Times New Roman" w:eastAsia="Times New Roman" w:hAnsi="Times New Roman"/>
                <w:sz w:val="13"/>
                <w:szCs w:val="13"/>
                <w:b w:val="1"/>
                <w:bCs w:val="1"/>
                <w:color w:val="auto"/>
                <w:w w:val="93"/>
                <w:vertAlign w:val="superscript"/>
              </w:rPr>
              <w:t>(2)</w:t>
            </w: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 xml:space="preserve">Percent </w:t>
            </w:r>
            <w:r>
              <w:rPr>
                <w:rFonts w:ascii="Times New Roman" w:cs="Times New Roman" w:eastAsia="Times New Roman" w:hAnsi="Times New Roman"/>
                <w:sz w:val="13"/>
                <w:szCs w:val="13"/>
                <w:b w:val="1"/>
                <w:bCs w:val="1"/>
                <w:color w:val="auto"/>
                <w:vertAlign w:val="superscript"/>
              </w:rPr>
              <w:t>(2)</w:t>
            </w:r>
          </w:p>
        </w:tc>
        <w:tc>
          <w:tcPr>
            <w:tcW w:w="0" w:type="dxa"/>
            <w:vAlign w:val="bottom"/>
          </w:tcPr>
          <w:p>
            <w:pPr>
              <w:spacing w:after="0"/>
              <w:rPr>
                <w:sz w:val="1"/>
                <w:szCs w:val="1"/>
                <w:color w:val="auto"/>
              </w:rPr>
            </w:pPr>
          </w:p>
        </w:tc>
      </w:tr>
      <w:tr>
        <w:trPr>
          <w:trHeight w:val="146"/>
        </w:trPr>
        <w:tc>
          <w:tcPr>
            <w:tcW w:w="920" w:type="dxa"/>
            <w:vAlign w:val="bottom"/>
          </w:tcPr>
          <w:p>
            <w:pPr>
              <w:spacing w:after="0"/>
              <w:rPr>
                <w:sz w:val="12"/>
                <w:szCs w:val="12"/>
                <w:color w:val="auto"/>
              </w:rPr>
            </w:pPr>
          </w:p>
        </w:tc>
        <w:tc>
          <w:tcPr>
            <w:tcW w:w="2580" w:type="dxa"/>
            <w:vAlign w:val="bottom"/>
            <w:gridSpan w:val="5"/>
            <w:vMerge w:val="continue"/>
          </w:tcPr>
          <w:p>
            <w:pPr>
              <w:spacing w:after="0"/>
              <w:rPr>
                <w:sz w:val="12"/>
                <w:szCs w:val="12"/>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rPr>
              <w:t>(A)</w:t>
            </w:r>
          </w:p>
        </w:tc>
        <w:tc>
          <w:tcPr>
            <w:tcW w:w="1020" w:type="dxa"/>
            <w:vAlign w:val="bottom"/>
          </w:tcPr>
          <w:p>
            <w:pPr>
              <w:jc w:val="center"/>
              <w:ind w:left="280"/>
              <w:spacing w:after="0"/>
              <w:rPr>
                <w:sz w:val="20"/>
                <w:szCs w:val="20"/>
                <w:color w:val="auto"/>
              </w:rPr>
            </w:pPr>
            <w:r>
              <w:rPr>
                <w:rFonts w:ascii="Times New Roman" w:cs="Times New Roman" w:eastAsia="Times New Roman" w:hAnsi="Times New Roman"/>
                <w:sz w:val="12"/>
                <w:szCs w:val="12"/>
                <w:color w:val="auto"/>
                <w:w w:val="99"/>
              </w:rPr>
              <w:t>(B)</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(C)</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rPr>
              <w:t>(D)</w:t>
            </w:r>
          </w:p>
        </w:tc>
        <w:tc>
          <w:tcPr>
            <w:tcW w:w="1460" w:type="dxa"/>
            <w:vAlign w:val="bottom"/>
            <w:gridSpan w:val="2"/>
          </w:tcPr>
          <w:p>
            <w:pPr>
              <w:jc w:val="right"/>
              <w:ind w:right="700"/>
              <w:spacing w:after="0"/>
              <w:rPr>
                <w:sz w:val="20"/>
                <w:szCs w:val="20"/>
                <w:color w:val="auto"/>
              </w:rPr>
            </w:pPr>
            <w:r>
              <w:rPr>
                <w:rFonts w:ascii="Times New Roman" w:cs="Times New Roman" w:eastAsia="Times New Roman" w:hAnsi="Times New Roman"/>
                <w:sz w:val="12"/>
                <w:szCs w:val="12"/>
                <w:color w:val="auto"/>
              </w:rPr>
              <w:t>(E)</w:t>
            </w:r>
          </w:p>
        </w:tc>
        <w:tc>
          <w:tcPr>
            <w:tcW w:w="0" w:type="dxa"/>
            <w:vAlign w:val="bottom"/>
          </w:tcPr>
          <w:p>
            <w:pPr>
              <w:spacing w:after="0"/>
              <w:rPr>
                <w:sz w:val="1"/>
                <w:szCs w:val="1"/>
                <w:color w:val="auto"/>
              </w:rPr>
            </w:pPr>
          </w:p>
        </w:tc>
      </w:tr>
      <w:tr>
        <w:trPr>
          <w:trHeight w:val="122"/>
        </w:trPr>
        <w:tc>
          <w:tcPr>
            <w:tcW w:w="3380" w:type="dxa"/>
            <w:vAlign w:val="bottom"/>
            <w:tcBorders>
              <w:top w:val="single" w:sz="8" w:color="auto"/>
            </w:tcBorders>
            <w:gridSpan w:val="5"/>
            <w:shd w:val="clear" w:color="auto" w:fill="CCEEFF"/>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Directors and Executive Officers:</w:t>
            </w:r>
          </w:p>
        </w:tc>
        <w:tc>
          <w:tcPr>
            <w:tcW w:w="12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3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3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Zeynep Hakimoglu</w:t>
            </w:r>
          </w:p>
        </w:tc>
        <w:tc>
          <w:tcPr>
            <w:tcW w:w="40" w:type="dxa"/>
            <w:vAlign w:val="bottom"/>
            <w:tcBorders>
              <w:top w:val="single" w:sz="8" w:color="CCEEFF"/>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800" w:type="dxa"/>
            <w:vAlign w:val="bottom"/>
            <w:tcBorders>
              <w:top w:val="single" w:sz="8" w:color="CCEEFF"/>
            </w:tcBorders>
            <w:gridSpan w:val="2"/>
          </w:tcPr>
          <w:p>
            <w:pPr>
              <w:spacing w:after="0"/>
              <w:rPr>
                <w:sz w:val="12"/>
                <w:szCs w:val="12"/>
                <w:color w:val="auto"/>
              </w:rPr>
            </w:pPr>
          </w:p>
        </w:tc>
        <w:tc>
          <w:tcPr>
            <w:tcW w:w="1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865,341</w:t>
            </w:r>
          </w:p>
        </w:tc>
        <w:tc>
          <w:tcPr>
            <w:tcW w:w="240" w:type="dxa"/>
            <w:vAlign w:val="bottom"/>
            <w:tcBorders>
              <w:top w:val="single" w:sz="8" w:color="CCEEFF"/>
            </w:tcBorders>
          </w:tcPr>
          <w:p>
            <w:pPr>
              <w:spacing w:after="0"/>
              <w:rPr>
                <w:sz w:val="12"/>
                <w:szCs w:val="12"/>
                <w:color w:val="auto"/>
              </w:rPr>
            </w:pPr>
          </w:p>
        </w:tc>
        <w:tc>
          <w:tcPr>
            <w:tcW w:w="10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4.61%</w:t>
            </w:r>
          </w:p>
        </w:tc>
        <w:tc>
          <w:tcPr>
            <w:tcW w:w="1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205,015</w:t>
            </w:r>
          </w:p>
        </w:tc>
        <w:tc>
          <w:tcPr>
            <w:tcW w:w="220" w:type="dxa"/>
            <w:vAlign w:val="bottom"/>
            <w:tcBorders>
              <w:top w:val="single" w:sz="8" w:color="CCEEFF"/>
            </w:tcBorders>
          </w:tcPr>
          <w:p>
            <w:pPr>
              <w:spacing w:after="0"/>
              <w:rPr>
                <w:sz w:val="12"/>
                <w:szCs w:val="12"/>
                <w:color w:val="auto"/>
              </w:rPr>
            </w:pPr>
          </w:p>
        </w:tc>
        <w:tc>
          <w:tcPr>
            <w:tcW w:w="1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1,070,356</w:t>
            </w:r>
          </w:p>
        </w:tc>
        <w:tc>
          <w:tcPr>
            <w:tcW w:w="220" w:type="dxa"/>
            <w:vAlign w:val="bottom"/>
            <w:tcBorders>
              <w:top w:val="single" w:sz="8" w:color="CCEEFF"/>
            </w:tcBorders>
          </w:tcPr>
          <w:p>
            <w:pPr>
              <w:spacing w:after="0"/>
              <w:rPr>
                <w:sz w:val="12"/>
                <w:szCs w:val="12"/>
                <w:color w:val="auto"/>
              </w:rPr>
            </w:pPr>
          </w:p>
        </w:tc>
        <w:tc>
          <w:tcPr>
            <w:tcW w:w="14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0" w:type="dxa"/>
            <w:vAlign w:val="bottom"/>
          </w:tcPr>
          <w:p>
            <w:pPr>
              <w:spacing w:after="0"/>
              <w:rPr>
                <w:sz w:val="1"/>
                <w:szCs w:val="1"/>
                <w:color w:val="auto"/>
              </w:rPr>
            </w:pPr>
          </w:p>
        </w:tc>
      </w:tr>
      <w:tr>
        <w:trPr>
          <w:trHeight w:val="144"/>
        </w:trPr>
        <w:tc>
          <w:tcPr>
            <w:tcW w:w="35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2"/>
                <w:szCs w:val="12"/>
                <w:color w:val="auto"/>
              </w:rPr>
              <w:t>Larry R. Hendricks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4,048</w:t>
            </w: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0.02%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55,000</w:t>
            </w: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59,048</w:t>
            </w: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0.28%</w:t>
            </w:r>
          </w:p>
        </w:tc>
        <w:tc>
          <w:tcPr>
            <w:tcW w:w="0" w:type="dxa"/>
            <w:vAlign w:val="bottom"/>
          </w:tcPr>
          <w:p>
            <w:pPr>
              <w:spacing w:after="0"/>
              <w:rPr>
                <w:sz w:val="1"/>
                <w:szCs w:val="1"/>
                <w:color w:val="auto"/>
              </w:rPr>
            </w:pPr>
          </w:p>
        </w:tc>
      </w:tr>
      <w:tr>
        <w:trPr>
          <w:trHeight w:val="171"/>
        </w:trPr>
        <w:tc>
          <w:tcPr>
            <w:tcW w:w="3500" w:type="dxa"/>
            <w:vAlign w:val="bottom"/>
            <w:gridSpan w:val="6"/>
          </w:tcPr>
          <w:p>
            <w:pPr>
              <w:spacing w:after="0" w:line="171" w:lineRule="exact"/>
              <w:rPr>
                <w:sz w:val="20"/>
                <w:szCs w:val="20"/>
                <w:color w:val="auto"/>
              </w:rPr>
            </w:pPr>
            <w:r>
              <w:rPr>
                <w:rFonts w:ascii="Times New Roman" w:cs="Times New Roman" w:eastAsia="Times New Roman" w:hAnsi="Times New Roman"/>
                <w:sz w:val="12"/>
                <w:szCs w:val="12"/>
                <w:color w:val="auto"/>
              </w:rPr>
              <w:t>Lisa Higley</w:t>
            </w:r>
            <w:r>
              <w:rPr>
                <w:rFonts w:ascii="Times New Roman" w:cs="Times New Roman" w:eastAsia="Times New Roman" w:hAnsi="Times New Roman"/>
                <w:sz w:val="19"/>
                <w:szCs w:val="19"/>
                <w:color w:val="auto"/>
                <w:vertAlign w:val="superscript"/>
              </w:rPr>
              <w:t>(3)</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14,501</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0.08%</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14,501</w:t>
            </w:r>
          </w:p>
        </w:tc>
        <w:tc>
          <w:tcPr>
            <w:tcW w:w="22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0.07%</w:t>
            </w:r>
          </w:p>
        </w:tc>
        <w:tc>
          <w:tcPr>
            <w:tcW w:w="0" w:type="dxa"/>
            <w:vAlign w:val="bottom"/>
          </w:tcPr>
          <w:p>
            <w:pPr>
              <w:spacing w:after="0"/>
              <w:rPr>
                <w:sz w:val="1"/>
                <w:szCs w:val="1"/>
                <w:color w:val="auto"/>
              </w:rPr>
            </w:pPr>
          </w:p>
        </w:tc>
      </w:tr>
      <w:tr>
        <w:trPr>
          <w:trHeight w:val="153"/>
        </w:trPr>
        <w:tc>
          <w:tcPr>
            <w:tcW w:w="35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2"/>
                <w:szCs w:val="12"/>
                <w:color w:val="auto"/>
              </w:rPr>
              <w:t>Narsi Narayanan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9,928</w:t>
            </w: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0.05%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112,500</w:t>
            </w: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122,428</w:t>
            </w:r>
          </w:p>
        </w:tc>
        <w:tc>
          <w:tcPr>
            <w:tcW w:w="22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0.57%</w:t>
            </w:r>
          </w:p>
        </w:tc>
        <w:tc>
          <w:tcPr>
            <w:tcW w:w="0" w:type="dxa"/>
            <w:vAlign w:val="bottom"/>
          </w:tcPr>
          <w:p>
            <w:pPr>
              <w:spacing w:after="0"/>
              <w:rPr>
                <w:sz w:val="1"/>
                <w:szCs w:val="1"/>
                <w:color w:val="auto"/>
              </w:rPr>
            </w:pPr>
          </w:p>
        </w:tc>
      </w:tr>
      <w:tr>
        <w:trPr>
          <w:trHeight w:val="144"/>
        </w:trPr>
        <w:tc>
          <w:tcPr>
            <w:tcW w:w="350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Eric L. Robinson</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0.00%</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28,333</w:t>
            </w: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28,398</w:t>
            </w:r>
          </w:p>
        </w:tc>
        <w:tc>
          <w:tcPr>
            <w:tcW w:w="220" w:type="dxa"/>
            <w:vAlign w:val="bottom"/>
          </w:tcPr>
          <w:p>
            <w:pPr>
              <w:spacing w:after="0"/>
              <w:rPr>
                <w:sz w:val="12"/>
                <w:szCs w:val="12"/>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0.13%</w:t>
            </w:r>
          </w:p>
        </w:tc>
        <w:tc>
          <w:tcPr>
            <w:tcW w:w="0" w:type="dxa"/>
            <w:vAlign w:val="bottom"/>
          </w:tcPr>
          <w:p>
            <w:pPr>
              <w:spacing w:after="0"/>
              <w:rPr>
                <w:sz w:val="1"/>
                <w:szCs w:val="1"/>
                <w:color w:val="auto"/>
              </w:rPr>
            </w:pPr>
          </w:p>
        </w:tc>
      </w:tr>
      <w:tr>
        <w:trPr>
          <w:trHeight w:val="153"/>
        </w:trPr>
        <w:tc>
          <w:tcPr>
            <w:tcW w:w="35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2"/>
                <w:szCs w:val="12"/>
                <w:color w:val="auto"/>
              </w:rPr>
              <w:t>Bruce Whaley</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9,000</w:t>
            </w: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0.05%</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9,000</w:t>
            </w:r>
          </w:p>
        </w:tc>
        <w:tc>
          <w:tcPr>
            <w:tcW w:w="22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0.04%</w:t>
            </w:r>
          </w:p>
        </w:tc>
        <w:tc>
          <w:tcPr>
            <w:tcW w:w="0" w:type="dxa"/>
            <w:vAlign w:val="bottom"/>
          </w:tcPr>
          <w:p>
            <w:pPr>
              <w:spacing w:after="0"/>
              <w:rPr>
                <w:sz w:val="1"/>
                <w:szCs w:val="1"/>
                <w:color w:val="auto"/>
              </w:rPr>
            </w:pPr>
          </w:p>
        </w:tc>
      </w:tr>
      <w:tr>
        <w:trPr>
          <w:trHeight w:val="20"/>
        </w:trPr>
        <w:tc>
          <w:tcPr>
            <w:tcW w:w="3500" w:type="dxa"/>
            <w:vAlign w:val="bottom"/>
            <w:gridSpan w:val="6"/>
            <w:vMerge w:val="restart"/>
          </w:tcPr>
          <w:p>
            <w:pPr>
              <w:spacing w:after="0"/>
              <w:rPr>
                <w:sz w:val="20"/>
                <w:szCs w:val="20"/>
                <w:color w:val="auto"/>
              </w:rPr>
            </w:pPr>
            <w:r>
              <w:rPr>
                <w:rFonts w:ascii="Times New Roman" w:cs="Times New Roman" w:eastAsia="Times New Roman" w:hAnsi="Times New Roman"/>
                <w:sz w:val="12"/>
                <w:szCs w:val="12"/>
                <w:color w:val="auto"/>
              </w:rPr>
              <w:t>Total (Directors and Officers)</w:t>
            </w:r>
          </w:p>
        </w:tc>
        <w:tc>
          <w:tcPr>
            <w:tcW w:w="1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500" w:type="dxa"/>
            <w:vAlign w:val="bottom"/>
            <w:gridSpan w:val="6"/>
            <w:vMerge w:val="continue"/>
          </w:tcPr>
          <w:p>
            <w:pPr>
              <w:spacing w:after="0"/>
              <w:rPr>
                <w:sz w:val="11"/>
                <w:szCs w:val="11"/>
                <w:color w:val="auto"/>
              </w:rPr>
            </w:pPr>
          </w:p>
        </w:tc>
        <w:tc>
          <w:tcPr>
            <w:tcW w:w="13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902,883</w:t>
            </w: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4.81%</w:t>
            </w:r>
          </w:p>
        </w:tc>
        <w:tc>
          <w:tcPr>
            <w:tcW w:w="13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400,848</w:t>
            </w:r>
          </w:p>
        </w:tc>
        <w:tc>
          <w:tcPr>
            <w:tcW w:w="220" w:type="dxa"/>
            <w:vAlign w:val="bottom"/>
          </w:tcPr>
          <w:p>
            <w:pPr>
              <w:spacing w:after="0"/>
              <w:rPr>
                <w:sz w:val="11"/>
                <w:szCs w:val="11"/>
                <w:color w:val="auto"/>
              </w:rPr>
            </w:pPr>
          </w:p>
        </w:tc>
        <w:tc>
          <w:tcPr>
            <w:tcW w:w="13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1,303,731</w:t>
            </w:r>
          </w:p>
        </w:tc>
        <w:tc>
          <w:tcPr>
            <w:tcW w:w="220" w:type="dxa"/>
            <w:vAlign w:val="bottom"/>
          </w:tcPr>
          <w:p>
            <w:pPr>
              <w:spacing w:after="0"/>
              <w:rPr>
                <w:sz w:val="11"/>
                <w:szCs w:val="11"/>
                <w:color w:val="auto"/>
              </w:rPr>
            </w:pPr>
          </w:p>
        </w:tc>
        <w:tc>
          <w:tcPr>
            <w:tcW w:w="14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6.09%</w:t>
            </w:r>
          </w:p>
        </w:tc>
        <w:tc>
          <w:tcPr>
            <w:tcW w:w="0" w:type="dxa"/>
            <w:vAlign w:val="bottom"/>
          </w:tcPr>
          <w:p>
            <w:pPr>
              <w:spacing w:after="0"/>
              <w:rPr>
                <w:sz w:val="1"/>
                <w:szCs w:val="1"/>
                <w:color w:val="auto"/>
              </w:rPr>
            </w:pPr>
          </w:p>
        </w:tc>
      </w:tr>
      <w:tr>
        <w:trPr>
          <w:trHeight w:val="106"/>
        </w:trPr>
        <w:tc>
          <w:tcPr>
            <w:tcW w:w="3500" w:type="dxa"/>
            <w:vAlign w:val="bottom"/>
            <w:tcBorders>
              <w:top w:val="single" w:sz="8" w:color="CCEEFF"/>
            </w:tcBorders>
            <w:gridSpan w:val="6"/>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5% Shareholders:</w:t>
            </w:r>
          </w:p>
        </w:tc>
        <w:tc>
          <w:tcPr>
            <w:tcW w:w="13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3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3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3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9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500" w:type="dxa"/>
            <w:vAlign w:val="bottom"/>
            <w:gridSpan w:val="6"/>
          </w:tcPr>
          <w:p>
            <w:pPr>
              <w:spacing w:after="0" w:line="171" w:lineRule="exact"/>
              <w:rPr>
                <w:sz w:val="20"/>
                <w:szCs w:val="20"/>
                <w:color w:val="auto"/>
              </w:rPr>
            </w:pPr>
            <w:r>
              <w:rPr>
                <w:rFonts w:ascii="Times New Roman" w:cs="Times New Roman" w:eastAsia="Times New Roman" w:hAnsi="Times New Roman"/>
                <w:sz w:val="12"/>
                <w:szCs w:val="12"/>
                <w:color w:val="auto"/>
              </w:rPr>
              <w:t xml:space="preserve">Edward D. Bagley </w:t>
            </w:r>
            <w:r>
              <w:rPr>
                <w:rFonts w:ascii="Times New Roman" w:cs="Times New Roman" w:eastAsia="Times New Roman" w:hAnsi="Times New Roman"/>
                <w:sz w:val="19"/>
                <w:szCs w:val="19"/>
                <w:color w:val="auto"/>
                <w:vertAlign w:val="superscript"/>
              </w:rPr>
              <w:t>(4)</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8,309,822</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44.28%</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1,898,462</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10,208,284</w:t>
            </w:r>
          </w:p>
        </w:tc>
        <w:tc>
          <w:tcPr>
            <w:tcW w:w="22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47.68%</w:t>
            </w:r>
          </w:p>
        </w:tc>
        <w:tc>
          <w:tcPr>
            <w:tcW w:w="0" w:type="dxa"/>
            <w:vAlign w:val="bottom"/>
          </w:tcPr>
          <w:p>
            <w:pPr>
              <w:spacing w:after="0"/>
              <w:rPr>
                <w:sz w:val="1"/>
                <w:szCs w:val="1"/>
                <w:color w:val="auto"/>
              </w:rPr>
            </w:pPr>
          </w:p>
        </w:tc>
      </w:tr>
      <w:tr>
        <w:trPr>
          <w:trHeight w:val="171"/>
        </w:trPr>
        <w:tc>
          <w:tcPr>
            <w:tcW w:w="3500" w:type="dxa"/>
            <w:vAlign w:val="bottom"/>
            <w:gridSpan w:val="6"/>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 xml:space="preserve">E. Bryan Bagley </w:t>
            </w:r>
            <w:r>
              <w:rPr>
                <w:rFonts w:ascii="Times New Roman" w:cs="Times New Roman" w:eastAsia="Times New Roman" w:hAnsi="Times New Roman"/>
                <w:sz w:val="19"/>
                <w:szCs w:val="19"/>
                <w:color w:val="auto"/>
                <w:vertAlign w:val="superscript"/>
              </w:rPr>
              <w:t>(5)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1,236,630</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6.59%</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343,784</w:t>
            </w: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1,580,414</w:t>
            </w:r>
          </w:p>
        </w:tc>
        <w:tc>
          <w:tcPr>
            <w:tcW w:w="2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7.38%</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427" w:hanging="427"/>
        <w:spacing w:after="0" w:line="279" w:lineRule="auto"/>
        <w:tabs>
          <w:tab w:leader="none" w:pos="427"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otherwise indicated, each person named in the table has sole voting and investment power with respect to all common stock beneficially owned, subject to applicable community property law. Except as otherwise indicated, each person may be reached at our corporate offices c/o ClearOne, Inc., 5225 Wiley Post Way, Suite 500, Salt Lake City, Utah 84116.</w:t>
      </w:r>
    </w:p>
    <w:p>
      <w:pPr>
        <w:spacing w:after="0" w:line="111" w:lineRule="exact"/>
        <w:rPr>
          <w:rFonts w:ascii="Times New Roman" w:cs="Times New Roman" w:eastAsia="Times New Roman" w:hAnsi="Times New Roman"/>
          <w:sz w:val="12"/>
          <w:szCs w:val="12"/>
          <w:color w:val="auto"/>
        </w:rPr>
      </w:pPr>
    </w:p>
    <w:p>
      <w:pPr>
        <w:jc w:val="both"/>
        <w:ind w:left="427" w:hanging="427"/>
        <w:spacing w:after="0" w:line="256" w:lineRule="auto"/>
        <w:tabs>
          <w:tab w:leader="none" w:pos="427"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percentages shown in Column (B) are calculated based on 18,766,775 shares of common stock outstanding on December 4, 2020. The numbers shown in Column (D) and percentages shown in Column (E) include the shares of common stock actually owned as of December 4, 2020 and the shares of common stock that the identified person or group had the right to acquire within 60 days of such date. In calculating the percentage of ownership, all shares of common stock that each identified person or group had the right to acquire within 60 days of December 4, 2020 upon the exercise of options, secured convertible notes and warrants shown in Column</w:t>
      </w:r>
    </w:p>
    <w:p>
      <w:pPr>
        <w:spacing w:after="0" w:line="1" w:lineRule="exact"/>
        <w:rPr>
          <w:rFonts w:ascii="Times New Roman" w:cs="Times New Roman" w:eastAsia="Times New Roman" w:hAnsi="Times New Roman"/>
          <w:sz w:val="12"/>
          <w:szCs w:val="12"/>
          <w:color w:val="auto"/>
        </w:rPr>
      </w:pPr>
    </w:p>
    <w:p>
      <w:pPr>
        <w:ind w:left="427"/>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 are deemed to be outstanding for the purpose of computing the percentage of the shares of common stock owned by the persons or groups listed above.</w:t>
      </w:r>
    </w:p>
    <w:p>
      <w:pPr>
        <w:spacing w:after="0" w:line="15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717804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7"/>
          </w:cols>
          <w:pgMar w:left="293" w:top="273" w:right="299" w:bottom="1440" w:gutter="0" w:footer="0" w:header="0"/>
        </w:sectPr>
      </w:pPr>
    </w:p>
    <w:bookmarkStart w:id="15" w:name="page16"/>
    <w:bookmarkEnd w:id="15"/>
    <w:p>
      <w:pPr>
        <w:ind w:left="427" w:hanging="427"/>
        <w:spacing w:after="0" w:line="279" w:lineRule="auto"/>
        <w:tabs>
          <w:tab w:leader="none" w:pos="427"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information is based upon the Form 3 filed with the SEC as of July 20, 2020. Lisa Higley, who was appointed a Director effective July 20, 2020, is the daughter of Edward D. Bagley, and each of them has previously disclaim include 6,546 shares owned by her spouse and 2,252,636 shares held by a trust in which she is a co-trustee.</w:t>
      </w:r>
    </w:p>
    <w:p>
      <w:pPr>
        <w:spacing w:after="0" w:line="111" w:lineRule="exact"/>
        <w:rPr>
          <w:rFonts w:ascii="Times New Roman" w:cs="Times New Roman" w:eastAsia="Times New Roman" w:hAnsi="Times New Roman"/>
          <w:sz w:val="12"/>
          <w:szCs w:val="12"/>
          <w:color w:val="auto"/>
        </w:rPr>
      </w:pPr>
    </w:p>
    <w:p>
      <w:pPr>
        <w:jc w:val="both"/>
        <w:ind w:left="427" w:right="60" w:hanging="427"/>
        <w:spacing w:after="0" w:line="254" w:lineRule="auto"/>
        <w:tabs>
          <w:tab w:leader="none" w:pos="427"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Edward D. Bagley may be deemed to own an additional 2,252,636 shares of common stock that are deemed to be owned by his wife, Carolyn Bagley, as a result of her acting as one of four co-trustees of a trust. Mr. Bagley may be deemed to own an additional 355,257 shares of common stock that Carolyn Bagley owns individually. Mr. Bagley, however, disclaims beneficial ownership of these shares that may be indirectly beneficially owned by Mr. Bagley and they are excluded from the amounts reported in the table above. Mr. Edward D. Bagley has sole voting and dispositive power over 10,208,284 shares (including the shares that may be acquired pursuant to exercise of options to purchase 28,333 shares of common stock, secured convertible notes to purchase 1,184,834 shares of common stock and warrants to purchase 685,295 shares of common stock) and shared voting and dispositive power over the 355,257 shares held by Mr. Edward D. Bagley’s spouse. This information is based upon Schedule 13D/A and Form 4 as filed by Mr. Bagley with the SEC in September 2020 and December 2020, respectively. E. Bryan Bagley, who resigned as Director effective November 6, 2012, is the son of Edward D. Bagley, and each of them has previously disclaimed beneficial ownership of common stock beneficially owned by the other. Lisa Higley, who was appointed a Director effective July 20, 2020, is the daughter of Edward D. Bagley, and each of them has previously disclaimed beneficial ownership of common stock beneficially owned by the other. The share amounts indicated for Mr. Edward D. Bagley do not include any shares held by E. Bryan Bagley or Lisa Higley.</w:t>
      </w:r>
    </w:p>
    <w:p>
      <w:pPr>
        <w:spacing w:after="0" w:line="127" w:lineRule="exact"/>
        <w:rPr>
          <w:rFonts w:ascii="Times New Roman" w:cs="Times New Roman" w:eastAsia="Times New Roman" w:hAnsi="Times New Roman"/>
          <w:sz w:val="12"/>
          <w:szCs w:val="12"/>
          <w:color w:val="auto"/>
        </w:rPr>
      </w:pPr>
    </w:p>
    <w:p>
      <w:pPr>
        <w:ind w:left="427" w:right="100" w:hanging="427"/>
        <w:spacing w:after="0" w:line="260" w:lineRule="auto"/>
        <w:tabs>
          <w:tab w:leader="none" w:pos="427"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E. Bryan Bagley has sole voting and dispositive power over 1,580,414 shares (including the shares that may be acquired pursuant to exercise of secured convertible notes to purchase 236,966 shares of common stock and warrants to purchase 106,818 shares of common stock) This information is based upon Schedule 13D/A as filed by E. Bryan Bagley with the SEC in September 2020. E. Bryan Bagley, who resigned as Director effective November 6, 2012, is the son of Edward D. Bagley, and each of them has previously disclaimed beneficial ownership of common stock beneficially owned by the other. The share amounts indicated for Mr. E. Bryan Bagley do not include any shares held by Edward D. Bagley. The share amounts indicated for Mr. E. Bryan Bagley do no include 2,252,636 shares held by a trust in which he is a co-trustee.</w:t>
      </w:r>
    </w:p>
    <w:p>
      <w:pPr>
        <w:spacing w:after="0" w:line="176"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717804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67"/>
          </w:cols>
          <w:pgMar w:left="293" w:top="417" w:right="239" w:bottom="1440"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271780</wp:posOffset>
            </wp:positionV>
            <wp:extent cx="4086225" cy="4211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4086225" cy="42119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lvl w:ilvl="1">
      <w:lvlJc w:val="left"/>
      <w:lvlText w:val="%2)"/>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lowerRoman"/>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4"/>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2020-12-08T05:02:26Z</dcterms:created>
  <dcterms:modified xsi:type="dcterms:W3CDTF">2020-12-08T05:02:26Z</dcterms:modified>
</cp:coreProperties>
</file>