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2, 2014</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jc w:val="center"/>
              <w:ind w:left="750"/>
              <w:spacing w:after="0"/>
              <w:rPr>
                <w:sz w:val="20"/>
                <w:szCs w:val="20"/>
                <w:color w:val="auto"/>
              </w:rPr>
            </w:pPr>
            <w:r>
              <w:rPr>
                <w:rFonts w:ascii="Arial" w:cs="Arial" w:eastAsia="Arial" w:hAnsi="Arial"/>
                <w:sz w:val="18"/>
                <w:szCs w:val="18"/>
                <w:b w:val="1"/>
                <w:bCs w:val="1"/>
                <w:color w:val="auto"/>
                <w:w w:val="94"/>
              </w:rPr>
              <w:t>Utah</w:t>
            </w:r>
          </w:p>
        </w:tc>
        <w:tc>
          <w:tcPr>
            <w:tcW w:w="340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001-33660</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87-0398877</w:t>
            </w:r>
          </w:p>
        </w:tc>
      </w:tr>
      <w:tr>
        <w:trPr>
          <w:trHeight w:val="54"/>
        </w:trPr>
        <w:tc>
          <w:tcPr>
            <w:tcW w:w="29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37"/>
        </w:trPr>
        <w:tc>
          <w:tcPr>
            <w:tcW w:w="2900" w:type="dxa"/>
            <w:vAlign w:val="bottom"/>
          </w:tcPr>
          <w:p>
            <w:pPr>
              <w:jc w:val="center"/>
              <w:ind w:left="750"/>
              <w:spacing w:after="0"/>
              <w:rPr>
                <w:sz w:val="20"/>
                <w:szCs w:val="20"/>
                <w:color w:val="auto"/>
              </w:rPr>
            </w:pPr>
            <w:r>
              <w:rPr>
                <w:rFonts w:ascii="Arial" w:cs="Arial" w:eastAsia="Arial" w:hAnsi="Arial"/>
                <w:sz w:val="18"/>
                <w:szCs w:val="18"/>
                <w:color w:val="auto"/>
                <w:w w:val="92"/>
              </w:rPr>
              <w:t>(State or other jurisdiction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jc w:val="center"/>
              <w:ind w:right="870"/>
              <w:spacing w:after="0"/>
              <w:rPr>
                <w:sz w:val="20"/>
                <w:szCs w:val="20"/>
                <w:color w:val="auto"/>
              </w:rPr>
            </w:pPr>
            <w:r>
              <w:rPr>
                <w:rFonts w:ascii="Arial" w:cs="Arial" w:eastAsia="Arial" w:hAnsi="Arial"/>
                <w:sz w:val="18"/>
                <w:szCs w:val="18"/>
                <w:color w:val="auto"/>
                <w:w w:val="93"/>
              </w:rPr>
              <w:t>(I.R.S. Employer</w:t>
            </w:r>
          </w:p>
        </w:tc>
      </w:tr>
      <w:tr>
        <w:trPr>
          <w:trHeight w:val="243"/>
        </w:trPr>
        <w:tc>
          <w:tcPr>
            <w:tcW w:w="2900" w:type="dxa"/>
            <w:vAlign w:val="bottom"/>
          </w:tcPr>
          <w:p>
            <w:pPr>
              <w:jc w:val="center"/>
              <w:ind w:left="750"/>
              <w:spacing w:after="0"/>
              <w:rPr>
                <w:sz w:val="20"/>
                <w:szCs w:val="20"/>
                <w:color w:val="auto"/>
              </w:rPr>
            </w:pPr>
            <w:r>
              <w:rPr>
                <w:rFonts w:ascii="Arial" w:cs="Arial" w:eastAsia="Arial" w:hAnsi="Arial"/>
                <w:sz w:val="18"/>
                <w:szCs w:val="18"/>
                <w:color w:val="auto"/>
                <w:w w:val="93"/>
              </w:rPr>
              <w:t>of incorporation)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20" w:type="dxa"/>
            <w:vAlign w:val="bottom"/>
            <w:gridSpan w:val="6"/>
          </w:tcPr>
          <w:p>
            <w:pPr>
              <w:jc w:val="center"/>
              <w:ind w:right="1180"/>
              <w:spacing w:after="0"/>
              <w:rPr>
                <w:sz w:val="20"/>
                <w:szCs w:val="20"/>
                <w:color w:val="auto"/>
              </w:rPr>
            </w:pPr>
            <w:r>
              <w:rPr>
                <w:rFonts w:ascii="Arial" w:cs="Arial" w:eastAsia="Arial" w:hAnsi="Arial"/>
                <w:sz w:val="18"/>
                <w:szCs w:val="18"/>
                <w:color w:val="auto"/>
                <w:w w:val="92"/>
              </w:rPr>
              <w:t>(Commission File Number)</w:t>
            </w:r>
          </w:p>
        </w:tc>
        <w:tc>
          <w:tcPr>
            <w:tcW w:w="2400" w:type="dxa"/>
            <w:vAlign w:val="bottom"/>
          </w:tcPr>
          <w:p>
            <w:pPr>
              <w:jc w:val="center"/>
              <w:ind w:right="890"/>
              <w:spacing w:after="0"/>
              <w:rPr>
                <w:sz w:val="20"/>
                <w:szCs w:val="20"/>
                <w:color w:val="auto"/>
              </w:rPr>
            </w:pPr>
            <w:r>
              <w:rPr>
                <w:rFonts w:ascii="Arial" w:cs="Arial" w:eastAsia="Arial" w:hAnsi="Arial"/>
                <w:sz w:val="18"/>
                <w:szCs w:val="18"/>
                <w:color w:val="auto"/>
                <w:w w:val="95"/>
              </w:rPr>
              <w:t>Identification No.)</w:t>
            </w:r>
          </w:p>
        </w:tc>
      </w:tr>
      <w:tr>
        <w:trPr>
          <w:trHeight w:val="778"/>
        </w:trPr>
        <w:tc>
          <w:tcPr>
            <w:tcW w:w="2900" w:type="dxa"/>
            <w:vAlign w:val="bottom"/>
          </w:tcPr>
          <w:p>
            <w:pPr>
              <w:spacing w:after="0"/>
              <w:rPr>
                <w:sz w:val="24"/>
                <w:szCs w:val="24"/>
                <w:color w:val="auto"/>
              </w:rPr>
            </w:pPr>
          </w:p>
        </w:tc>
        <w:tc>
          <w:tcPr>
            <w:tcW w:w="61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61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2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6120" w:type="dxa"/>
            <w:vAlign w:val="bottom"/>
            <w:gridSpan w:val="8"/>
          </w:tcPr>
          <w:p>
            <w:pPr>
              <w:jc w:val="center"/>
              <w:ind w:right="3060"/>
              <w:spacing w:after="0"/>
              <w:rPr>
                <w:sz w:val="20"/>
                <w:szCs w:val="20"/>
                <w:color w:val="auto"/>
              </w:rPr>
            </w:pPr>
            <w:r>
              <w:rPr>
                <w:rFonts w:ascii="Arial" w:cs="Arial" w:eastAsia="Arial" w:hAnsi="Arial"/>
                <w:sz w:val="18"/>
                <w:szCs w:val="18"/>
                <w:color w:val="auto"/>
                <w:w w:val="92"/>
              </w:rPr>
              <w:t>(Address of principal executive offices)</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46"/>
        </w:trPr>
        <w:tc>
          <w:tcPr>
            <w:tcW w:w="2900" w:type="dxa"/>
            <w:vAlign w:val="bottom"/>
          </w:tcPr>
          <w:p>
            <w:pPr>
              <w:spacing w:after="0"/>
              <w:rPr>
                <w:sz w:val="24"/>
                <w:szCs w:val="24"/>
                <w:color w:val="auto"/>
              </w:rPr>
            </w:pPr>
          </w:p>
        </w:tc>
        <w:tc>
          <w:tcPr>
            <w:tcW w:w="3400" w:type="dxa"/>
            <w:vAlign w:val="bottom"/>
            <w:gridSpan w:val="4"/>
          </w:tcPr>
          <w:p>
            <w:pPr>
              <w:jc w:val="center"/>
              <w:ind w:left="2150"/>
              <w:spacing w:after="0"/>
              <w:rPr>
                <w:sz w:val="20"/>
                <w:szCs w:val="20"/>
                <w:color w:val="auto"/>
              </w:rPr>
            </w:pPr>
            <w:r>
              <w:rPr>
                <w:rFonts w:ascii="Arial" w:cs="Arial" w:eastAsia="Arial" w:hAnsi="Arial"/>
                <w:sz w:val="18"/>
                <w:szCs w:val="18"/>
                <w:b w:val="1"/>
                <w:bCs w:val="1"/>
                <w:color w:val="auto"/>
                <w:w w:val="90"/>
              </w:rPr>
              <w:t>(801) 975-7200</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Borders>
              <w:right w:val="single" w:sz="8" w:color="auto"/>
            </w:tcBorders>
            <w:gridSpan w:val="2"/>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7"/>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126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4"/>
                <w:szCs w:val="24"/>
                <w:color w:val="auto"/>
              </w:rPr>
            </w:pPr>
          </w:p>
        </w:tc>
      </w:tr>
      <w:tr>
        <w:trPr>
          <w:trHeight w:val="473"/>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20" w:type="dxa"/>
            <w:vAlign w:val="bottom"/>
            <w:gridSpan w:val="4"/>
          </w:tcPr>
          <w:p>
            <w:pPr>
              <w:spacing w:after="0"/>
              <w:rPr>
                <w:sz w:val="24"/>
                <w:szCs w:val="24"/>
                <w:color w:val="auto"/>
              </w:rPr>
            </w:pPr>
          </w:p>
        </w:tc>
        <w:tc>
          <w:tcPr>
            <w:tcW w:w="2400" w:type="dxa"/>
            <w:vAlign w:val="bottom"/>
          </w:tcPr>
          <w:p>
            <w:pPr>
              <w:spacing w:after="0"/>
              <w:rPr>
                <w:sz w:val="24"/>
                <w:szCs w:val="24"/>
                <w:color w:val="auto"/>
              </w:rPr>
            </w:pPr>
          </w:p>
        </w:tc>
      </w:tr>
      <w:tr>
        <w:trPr>
          <w:trHeight w:val="277"/>
        </w:trPr>
        <w:tc>
          <w:tcPr>
            <w:tcW w:w="2900" w:type="dxa"/>
            <w:vAlign w:val="bottom"/>
          </w:tcPr>
          <w:p>
            <w:pPr>
              <w:spacing w:after="0"/>
              <w:rPr>
                <w:sz w:val="24"/>
                <w:szCs w:val="24"/>
                <w:color w:val="auto"/>
              </w:rPr>
            </w:pPr>
          </w:p>
        </w:tc>
        <w:tc>
          <w:tcPr>
            <w:tcW w:w="6120" w:type="dxa"/>
            <w:vAlign w:val="bottom"/>
            <w:gridSpan w:val="8"/>
          </w:tcPr>
          <w:p>
            <w:pPr>
              <w:jc w:val="center"/>
              <w:ind w:right="5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4"/>
                <w:szCs w:val="24"/>
                <w:color w:val="auto"/>
              </w:rPr>
            </w:pPr>
          </w:p>
        </w:tc>
      </w:tr>
    </w:tbl>
    <w:p>
      <w:pPr>
        <w:spacing w:after="0" w:line="283"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5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5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5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106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2, 2014, ClearOne, Inc. issued a press release announcing the declaration of a cash dividend by the company's Board of Directors. The full text of the press release is attached as Exhibit 99.1.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99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380" w:type="dxa"/>
            <w:vAlign w:val="bottom"/>
            <w:gridSpan w:val="2"/>
          </w:tcPr>
          <w:p>
            <w:pPr>
              <w:ind w:left="80"/>
              <w:spacing w:after="0"/>
              <w:rPr>
                <w:sz w:val="20"/>
                <w:szCs w:val="20"/>
                <w:color w:val="auto"/>
              </w:rPr>
            </w:pPr>
            <w:r>
              <w:rPr>
                <w:rFonts w:ascii="Arial" w:cs="Arial" w:eastAsia="Arial" w:hAnsi="Arial"/>
                <w:sz w:val="16"/>
                <w:szCs w:val="16"/>
                <w:color w:val="auto"/>
              </w:rPr>
              <w:t>Exhibit 99.1</w:t>
            </w:r>
          </w:p>
        </w:tc>
        <w:tc>
          <w:tcPr>
            <w:tcW w:w="9980" w:type="dxa"/>
            <w:vAlign w:val="bottom"/>
          </w:tcPr>
          <w:p>
            <w:pPr>
              <w:ind w:left="80"/>
              <w:spacing w:after="0"/>
              <w:rPr>
                <w:sz w:val="20"/>
                <w:szCs w:val="20"/>
                <w:color w:val="auto"/>
              </w:rPr>
            </w:pPr>
            <w:r>
              <w:rPr>
                <w:rFonts w:ascii="Arial" w:cs="Arial" w:eastAsia="Arial" w:hAnsi="Arial"/>
                <w:sz w:val="16"/>
                <w:szCs w:val="16"/>
                <w:color w:val="auto"/>
              </w:rPr>
              <w:t>Press Release dated December 2, 2014 titled “ClearOne Announces First-Ever Cash Dividend”.</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tcPr>
          <w:p>
            <w:pPr>
              <w:ind w:left="3700"/>
              <w:spacing w:after="0"/>
              <w:rPr>
                <w:sz w:val="20"/>
                <w:szCs w:val="20"/>
                <w:color w:val="auto"/>
              </w:rPr>
            </w:pPr>
            <w:r>
              <w:rPr>
                <w:rFonts w:ascii="Arial" w:cs="Arial" w:eastAsia="Arial" w:hAnsi="Arial"/>
                <w:sz w:val="18"/>
                <w:szCs w:val="18"/>
                <w:b w:val="1"/>
                <w:bCs w:val="1"/>
                <w:color w:val="auto"/>
              </w:rPr>
              <w:t>SIGNATURES</w:t>
            </w:r>
          </w:p>
        </w:tc>
      </w:tr>
    </w:tbl>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ClearOne, Inc.,</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ind w:left="80"/>
        <w:spacing w:after="0"/>
        <w:tabs>
          <w:tab w:leader="none" w:pos="5320" w:val="left"/>
          <w:tab w:leader="none" w:pos="6020" w:val="left"/>
        </w:tabs>
        <w:rPr>
          <w:sz w:val="20"/>
          <w:szCs w:val="20"/>
          <w:color w:val="auto"/>
        </w:rPr>
      </w:pPr>
      <w:r>
        <w:rPr>
          <w:rFonts w:ascii="Arial" w:cs="Arial" w:eastAsia="Arial" w:hAnsi="Arial"/>
          <w:sz w:val="18"/>
          <w:szCs w:val="18"/>
          <w:color w:val="auto"/>
        </w:rPr>
        <w:t>December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48895</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Zeynep Hakimoglu</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4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CLEARONE ANNOUNCES FIRST-EVER CASH DIVIDEND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Board Approves Plan to Initiate Regular Quarterly Dividend</w:t>
      </w:r>
      <w:r>
        <w:rPr>
          <w:rFonts w:ascii="Arial" w:cs="Arial" w:eastAsia="Arial" w:hAnsi="Arial"/>
          <w:sz w:val="20"/>
          <w:szCs w:val="20"/>
          <w:b w:val="1"/>
          <w:bCs w:val="1"/>
          <w:color w:val="auto"/>
        </w:rPr>
        <w:t>--</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 xml:space="preserve">SALT LAKE CITY, UTAH </w:t>
      </w:r>
      <w:r>
        <w:rPr>
          <w:rFonts w:ascii="Arial" w:cs="Arial" w:eastAsia="Arial" w:hAnsi="Arial"/>
          <w:sz w:val="20"/>
          <w:szCs w:val="20"/>
          <w:color w:val="auto"/>
        </w:rPr>
        <w:t>-</w:t>
      </w:r>
      <w:r>
        <w:rPr>
          <w:rFonts w:ascii="Arial" w:cs="Arial" w:eastAsia="Arial" w:hAnsi="Arial"/>
          <w:sz w:val="20"/>
          <w:szCs w:val="20"/>
          <w:b w:val="1"/>
          <w:bCs w:val="1"/>
          <w:color w:val="auto"/>
        </w:rPr>
        <w:t xml:space="preserve"> December 2, 2014 </w:t>
      </w:r>
      <w:r>
        <w:rPr>
          <w:rFonts w:ascii="Arial" w:cs="Arial" w:eastAsia="Arial" w:hAnsi="Arial"/>
          <w:sz w:val="20"/>
          <w:szCs w:val="20"/>
          <w:color w:val="auto"/>
        </w:rPr>
        <w:t>- ClearOne (NASDAQ: CLRO) today announced that its Board of Directors has declared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annual dividend for 2014 of $0.10 per share of ClearOne common stock, payable on January 5, 2015 to shareholders of record on December 12, 2014. The company also said that the Board has approved a plan to initiate the payment of a regular quarterly cash dividend beginning in the first quarter of 2015 and discontinued the stock repurchase program. To date, the company has repurchased $5.4 million of the $10 million originally allocated for the program.</w:t>
      </w:r>
    </w:p>
    <w:p>
      <w:pPr>
        <w:spacing w:after="0" w:line="286"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“Our strong financial position allows us to continue to invest in organic growth projects and pursue acquisitions, while also returning a portion of our free cash flow directly to our shareholders,” said Zee Hakimoglu, President and Chief Executive Officer of ClearOne. “We believe these actions reflect our confidence in the long-term value of ClearOne’s market position and financial performance.”</w:t>
      </w:r>
    </w:p>
    <w:p>
      <w:pPr>
        <w:spacing w:after="0" w:line="265"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company expects that it will maintain a program of paying dividends on a quarterly basis; however, the declaration of dividends in the future is subject to the discretion of the ClearOne Board of Directors, which will evaluate the company's dividend program from time-to-time based on factors that the Board of Directors deem relevant.</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ClearOne</w:t>
      </w:r>
    </w:p>
    <w:p>
      <w:pPr>
        <w:spacing w:after="0" w:line="60"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auto"/>
        </w:rPr>
        <w:t xml:space="preserve">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9"/>
          <w:szCs w:val="19"/>
          <w:u w:val="single" w:color="auto"/>
          <w:color w:val="0000FF"/>
        </w:rPr>
        <w:t>www.clearone.com</w:t>
      </w:r>
      <w:r>
        <w:rPr>
          <w:rFonts w:ascii="Arial" w:cs="Arial" w:eastAsia="Arial" w:hAnsi="Arial"/>
          <w:sz w:val="19"/>
          <w:szCs w:val="19"/>
          <w:color w:val="auto"/>
        </w:rPr>
        <w:t>.</w:t>
      </w:r>
    </w:p>
    <w:p>
      <w:pPr>
        <w:spacing w:after="0" w:line="265"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expected future payment of dividends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801-303-3555</w:t>
      </w:r>
    </w:p>
    <w:p>
      <w:pPr>
        <w:spacing w:after="0"/>
        <w:rPr>
          <w:sz w:val="20"/>
          <w:szCs w:val="20"/>
          <w:color w:val="auto"/>
        </w:rPr>
      </w:pPr>
      <w:r>
        <w:rPr>
          <w:rFonts w:ascii="Arial" w:cs="Arial" w:eastAsia="Arial" w:hAnsi="Arial"/>
          <w:sz w:val="20"/>
          <w:szCs w:val="20"/>
          <w:u w:val="single" w:color="auto"/>
          <w:color w:val="0000FF"/>
        </w:rPr>
        <w:t>Investor_relations@clearone.com</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2019-12-06T02:33:10Z</dcterms:created>
  <dcterms:modified xsi:type="dcterms:W3CDTF">2019-12-06T02:33:10Z</dcterms:modified>
</cp:coreProperties>
</file>