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August 21, 2009</w:t>
      </w: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ClearOne Communications,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34" w:lineRule="exact"/>
        <w:rPr>
          <w:sz w:val="24"/>
          <w:szCs w:val="24"/>
          <w:color w:val="auto"/>
        </w:rPr>
      </w:pPr>
    </w:p>
    <w:tbl>
      <w:tblPr>
        <w:tblLayout w:type="fixed"/>
        <w:tblInd w:w="2300" w:type="dxa"/>
        <w:tblCellMar>
          <w:top w:w="0" w:type="dxa"/>
          <w:left w:w="0" w:type="dxa"/>
          <w:bottom w:w="0" w:type="dxa"/>
          <w:right w:w="0" w:type="dxa"/>
        </w:tblCellMar>
      </w:tblPr>
      <w:tr>
        <w:trPr>
          <w:trHeight w:val="241"/>
        </w:trPr>
        <w:tc>
          <w:tcPr>
            <w:tcW w:w="340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001-33660</w:t>
            </w:r>
          </w:p>
        </w:tc>
        <w:tc>
          <w:tcPr>
            <w:tcW w:w="3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center"/>
              <w:ind w:right="370"/>
              <w:spacing w:after="0"/>
              <w:rPr>
                <w:sz w:val="20"/>
                <w:szCs w:val="20"/>
                <w:color w:val="auto"/>
              </w:rPr>
            </w:pPr>
            <w:r>
              <w:rPr>
                <w:rFonts w:ascii="Arial" w:cs="Arial" w:eastAsia="Arial" w:hAnsi="Arial"/>
                <w:sz w:val="18"/>
                <w:szCs w:val="18"/>
                <w:b w:val="1"/>
                <w:bCs w:val="1"/>
                <w:color w:val="auto"/>
                <w:w w:val="89"/>
              </w:rPr>
              <w:t>87-0398877</w:t>
            </w:r>
          </w:p>
        </w:tc>
      </w:tr>
      <w:tr>
        <w:trPr>
          <w:trHeight w:val="202"/>
        </w:trPr>
        <w:tc>
          <w:tcPr>
            <w:tcW w:w="3400" w:type="dxa"/>
            <w:vAlign w:val="bottom"/>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40" w:type="dxa"/>
            <w:vAlign w:val="bottom"/>
            <w:gridSpan w:val="3"/>
          </w:tcPr>
          <w:p>
            <w:pPr>
              <w:jc w:val="center"/>
              <w:ind w:right="35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40" w:type="dxa"/>
            <w:vAlign w:val="bottom"/>
            <w:gridSpan w:val="3"/>
          </w:tcPr>
          <w:p>
            <w:pPr>
              <w:jc w:val="center"/>
              <w:ind w:right="370"/>
              <w:spacing w:after="0"/>
              <w:rPr>
                <w:sz w:val="20"/>
                <w:szCs w:val="20"/>
                <w:color w:val="auto"/>
              </w:rPr>
            </w:pPr>
            <w:r>
              <w:rPr>
                <w:rFonts w:ascii="Arial" w:cs="Arial" w:eastAsia="Arial" w:hAnsi="Arial"/>
                <w:sz w:val="18"/>
                <w:szCs w:val="18"/>
                <w:color w:val="auto"/>
                <w:w w:val="94"/>
              </w:rPr>
              <w:t>identification number)</w:t>
            </w:r>
          </w:p>
        </w:tc>
      </w:tr>
      <w:tr>
        <w:trPr>
          <w:trHeight w:val="441"/>
        </w:trPr>
        <w:tc>
          <w:tcPr>
            <w:tcW w:w="420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90"/>
              </w:rPr>
              <w:t>5225 Wiley Post Way, Suite 500,</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68"/>
        </w:trPr>
        <w:tc>
          <w:tcPr>
            <w:tcW w:w="420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93"/>
              </w:rPr>
              <w:t>Salt Lake City, Utah</w:t>
            </w:r>
          </w:p>
        </w:tc>
        <w:tc>
          <w:tcPr>
            <w:tcW w:w="264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84116</w:t>
            </w:r>
          </w:p>
        </w:tc>
      </w:tr>
      <w:tr>
        <w:trPr>
          <w:trHeight w:val="230"/>
        </w:trPr>
        <w:tc>
          <w:tcPr>
            <w:tcW w:w="4200" w:type="dxa"/>
            <w:vAlign w:val="bottom"/>
            <w:tcBorders>
              <w:top w:val="single" w:sz="8" w:color="auto"/>
            </w:tcBorders>
            <w:gridSpan w:val="3"/>
          </w:tcPr>
          <w:p>
            <w:pPr>
              <w:jc w:val="center"/>
              <w:ind w:left="650"/>
              <w:spacing w:after="0"/>
              <w:rPr>
                <w:sz w:val="20"/>
                <w:szCs w:val="20"/>
                <w:color w:val="auto"/>
              </w:rPr>
            </w:pPr>
            <w:r>
              <w:rPr>
                <w:rFonts w:ascii="Arial" w:cs="Arial" w:eastAsia="Arial" w:hAnsi="Arial"/>
                <w:sz w:val="18"/>
                <w:szCs w:val="18"/>
                <w:color w:val="auto"/>
                <w:w w:val="92"/>
              </w:rPr>
              <w:t>(Address of principal executive offices)</w:t>
            </w:r>
          </w:p>
        </w:tc>
        <w:tc>
          <w:tcPr>
            <w:tcW w:w="74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30.425)</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40.14a-12)</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Pre-commencement communications pursuant to Rule 14d-2(b) under the Exchange Act (17 CFR 240.14d-2(b))</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Pre-commencement communication pursuant to Rule 13e-4(c) under the Exchange Act (17 CFR 240.13e-4(c))</w:t>
            </w:r>
          </w:p>
        </w:tc>
      </w:tr>
      <w:tr>
        <w:trPr>
          <w:trHeight w:val="361"/>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120" w:type="dxa"/>
            <w:vAlign w:val="bottom"/>
          </w:tcPr>
          <w:p>
            <w:pPr>
              <w:spacing w:after="0"/>
              <w:rPr>
                <w:sz w:val="24"/>
                <w:szCs w:val="24"/>
                <w:color w:val="auto"/>
              </w:rPr>
            </w:pPr>
          </w:p>
        </w:tc>
      </w:tr>
      <w:tr>
        <w:trPr>
          <w:trHeight w:val="71"/>
        </w:trPr>
        <w:tc>
          <w:tcPr>
            <w:tcW w:w="14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11120" w:type="dxa"/>
            <w:vAlign w:val="bottom"/>
            <w:shd w:val="clear" w:color="auto" w:fill="808080"/>
          </w:tcPr>
          <w:p>
            <w:pPr>
              <w:spacing w:after="0"/>
              <w:rPr>
                <w:sz w:val="6"/>
                <w:szCs w:val="6"/>
                <w:color w:val="auto"/>
              </w:rPr>
            </w:pPr>
          </w:p>
        </w:tc>
      </w:tr>
      <w:tr>
        <w:trPr>
          <w:trHeight w:val="996"/>
        </w:trPr>
        <w:tc>
          <w:tcPr>
            <w:tcW w:w="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11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4.02</w:t>
      </w:r>
      <w:r>
        <w:rPr>
          <w:sz w:val="20"/>
          <w:szCs w:val="20"/>
          <w:color w:val="auto"/>
        </w:rPr>
        <w:tab/>
      </w:r>
      <w:r>
        <w:rPr>
          <w:rFonts w:ascii="Arial" w:cs="Arial" w:eastAsia="Arial" w:hAnsi="Arial"/>
          <w:sz w:val="16"/>
          <w:szCs w:val="16"/>
          <w:b w:val="1"/>
          <w:bCs w:val="1"/>
          <w:color w:val="auto"/>
        </w:rPr>
        <w:t>Non-Reliance on Previously Issued Financial Statements or a Related Audit Report or Completed Interim Review.</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4.02 Non-Reliance on Previously Issued Financial Statements or a Related Audit Report or Completed Interim Review.</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20, 2009 ClearOne Communications, Inc. (the “Company”) decided to change the method by which it accounts for deferred revenue and associated costs.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provides a right of return on product sales to distributors. The revenue from product sales to distributors is not recognized until the return privilege has expired, which approximates when product is sold through to customers of the Company’s distributors, rather than when the product is initially shipped to a distributor. The Company estimated at each quarter-end the amount of revenue and costs to be deferred, based on the channel inventory information provided by certain distributors. Although only certain distributors provided certain channel inventory amounts, the Company made estimates with regard to the amount of inventory in the entire channel for all customers and for all channel inventory items based on information available from certain distributors.</w:t>
      </w:r>
    </w:p>
    <w:p>
      <w:pPr>
        <w:spacing w:after="0" w:line="22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the Company further expands into international markets, introduces new products, and develops new channel relationships, the Company decided that it is appropriate to adopt a method which is more reflective of, and is compatible to, its business environment. The Company considered several alternate methods. Under the adopted new method, revenue and costs are deferred for the actual channel inventory items reported by the distributors and other channel partners. Further, with respect to distributors and other channel partners not reporting the channel inventory, the revenue and costs are deferred until the Company receives payment for the product sales made to such distributors or channel partners.</w:t>
      </w:r>
    </w:p>
    <w:p>
      <w:pPr>
        <w:spacing w:after="0" w:line="20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plans to amend its Form 10-K in the near-term for the fiscal year ended June 30, 2008 and will restate the financial statements for the fiscal year ended June 30, 2008 and comparative periods for the fiscal years ended 2004, 2005, 2006, and 2007 to reflect the change in the method of estimating deferred revenue and costs. The effect of this change in the method on previously reported periods is described in more detail in the attached statement.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discussed the above matter with Jones Simkins, P.C., the Company’s independent registered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ind w:left="500"/>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Statement of impact of change in the method of computing deferred revenue and costs</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(Unaudited Estimates)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1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520" w:type="dxa"/>
            <w:vAlign w:val="bottom"/>
            <w:gridSpan w:val="16"/>
          </w:tcPr>
          <w:p>
            <w:pPr>
              <w:jc w:val="right"/>
              <w:ind w:right="480"/>
              <w:spacing w:after="0"/>
              <w:rPr>
                <w:sz w:val="20"/>
                <w:szCs w:val="20"/>
                <w:color w:val="auto"/>
              </w:rPr>
            </w:pPr>
            <w:r>
              <w:rPr>
                <w:rFonts w:ascii="Arial" w:cs="Arial" w:eastAsia="Arial" w:hAnsi="Arial"/>
                <w:sz w:val="18"/>
                <w:szCs w:val="18"/>
                <w:color w:val="auto"/>
              </w:rPr>
              <w:t>All amounts in $ are in thousands except for per share details</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8"/>
          </w:tcPr>
          <w:p>
            <w:pPr>
              <w:jc w:val="right"/>
              <w:ind w:right="40"/>
              <w:spacing w:after="0"/>
              <w:rPr>
                <w:sz w:val="20"/>
                <w:szCs w:val="20"/>
                <w:color w:val="auto"/>
              </w:rPr>
            </w:pPr>
            <w:r>
              <w:rPr>
                <w:rFonts w:ascii="Arial" w:cs="Arial" w:eastAsia="Arial" w:hAnsi="Arial"/>
                <w:sz w:val="18"/>
                <w:szCs w:val="18"/>
                <w:b w:val="1"/>
                <w:bCs w:val="1"/>
                <w:color w:val="auto"/>
                <w:w w:val="97"/>
              </w:rPr>
              <w:t>Fiscal years ended June 30,</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1"/>
        </w:trPr>
        <w:tc>
          <w:tcPr>
            <w:tcW w:w="11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2007</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2005</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2004</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3"/>
        </w:trPr>
        <w:tc>
          <w:tcPr>
            <w:tcW w:w="4420" w:type="dxa"/>
            <w:vAlign w:val="bottom"/>
            <w:gridSpan w:val="2"/>
          </w:tcPr>
          <w:p>
            <w:pPr>
              <w:ind w:left="1140"/>
              <w:spacing w:after="0"/>
              <w:rPr>
                <w:sz w:val="20"/>
                <w:szCs w:val="20"/>
                <w:color w:val="auto"/>
              </w:rPr>
            </w:pPr>
            <w:r>
              <w:rPr>
                <w:rFonts w:ascii="Arial" w:cs="Arial" w:eastAsia="Arial" w:hAnsi="Arial"/>
                <w:sz w:val="18"/>
                <w:szCs w:val="18"/>
                <w:b w:val="1"/>
                <w:bCs w:val="1"/>
                <w:color w:val="auto"/>
              </w:rPr>
              <w:t>Revenue</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3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Previously reported</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39,861</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35,362</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25,736</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Under new method</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38,757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39,786</w:t>
            </w:r>
          </w:p>
        </w:tc>
        <w:tc>
          <w:tcPr>
            <w:tcW w:w="12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34,528</w:t>
            </w:r>
          </w:p>
        </w:tc>
        <w:tc>
          <w:tcPr>
            <w:tcW w:w="10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31,433</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24,048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Difference - Increase (Decrease)</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(1,688)</w:t>
            </w:r>
          </w:p>
        </w:tc>
        <w:tc>
          <w:tcPr>
            <w:tcW w:w="1140" w:type="dxa"/>
            <w:vAlign w:val="bottom"/>
          </w:tcPr>
          <w:p>
            <w:pPr>
              <w:spacing w:after="0"/>
              <w:rPr>
                <w:sz w:val="18"/>
                <w:szCs w:val="18"/>
                <w:color w:val="auto"/>
              </w:rPr>
            </w:pPr>
          </w:p>
        </w:tc>
      </w:tr>
      <w:tr>
        <w:trPr>
          <w:trHeight w:val="202"/>
        </w:trPr>
        <w:tc>
          <w:tcPr>
            <w:tcW w:w="1160" w:type="dxa"/>
            <w:vAlign w:val="bottom"/>
          </w:tcPr>
          <w:p>
            <w:pPr>
              <w:spacing w:after="0"/>
              <w:rPr>
                <w:sz w:val="17"/>
                <w:szCs w:val="17"/>
                <w:color w:val="auto"/>
              </w:rPr>
            </w:pPr>
          </w:p>
        </w:tc>
        <w:tc>
          <w:tcPr>
            <w:tcW w:w="3260" w:type="dxa"/>
            <w:vAlign w:val="bottom"/>
          </w:tcPr>
          <w:p>
            <w:pPr>
              <w:spacing w:after="0" w:line="201" w:lineRule="exact"/>
              <w:rPr>
                <w:sz w:val="20"/>
                <w:szCs w:val="20"/>
                <w:color w:val="auto"/>
              </w:rPr>
            </w:pPr>
            <w:r>
              <w:rPr>
                <w:rFonts w:ascii="Arial" w:cs="Arial" w:eastAsia="Arial" w:hAnsi="Arial"/>
                <w:sz w:val="18"/>
                <w:szCs w:val="18"/>
                <w:color w:val="auto"/>
              </w:rPr>
              <w:t>Difference as % of previously reported</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4420" w:type="dxa"/>
            <w:vAlign w:val="bottom"/>
            <w:gridSpan w:val="2"/>
          </w:tcPr>
          <w:p>
            <w:pPr>
              <w:ind w:left="1140"/>
              <w:spacing w:after="0"/>
              <w:rPr>
                <w:sz w:val="20"/>
                <w:szCs w:val="20"/>
                <w:color w:val="auto"/>
              </w:rPr>
            </w:pPr>
            <w:r>
              <w:rPr>
                <w:rFonts w:ascii="Arial" w:cs="Arial" w:eastAsia="Arial" w:hAnsi="Arial"/>
                <w:sz w:val="18"/>
                <w:szCs w:val="18"/>
                <w:color w:val="auto"/>
              </w:rPr>
              <w:t>Revenue</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3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Previously reported</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23,291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22,138</w:t>
            </w:r>
          </w:p>
        </w:tc>
        <w:tc>
          <w:tcPr>
            <w:tcW w:w="12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17,987</w:t>
            </w:r>
          </w:p>
        </w:tc>
        <w:tc>
          <w:tcPr>
            <w:tcW w:w="10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16,367</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10,976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Under new method</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22,149</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17,675</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43"/>
        </w:trPr>
        <w:tc>
          <w:tcPr>
            <w:tcW w:w="4420" w:type="dxa"/>
            <w:vAlign w:val="bottom"/>
            <w:gridSpan w:val="2"/>
          </w:tcPr>
          <w:p>
            <w:pPr>
              <w:ind w:left="1140"/>
              <w:spacing w:after="0"/>
              <w:rPr>
                <w:sz w:val="20"/>
                <w:szCs w:val="20"/>
                <w:color w:val="auto"/>
              </w:rPr>
            </w:pPr>
            <w:r>
              <w:rPr>
                <w:rFonts w:ascii="Arial" w:cs="Arial" w:eastAsia="Arial" w:hAnsi="Arial"/>
                <w:sz w:val="18"/>
                <w:szCs w:val="18"/>
                <w:color w:val="auto"/>
              </w:rPr>
              <w:t>Difference - Increase (Decrease)</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(739)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(312)</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1,648</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(1,526)</w:t>
            </w:r>
          </w:p>
        </w:tc>
        <w:tc>
          <w:tcPr>
            <w:tcW w:w="1140" w:type="dxa"/>
            <w:vAlign w:val="bottom"/>
          </w:tcPr>
          <w:p>
            <w:pPr>
              <w:spacing w:after="0"/>
              <w:rPr>
                <w:sz w:val="21"/>
                <w:szCs w:val="21"/>
                <w:color w:val="auto"/>
              </w:rPr>
            </w:pPr>
          </w:p>
        </w:tc>
      </w:tr>
      <w:tr>
        <w:trPr>
          <w:trHeight w:val="202"/>
        </w:trPr>
        <w:tc>
          <w:tcPr>
            <w:tcW w:w="1160" w:type="dxa"/>
            <w:vAlign w:val="bottom"/>
          </w:tcPr>
          <w:p>
            <w:pPr>
              <w:spacing w:after="0"/>
              <w:rPr>
                <w:sz w:val="17"/>
                <w:szCs w:val="17"/>
                <w:color w:val="auto"/>
              </w:rPr>
            </w:pPr>
          </w:p>
        </w:tc>
        <w:tc>
          <w:tcPr>
            <w:tcW w:w="3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Difference as % of previously reported Gross</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1160" w:type="dxa"/>
            <w:vAlign w:val="bottom"/>
          </w:tcPr>
          <w:p>
            <w:pPr>
              <w:spacing w:after="0"/>
              <w:rPr>
                <w:sz w:val="20"/>
                <w:szCs w:val="20"/>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Profit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r>
      <w:tr>
        <w:trPr>
          <w:trHeight w:val="198"/>
        </w:trPr>
        <w:tc>
          <w:tcPr>
            <w:tcW w:w="1160" w:type="dxa"/>
            <w:vAlign w:val="bottom"/>
          </w:tcPr>
          <w:p>
            <w:pPr>
              <w:spacing w:after="0"/>
              <w:rPr>
                <w:sz w:val="17"/>
                <w:szCs w:val="17"/>
                <w:color w:val="auto"/>
              </w:rPr>
            </w:pPr>
          </w:p>
        </w:tc>
        <w:tc>
          <w:tcPr>
            <w:tcW w:w="3260" w:type="dxa"/>
            <w:vAlign w:val="bottom"/>
          </w:tcPr>
          <w:p>
            <w:pPr>
              <w:spacing w:after="0" w:line="198" w:lineRule="exact"/>
              <w:rPr>
                <w:sz w:val="20"/>
                <w:szCs w:val="20"/>
                <w:color w:val="auto"/>
              </w:rPr>
            </w:pPr>
            <w:r>
              <w:rPr>
                <w:rFonts w:ascii="Arial" w:cs="Arial" w:eastAsia="Arial" w:hAnsi="Arial"/>
                <w:sz w:val="18"/>
                <w:szCs w:val="18"/>
                <w:b w:val="1"/>
                <w:bCs w:val="1"/>
                <w:color w:val="auto"/>
              </w:rPr>
              <w:t>Income (Loss) from Continuing</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1"/>
        </w:trPr>
        <w:tc>
          <w:tcPr>
            <w:tcW w:w="4420" w:type="dxa"/>
            <w:vAlign w:val="bottom"/>
            <w:gridSpan w:val="2"/>
          </w:tcPr>
          <w:p>
            <w:pPr>
              <w:ind w:left="1140"/>
              <w:spacing w:after="0"/>
              <w:rPr>
                <w:sz w:val="20"/>
                <w:szCs w:val="20"/>
                <w:color w:val="auto"/>
              </w:rPr>
            </w:pPr>
            <w:r>
              <w:rPr>
                <w:rFonts w:ascii="Arial" w:cs="Arial" w:eastAsia="Arial" w:hAnsi="Arial"/>
                <w:sz w:val="18"/>
                <w:szCs w:val="18"/>
                <w:b w:val="1"/>
                <w:bCs w:val="1"/>
                <w:color w:val="auto"/>
              </w:rPr>
              <w:t>Operations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3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Previously reported</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(11,902)</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Under new method</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5,202</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4,798</w:t>
            </w:r>
          </w:p>
        </w:tc>
        <w:tc>
          <w:tcPr>
            <w:tcW w:w="12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(372)</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3,595</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(13,428)</w:t>
            </w:r>
          </w:p>
        </w:tc>
        <w:tc>
          <w:tcPr>
            <w:tcW w:w="1140" w:type="dxa"/>
            <w:vAlign w:val="bottom"/>
          </w:tcPr>
          <w:p>
            <w:pPr>
              <w:spacing w:after="0"/>
              <w:rPr>
                <w:sz w:val="18"/>
                <w:szCs w:val="18"/>
                <w:color w:val="auto"/>
              </w:rPr>
            </w:pPr>
          </w:p>
        </w:tc>
      </w:tr>
      <w:tr>
        <w:trPr>
          <w:trHeight w:val="243"/>
        </w:trPr>
        <w:tc>
          <w:tcPr>
            <w:tcW w:w="1160" w:type="dxa"/>
            <w:vAlign w:val="bottom"/>
          </w:tcPr>
          <w:p>
            <w:pPr>
              <w:spacing w:after="0"/>
              <w:rPr>
                <w:sz w:val="21"/>
                <w:szCs w:val="21"/>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Difference</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(1,526)</w:t>
            </w:r>
          </w:p>
        </w:tc>
        <w:tc>
          <w:tcPr>
            <w:tcW w:w="1140" w:type="dxa"/>
            <w:vAlign w:val="bottom"/>
          </w:tcPr>
          <w:p>
            <w:pPr>
              <w:spacing w:after="0"/>
              <w:rPr>
                <w:sz w:val="21"/>
                <w:szCs w:val="21"/>
                <w:color w:val="auto"/>
              </w:rPr>
            </w:pPr>
          </w:p>
        </w:tc>
      </w:tr>
      <w:tr>
        <w:trPr>
          <w:trHeight w:val="202"/>
        </w:trPr>
        <w:tc>
          <w:tcPr>
            <w:tcW w:w="1160" w:type="dxa"/>
            <w:vAlign w:val="bottom"/>
          </w:tcPr>
          <w:p>
            <w:pPr>
              <w:spacing w:after="0"/>
              <w:rPr>
                <w:sz w:val="17"/>
                <w:szCs w:val="17"/>
                <w:color w:val="auto"/>
              </w:rPr>
            </w:pPr>
          </w:p>
        </w:tc>
        <w:tc>
          <w:tcPr>
            <w:tcW w:w="3260" w:type="dxa"/>
            <w:vAlign w:val="bottom"/>
          </w:tcPr>
          <w:p>
            <w:pPr>
              <w:spacing w:after="0" w:line="201" w:lineRule="exact"/>
              <w:rPr>
                <w:sz w:val="20"/>
                <w:szCs w:val="20"/>
                <w:color w:val="auto"/>
              </w:rPr>
            </w:pPr>
            <w:r>
              <w:rPr>
                <w:rFonts w:ascii="Arial" w:cs="Arial" w:eastAsia="Arial" w:hAnsi="Arial"/>
                <w:sz w:val="18"/>
                <w:szCs w:val="18"/>
                <w:color w:val="auto"/>
              </w:rPr>
              <w:t>Difference as % of previously reported</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4420" w:type="dxa"/>
            <w:vAlign w:val="bottom"/>
            <w:gridSpan w:val="2"/>
          </w:tcPr>
          <w:p>
            <w:pPr>
              <w:ind w:left="1140"/>
              <w:spacing w:after="0"/>
              <w:rPr>
                <w:sz w:val="20"/>
                <w:szCs w:val="20"/>
                <w:color w:val="auto"/>
              </w:rPr>
            </w:pPr>
            <w:r>
              <w:rPr>
                <w:rFonts w:ascii="Arial" w:cs="Arial" w:eastAsia="Arial" w:hAnsi="Arial"/>
                <w:sz w:val="18"/>
                <w:szCs w:val="18"/>
                <w:color w:val="auto"/>
              </w:rPr>
              <w:t>Income (Loss)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ind w:left="140"/>
              <w:spacing w:after="0"/>
              <w:rPr>
                <w:sz w:val="20"/>
                <w:szCs w:val="20"/>
                <w:color w:val="auto"/>
              </w:rPr>
            </w:pPr>
            <w:r>
              <w:rPr>
                <w:rFonts w:ascii="Arial" w:cs="Arial" w:eastAsia="Arial" w:hAnsi="Arial"/>
                <w:sz w:val="18"/>
                <w:szCs w:val="18"/>
                <w:color w:val="auto"/>
              </w:rPr>
              <w:t>520.0%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98"/>
        </w:trPr>
        <w:tc>
          <w:tcPr>
            <w:tcW w:w="1160" w:type="dxa"/>
            <w:vAlign w:val="bottom"/>
          </w:tcPr>
          <w:p>
            <w:pPr>
              <w:spacing w:after="0"/>
              <w:rPr>
                <w:sz w:val="17"/>
                <w:szCs w:val="17"/>
                <w:color w:val="auto"/>
              </w:rPr>
            </w:pPr>
          </w:p>
        </w:tc>
        <w:tc>
          <w:tcPr>
            <w:tcW w:w="32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Income (Loss) from Continuing</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41"/>
        </w:trPr>
        <w:tc>
          <w:tcPr>
            <w:tcW w:w="1160" w:type="dxa"/>
            <w:vAlign w:val="bottom"/>
          </w:tcPr>
          <w:p>
            <w:pPr>
              <w:spacing w:after="0"/>
              <w:rPr>
                <w:sz w:val="20"/>
                <w:szCs w:val="20"/>
                <w:color w:val="auto"/>
              </w:rPr>
            </w:pPr>
          </w:p>
        </w:tc>
        <w:tc>
          <w:tcPr>
            <w:tcW w:w="3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Operations per share (Diluted)</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Pr>
          <w:p>
            <w:pPr>
              <w:spacing w:after="0"/>
              <w:rPr>
                <w:sz w:val="20"/>
                <w:szCs w:val="20"/>
                <w:color w:val="auto"/>
              </w:rPr>
            </w:pPr>
          </w:p>
        </w:tc>
      </w:tr>
      <w:tr>
        <w:trPr>
          <w:trHeight w:val="243"/>
        </w:trPr>
        <w:tc>
          <w:tcPr>
            <w:tcW w:w="4420" w:type="dxa"/>
            <w:vAlign w:val="bottom"/>
            <w:gridSpan w:val="2"/>
          </w:tcPr>
          <w:p>
            <w:pPr>
              <w:ind w:left="1140"/>
              <w:spacing w:after="0"/>
              <w:rPr>
                <w:sz w:val="20"/>
                <w:szCs w:val="20"/>
                <w:color w:val="auto"/>
              </w:rPr>
            </w:pPr>
            <w:r>
              <w:rPr>
                <w:rFonts w:ascii="Arial" w:cs="Arial" w:eastAsia="Arial" w:hAnsi="Arial"/>
                <w:sz w:val="18"/>
                <w:szCs w:val="18"/>
                <w:color w:val="auto"/>
              </w:rPr>
              <w:t>Previously reported</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0.52</w:t>
            </w:r>
          </w:p>
        </w:tc>
        <w:tc>
          <w:tcPr>
            <w:tcW w:w="1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21"/>
                <w:szCs w:val="21"/>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0.16</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1140" w:type="dxa"/>
            <w:vAlign w:val="bottom"/>
          </w:tcPr>
          <w:p>
            <w:pPr>
              <w:spacing w:after="0"/>
              <w:rPr>
                <w:sz w:val="21"/>
                <w:szCs w:val="21"/>
                <w:color w:val="auto"/>
              </w:rPr>
            </w:pPr>
          </w:p>
        </w:tc>
      </w:tr>
      <w:tr>
        <w:trPr>
          <w:trHeight w:val="216"/>
        </w:trPr>
        <w:tc>
          <w:tcPr>
            <w:tcW w:w="116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Under new method</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(0.03)</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w:t>
            </w:r>
          </w:p>
        </w:tc>
        <w:tc>
          <w:tcPr>
            <w:tcW w:w="1140" w:type="dxa"/>
            <w:vAlign w:val="bottom"/>
          </w:tcPr>
          <w:p>
            <w:pPr>
              <w:spacing w:after="0"/>
              <w:rPr>
                <w:sz w:val="18"/>
                <w:szCs w:val="18"/>
                <w:color w:val="auto"/>
              </w:rPr>
            </w:pPr>
          </w:p>
        </w:tc>
      </w:tr>
      <w:tr>
        <w:trPr>
          <w:trHeight w:val="243"/>
        </w:trPr>
        <w:tc>
          <w:tcPr>
            <w:tcW w:w="4420" w:type="dxa"/>
            <w:vAlign w:val="bottom"/>
            <w:gridSpan w:val="2"/>
          </w:tcPr>
          <w:p>
            <w:pPr>
              <w:ind w:left="1140"/>
              <w:spacing w:after="0"/>
              <w:rPr>
                <w:sz w:val="20"/>
                <w:szCs w:val="20"/>
                <w:color w:val="auto"/>
              </w:rPr>
            </w:pPr>
            <w:r>
              <w:rPr>
                <w:rFonts w:ascii="Arial" w:cs="Arial" w:eastAsia="Arial" w:hAnsi="Arial"/>
                <w:sz w:val="18"/>
                <w:szCs w:val="18"/>
                <w:color w:val="auto"/>
              </w:rPr>
              <w:t>Difference</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(0.03)</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0.13</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(0.13)</w:t>
            </w:r>
          </w:p>
        </w:tc>
        <w:tc>
          <w:tcPr>
            <w:tcW w:w="1140" w:type="dxa"/>
            <w:vAlign w:val="bottom"/>
          </w:tcPr>
          <w:p>
            <w:pPr>
              <w:spacing w:after="0"/>
              <w:rPr>
                <w:sz w:val="21"/>
                <w:szCs w:val="21"/>
                <w:color w:val="auto"/>
              </w:rPr>
            </w:pPr>
          </w:p>
        </w:tc>
      </w:tr>
      <w:tr>
        <w:trPr>
          <w:trHeight w:val="202"/>
        </w:trPr>
        <w:tc>
          <w:tcPr>
            <w:tcW w:w="1160" w:type="dxa"/>
            <w:vAlign w:val="bottom"/>
          </w:tcPr>
          <w:p>
            <w:pPr>
              <w:spacing w:after="0"/>
              <w:rPr>
                <w:sz w:val="17"/>
                <w:szCs w:val="17"/>
                <w:color w:val="auto"/>
              </w:rPr>
            </w:pPr>
          </w:p>
        </w:tc>
        <w:tc>
          <w:tcPr>
            <w:tcW w:w="3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Difference as % of previously reported</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1160" w:type="dxa"/>
            <w:vAlign w:val="bottom"/>
          </w:tcPr>
          <w:p>
            <w:pPr>
              <w:spacing w:after="0"/>
              <w:rPr>
                <w:sz w:val="20"/>
                <w:szCs w:val="20"/>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Income (Loss) per share</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r>
      <w:tr>
        <w:trPr>
          <w:trHeight w:val="851"/>
        </w:trPr>
        <w:tc>
          <w:tcPr>
            <w:tcW w:w="11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- 3 - -</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32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4300" w:val="left"/>
          <w:tab w:leader="none" w:pos="5060" w:val="left"/>
        </w:tabs>
        <w:rPr>
          <w:sz w:val="20"/>
          <w:szCs w:val="20"/>
          <w:color w:val="auto"/>
        </w:rPr>
      </w:pPr>
      <w:r>
        <w:rPr>
          <w:rFonts w:ascii="Arial" w:cs="Arial" w:eastAsia="Arial" w:hAnsi="Arial"/>
          <w:sz w:val="18"/>
          <w:szCs w:val="18"/>
          <w:color w:val="auto"/>
        </w:rPr>
        <w:t>Date: August 21,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14605</wp:posOffset>
            </wp:positionV>
            <wp:extent cx="40220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22090"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- 4 -</w:t>
      </w:r>
    </w:p>
    <w:sectPr>
      <w:pgSz w:w="11900" w:h="16838" w:orient="portrait"/>
      <w:cols w:equalWidth="0" w:num="1">
        <w:col w:w="11220"/>
      </w:cols>
      <w:pgMar w:left="240" w:top="144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2019-12-10T08:50:31Z</dcterms:created>
  <dcterms:modified xsi:type="dcterms:W3CDTF">2019-12-10T08:50:31Z</dcterms:modified>
</cp:coreProperties>
</file>