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12b-25</w:t>
      </w:r>
    </w:p>
    <w:p>
      <w:pPr>
        <w:spacing w:after="0" w:line="23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160" w:type="dxa"/>
            <w:vAlign w:val="bottom"/>
            <w:gridSpan w:val="2"/>
          </w:tcPr>
          <w:p>
            <w:pPr>
              <w:ind w:left="1160"/>
              <w:spacing w:after="0"/>
              <w:rPr>
                <w:sz w:val="20"/>
                <w:szCs w:val="20"/>
                <w:color w:val="auto"/>
              </w:rPr>
            </w:pPr>
            <w:r>
              <w:rPr>
                <w:rFonts w:ascii="Arial" w:cs="Arial" w:eastAsia="Arial" w:hAnsi="Arial"/>
                <w:sz w:val="18"/>
                <w:szCs w:val="18"/>
                <w:b w:val="1"/>
                <w:bCs w:val="1"/>
                <w:color w:val="auto"/>
              </w:rPr>
              <w:t>NOTIFICATION OF LATE FILING</w:t>
            </w:r>
          </w:p>
        </w:tc>
        <w:tc>
          <w:tcPr>
            <w:tcW w:w="17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w w:val="99"/>
              </w:rPr>
              <w:t>(CHECK ONE):</w:t>
            </w:r>
          </w:p>
        </w:tc>
        <w:tc>
          <w:tcPr>
            <w:tcW w:w="1860" w:type="dxa"/>
            <w:vAlign w:val="bottom"/>
            <w:gridSpan w:val="2"/>
          </w:tcPr>
          <w:p>
            <w:pPr>
              <w:ind w:left="360"/>
              <w:spacing w:after="0"/>
              <w:rPr>
                <w:sz w:val="20"/>
                <w:szCs w:val="20"/>
                <w:color w:val="auto"/>
              </w:rPr>
            </w:pPr>
            <w:r>
              <w:rPr>
                <w:rFonts w:ascii="Arial" w:cs="Arial" w:eastAsia="Arial" w:hAnsi="Arial"/>
                <w:sz w:val="18"/>
                <w:szCs w:val="18"/>
                <w:color w:val="auto"/>
              </w:rPr>
              <w:t>[ ] Form 10-K</w:t>
            </w:r>
          </w:p>
        </w:tc>
        <w:tc>
          <w:tcPr>
            <w:tcW w:w="1920" w:type="dxa"/>
            <w:vAlign w:val="bottom"/>
          </w:tcPr>
          <w:p>
            <w:pPr>
              <w:ind w:left="440"/>
              <w:spacing w:after="0"/>
              <w:rPr>
                <w:sz w:val="20"/>
                <w:szCs w:val="20"/>
                <w:color w:val="auto"/>
              </w:rPr>
            </w:pPr>
            <w:r>
              <w:rPr>
                <w:rFonts w:ascii="Arial" w:cs="Arial" w:eastAsia="Arial" w:hAnsi="Arial"/>
                <w:sz w:val="18"/>
                <w:szCs w:val="18"/>
                <w:color w:val="auto"/>
              </w:rPr>
              <w:t>[ ] Form 20-F</w:t>
            </w:r>
          </w:p>
        </w:tc>
        <w:tc>
          <w:tcPr>
            <w:tcW w:w="2240" w:type="dxa"/>
            <w:vAlign w:val="bottom"/>
          </w:tcPr>
          <w:p>
            <w:pPr>
              <w:ind w:left="460"/>
              <w:spacing w:after="0"/>
              <w:rPr>
                <w:sz w:val="20"/>
                <w:szCs w:val="20"/>
                <w:color w:val="auto"/>
              </w:rPr>
            </w:pPr>
            <w:r>
              <w:rPr>
                <w:rFonts w:ascii="Arial" w:cs="Arial" w:eastAsia="Arial" w:hAnsi="Arial"/>
                <w:sz w:val="18"/>
                <w:szCs w:val="18"/>
                <w:color w:val="auto"/>
              </w:rPr>
              <w:t>[ ] Form 11-K</w:t>
            </w:r>
          </w:p>
        </w:tc>
        <w:tc>
          <w:tcPr>
            <w:tcW w:w="1740" w:type="dxa"/>
            <w:vAlign w:val="bottom"/>
          </w:tcPr>
          <w:p>
            <w:pPr>
              <w:ind w:left="160"/>
              <w:spacing w:after="0"/>
              <w:rPr>
                <w:sz w:val="20"/>
                <w:szCs w:val="20"/>
                <w:color w:val="auto"/>
              </w:rPr>
            </w:pPr>
            <w:r>
              <w:rPr>
                <w:rFonts w:ascii="Arial" w:cs="Arial" w:eastAsia="Arial" w:hAnsi="Arial"/>
                <w:sz w:val="18"/>
                <w:szCs w:val="18"/>
                <w:color w:val="auto"/>
              </w:rPr>
              <w:t>[X] Form 10-Q</w:t>
            </w:r>
          </w:p>
        </w:tc>
        <w:tc>
          <w:tcPr>
            <w:tcW w:w="2400" w:type="dxa"/>
            <w:vAlign w:val="bottom"/>
          </w:tcPr>
          <w:p>
            <w:pPr>
              <w:ind w:left="460"/>
              <w:spacing w:after="0"/>
              <w:rPr>
                <w:sz w:val="20"/>
                <w:szCs w:val="20"/>
                <w:color w:val="auto"/>
              </w:rPr>
            </w:pPr>
            <w:r>
              <w:rPr>
                <w:rFonts w:ascii="Arial" w:cs="Arial" w:eastAsia="Arial" w:hAnsi="Arial"/>
                <w:sz w:val="18"/>
                <w:szCs w:val="18"/>
                <w:color w:val="auto"/>
              </w:rPr>
              <w:t>[ ] Form N-SAR</w:t>
            </w:r>
          </w:p>
        </w:tc>
        <w:tc>
          <w:tcPr>
            <w:tcW w:w="0" w:type="dxa"/>
            <w:vAlign w:val="bottom"/>
          </w:tcPr>
          <w:p>
            <w:pPr>
              <w:spacing w:after="0"/>
              <w:rPr>
                <w:sz w:val="1"/>
                <w:szCs w:val="1"/>
                <w:color w:val="auto"/>
              </w:rPr>
            </w:pPr>
          </w:p>
        </w:tc>
      </w:tr>
      <w:tr>
        <w:trPr>
          <w:trHeight w:val="431"/>
        </w:trPr>
        <w:tc>
          <w:tcPr>
            <w:tcW w:w="1260" w:type="dxa"/>
            <w:vAlign w:val="bottom"/>
          </w:tcPr>
          <w:p>
            <w:pPr>
              <w:spacing w:after="0"/>
              <w:rPr>
                <w:sz w:val="24"/>
                <w:szCs w:val="24"/>
                <w:color w:val="auto"/>
              </w:rPr>
            </w:pPr>
          </w:p>
        </w:tc>
        <w:tc>
          <w:tcPr>
            <w:tcW w:w="1020" w:type="dxa"/>
            <w:vAlign w:val="bottom"/>
          </w:tcPr>
          <w:p>
            <w:pPr>
              <w:ind w:left="40"/>
              <w:spacing w:after="0"/>
              <w:rPr>
                <w:sz w:val="20"/>
                <w:szCs w:val="20"/>
                <w:color w:val="auto"/>
              </w:rPr>
            </w:pPr>
            <w:r>
              <w:rPr>
                <w:rFonts w:ascii="Arial" w:cs="Arial" w:eastAsia="Arial" w:hAnsi="Arial"/>
                <w:sz w:val="18"/>
                <w:szCs w:val="18"/>
                <w:color w:val="auto"/>
              </w:rPr>
              <w:t>For Period</w:t>
            </w:r>
          </w:p>
        </w:tc>
        <w:tc>
          <w:tcPr>
            <w:tcW w:w="2760" w:type="dxa"/>
            <w:vAlign w:val="bottom"/>
            <w:gridSpan w:val="2"/>
            <w:vMerge w:val="restart"/>
          </w:tcPr>
          <w:p>
            <w:pPr>
              <w:spacing w:after="0"/>
              <w:rPr>
                <w:sz w:val="20"/>
                <w:szCs w:val="20"/>
                <w:color w:val="auto"/>
              </w:rPr>
            </w:pPr>
            <w:r>
              <w:rPr>
                <w:rFonts w:ascii="Arial" w:cs="Arial" w:eastAsia="Arial" w:hAnsi="Arial"/>
                <w:sz w:val="18"/>
                <w:szCs w:val="18"/>
                <w:color w:val="auto"/>
              </w:rPr>
              <w:t>September 30, 2017</w:t>
            </w:r>
          </w:p>
        </w:tc>
        <w:tc>
          <w:tcPr>
            <w:tcW w:w="2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260" w:type="dxa"/>
            <w:vAlign w:val="bottom"/>
          </w:tcPr>
          <w:p>
            <w:pPr>
              <w:spacing w:after="0"/>
              <w:rPr>
                <w:sz w:val="19"/>
                <w:szCs w:val="19"/>
                <w:color w:val="auto"/>
              </w:rPr>
            </w:pPr>
          </w:p>
        </w:tc>
        <w:tc>
          <w:tcPr>
            <w:tcW w:w="1020" w:type="dxa"/>
            <w:vAlign w:val="bottom"/>
          </w:tcPr>
          <w:p>
            <w:pPr>
              <w:ind w:left="40"/>
              <w:spacing w:after="0"/>
              <w:rPr>
                <w:sz w:val="20"/>
                <w:szCs w:val="20"/>
                <w:color w:val="auto"/>
              </w:rPr>
            </w:pPr>
            <w:r>
              <w:rPr>
                <w:rFonts w:ascii="Arial" w:cs="Arial" w:eastAsia="Arial" w:hAnsi="Arial"/>
                <w:sz w:val="18"/>
                <w:szCs w:val="18"/>
                <w:color w:val="auto"/>
              </w:rPr>
              <w:t>Ended:</w:t>
            </w:r>
          </w:p>
        </w:tc>
        <w:tc>
          <w:tcPr>
            <w:tcW w:w="2760" w:type="dxa"/>
            <w:vAlign w:val="bottom"/>
            <w:tcBorders>
              <w:bottom w:val="single" w:sz="8" w:color="auto"/>
            </w:tcBorders>
            <w:gridSpan w:val="2"/>
            <w:vMerge w:val="continue"/>
          </w:tcPr>
          <w:p>
            <w:pPr>
              <w:spacing w:after="0"/>
              <w:rPr>
                <w:sz w:val="19"/>
                <w:szCs w:val="19"/>
                <w:color w:val="auto"/>
              </w:rPr>
            </w:pPr>
          </w:p>
        </w:tc>
        <w:tc>
          <w:tcPr>
            <w:tcW w:w="2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1460" w:hanging="155"/>
        <w:spacing w:after="0"/>
        <w:tabs>
          <w:tab w:leader="none" w:pos="1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Transition Report on Form 10-K</w:t>
      </w:r>
    </w:p>
    <w:p>
      <w:pPr>
        <w:spacing w:after="0" w:line="23" w:lineRule="exact"/>
        <w:rPr>
          <w:rFonts w:ascii="Arial" w:cs="Arial" w:eastAsia="Arial" w:hAnsi="Arial"/>
          <w:sz w:val="18"/>
          <w:szCs w:val="18"/>
          <w:color w:val="auto"/>
        </w:rPr>
      </w:pPr>
    </w:p>
    <w:p>
      <w:pPr>
        <w:ind w:left="1460" w:hanging="155"/>
        <w:spacing w:after="0"/>
        <w:tabs>
          <w:tab w:leader="none" w:pos="1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Transition Report on Form 20-F</w:t>
      </w:r>
    </w:p>
    <w:p>
      <w:pPr>
        <w:spacing w:after="0" w:line="9" w:lineRule="exact"/>
        <w:rPr>
          <w:rFonts w:ascii="Arial" w:cs="Arial" w:eastAsia="Arial" w:hAnsi="Arial"/>
          <w:sz w:val="18"/>
          <w:szCs w:val="18"/>
          <w:color w:val="auto"/>
        </w:rPr>
      </w:pPr>
    </w:p>
    <w:p>
      <w:pPr>
        <w:ind w:left="1460" w:hanging="155"/>
        <w:spacing w:after="0"/>
        <w:tabs>
          <w:tab w:leader="none" w:pos="1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Transition Report on Form 11-K</w:t>
      </w:r>
    </w:p>
    <w:p>
      <w:pPr>
        <w:spacing w:after="0" w:line="9" w:lineRule="exact"/>
        <w:rPr>
          <w:rFonts w:ascii="Arial" w:cs="Arial" w:eastAsia="Arial" w:hAnsi="Arial"/>
          <w:sz w:val="18"/>
          <w:szCs w:val="18"/>
          <w:color w:val="auto"/>
        </w:rPr>
      </w:pPr>
    </w:p>
    <w:p>
      <w:pPr>
        <w:ind w:left="1460" w:hanging="155"/>
        <w:spacing w:after="0"/>
        <w:tabs>
          <w:tab w:leader="none" w:pos="1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Transition Report on Form 10-Q</w:t>
      </w:r>
    </w:p>
    <w:p>
      <w:pPr>
        <w:spacing w:after="0" w:line="9" w:lineRule="exact"/>
        <w:rPr>
          <w:rFonts w:ascii="Arial" w:cs="Arial" w:eastAsia="Arial" w:hAnsi="Arial"/>
          <w:sz w:val="18"/>
          <w:szCs w:val="18"/>
          <w:color w:val="auto"/>
        </w:rPr>
      </w:pPr>
    </w:p>
    <w:p>
      <w:pPr>
        <w:ind w:left="1300" w:right="6960" w:firstLine="5"/>
        <w:spacing w:after="0" w:line="261" w:lineRule="auto"/>
        <w:tabs>
          <w:tab w:leader="none" w:pos="1450" w:val="left"/>
        </w:tabs>
        <w:numPr>
          <w:ilvl w:val="0"/>
          <w:numId w:val="1"/>
        </w:numPr>
        <w:rPr>
          <w:rFonts w:ascii="Arial" w:cs="Arial" w:eastAsia="Arial" w:hAnsi="Arial"/>
          <w:sz w:val="18"/>
          <w:szCs w:val="18"/>
          <w:color w:val="auto"/>
        </w:rPr>
      </w:pPr>
      <w:r>
        <w:rPr>
          <w:rFonts w:ascii="Arial" w:cs="Arial" w:eastAsia="Arial" w:hAnsi="Arial"/>
          <w:sz w:val="18"/>
          <w:szCs w:val="18"/>
          <w:color w:val="auto"/>
        </w:rPr>
        <w:t>] Transition Report on Form N-SAR For the Transaction Period Ended:</w:t>
      </w:r>
    </w:p>
    <w:p>
      <w:pPr>
        <w:spacing w:after="0" w:line="180" w:lineRule="exact"/>
        <w:rPr>
          <w:sz w:val="24"/>
          <w:szCs w:val="24"/>
          <w:color w:val="auto"/>
        </w:rPr>
      </w:pPr>
    </w:p>
    <w:p>
      <w:pPr>
        <w:jc w:val="center"/>
        <w:spacing w:after="0" w:line="275" w:lineRule="auto"/>
        <w:rPr>
          <w:sz w:val="20"/>
          <w:szCs w:val="20"/>
          <w:color w:val="auto"/>
        </w:rPr>
      </w:pPr>
      <w:r>
        <w:rPr>
          <w:rFonts w:ascii="Arial" w:cs="Arial" w:eastAsia="Arial" w:hAnsi="Arial"/>
          <w:sz w:val="18"/>
          <w:szCs w:val="18"/>
          <w:b w:val="1"/>
          <w:bCs w:val="1"/>
          <w:i w:val="1"/>
          <w:iCs w:val="1"/>
          <w:color w:val="auto"/>
        </w:rPr>
        <w:t xml:space="preserve">READ INSTRUCTION (ON BACK PAGE) BEFORE PREPARING FORM. PLEASE PRINT OR TYPE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NOTHING IN THIS FORM SHALL BE CONSTRUED TO IMPLY THAT THE COMMISSION HAS VERIFIED ANY INFORMATION CONTAINED HEREIN.</w:t>
      </w:r>
    </w:p>
    <w:p>
      <w:pPr>
        <w:spacing w:after="0" w:line="394" w:lineRule="exact"/>
        <w:rPr>
          <w:sz w:val="24"/>
          <w:szCs w:val="24"/>
          <w:color w:val="auto"/>
        </w:rPr>
      </w:pPr>
    </w:p>
    <w:p>
      <w:pPr>
        <w:spacing w:after="0"/>
        <w:rPr>
          <w:sz w:val="20"/>
          <w:szCs w:val="20"/>
          <w:color w:val="auto"/>
        </w:rPr>
      </w:pPr>
      <w:r>
        <w:rPr>
          <w:rFonts w:ascii="Arial" w:cs="Arial" w:eastAsia="Arial" w:hAnsi="Arial"/>
          <w:sz w:val="18"/>
          <w:szCs w:val="18"/>
          <w:color w:val="auto"/>
        </w:rPr>
        <w:t>If the notification relates to a portion of the filing checked above, identify the Item(s) to which the notification relates:</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PART I - REGISTRANT INFORMATION</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ClearOne,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spacing w:after="0"/>
        <w:rPr>
          <w:sz w:val="20"/>
          <w:szCs w:val="20"/>
          <w:color w:val="auto"/>
        </w:rPr>
      </w:pPr>
      <w:r>
        <w:rPr>
          <w:rFonts w:ascii="Arial" w:cs="Arial" w:eastAsia="Arial" w:hAnsi="Arial"/>
          <w:sz w:val="18"/>
          <w:szCs w:val="18"/>
          <w:color w:val="auto"/>
        </w:rPr>
        <w:t>Full Name of Registrant</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ClearOne Communications,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spacing w:after="0"/>
        <w:rPr>
          <w:sz w:val="20"/>
          <w:szCs w:val="20"/>
          <w:color w:val="auto"/>
        </w:rPr>
      </w:pPr>
      <w:r>
        <w:rPr>
          <w:rFonts w:ascii="Arial" w:cs="Arial" w:eastAsia="Arial" w:hAnsi="Arial"/>
          <w:sz w:val="18"/>
          <w:szCs w:val="18"/>
          <w:color w:val="auto"/>
        </w:rPr>
        <w:t>Former Name if Applicable</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5225 Wiley Post Way, Suite 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spacing w:after="0"/>
        <w:rPr>
          <w:sz w:val="20"/>
          <w:szCs w:val="20"/>
          <w:color w:val="auto"/>
        </w:rPr>
      </w:pPr>
      <w:r>
        <w:rPr>
          <w:rFonts w:ascii="Arial" w:cs="Arial" w:eastAsia="Arial" w:hAnsi="Arial"/>
          <w:sz w:val="18"/>
          <w:szCs w:val="18"/>
          <w:color w:val="auto"/>
        </w:rPr>
        <w:t>Address of Principal Executive Office (Street and Number)</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Salt Lake City, Utah 84116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spacing w:after="0"/>
        <w:rPr>
          <w:sz w:val="20"/>
          <w:szCs w:val="20"/>
          <w:color w:val="auto"/>
        </w:rPr>
      </w:pPr>
      <w:r>
        <w:rPr>
          <w:rFonts w:ascii="Arial" w:cs="Arial" w:eastAsia="Arial" w:hAnsi="Arial"/>
          <w:sz w:val="18"/>
          <w:szCs w:val="18"/>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PART II - RULES 12b-25(b) AND (c)</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70" w:lineRule="exact"/>
        <w:rPr>
          <w:sz w:val="20"/>
          <w:szCs w:val="20"/>
          <w:color w:val="auto"/>
        </w:rPr>
      </w:pPr>
    </w:p>
    <w:p>
      <w:pPr>
        <w:ind w:left="400"/>
        <w:spacing w:after="0"/>
        <w:tabs>
          <w:tab w:leader="none" w:pos="1400" w:val="left"/>
        </w:tabs>
        <w:rPr>
          <w:sz w:val="20"/>
          <w:szCs w:val="20"/>
          <w:color w:val="auto"/>
        </w:rPr>
      </w:pPr>
      <w:r>
        <w:rPr>
          <w:rFonts w:ascii="Arial" w:cs="Arial" w:eastAsia="Arial" w:hAnsi="Arial"/>
          <w:sz w:val="18"/>
          <w:szCs w:val="18"/>
          <w:color w:val="auto"/>
        </w:rPr>
        <w:t>[X]  (a)</w:t>
      </w:r>
      <w:r>
        <w:rPr>
          <w:sz w:val="20"/>
          <w:szCs w:val="20"/>
          <w:color w:val="auto"/>
        </w:rPr>
        <w:tab/>
      </w:r>
      <w:r>
        <w:rPr>
          <w:rFonts w:ascii="Arial" w:cs="Arial" w:eastAsia="Arial" w:hAnsi="Arial"/>
          <w:sz w:val="16"/>
          <w:szCs w:val="16"/>
          <w:color w:val="auto"/>
        </w:rPr>
        <w:t>The reasons described in reasonable detail in Part III of this form could not be eliminated without unreasonable effort or expense;</w:t>
      </w:r>
    </w:p>
    <w:p>
      <w:pPr>
        <w:spacing w:after="0" w:line="23" w:lineRule="exact"/>
        <w:rPr>
          <w:sz w:val="20"/>
          <w:szCs w:val="20"/>
          <w:color w:val="auto"/>
        </w:rPr>
      </w:pPr>
    </w:p>
    <w:p>
      <w:pPr>
        <w:ind w:left="1420" w:hanging="1014"/>
        <w:spacing w:after="0" w:line="265" w:lineRule="auto"/>
        <w:tabs>
          <w:tab w:leader="none" w:pos="772" w:val="left"/>
        </w:tabs>
        <w:numPr>
          <w:ilvl w:val="0"/>
          <w:numId w:val="2"/>
        </w:numPr>
        <w:rPr>
          <w:rFonts w:ascii="Arial" w:cs="Arial" w:eastAsia="Arial" w:hAnsi="Arial"/>
          <w:sz w:val="18"/>
          <w:szCs w:val="18"/>
          <w:color w:val="auto"/>
        </w:rPr>
      </w:pPr>
      <w:r>
        <w:rPr>
          <w:rFonts w:ascii="Arial" w:cs="Arial" w:eastAsia="Arial" w:hAnsi="Arial"/>
          <w:sz w:val="18"/>
          <w:szCs w:val="18"/>
          <w:color w:val="auto"/>
        </w:rPr>
        <w:t>(b)</w:t>
      </w:r>
      <w:r>
        <w:rPr>
          <w:rFonts w:ascii="Arial" w:cs="Arial" w:eastAsia="Arial" w:hAnsi="Arial"/>
          <w:sz w:val="17"/>
          <w:szCs w:val="17"/>
          <w:color w:val="auto"/>
        </w:rPr>
        <w:t>The subject annual report, semi-annual report, transition report on Form 10-K, Form 20-F, 11-K or Form N-SAR, or portion thereof, will be filed on or before the fifteenth calendar day following the prescribed due date; or the subject quarterly report or transition report on Form 10-Q, or portion thereof will be filed on or before the fifth calendar day following the prescribed due date; and</w:t>
      </w:r>
    </w:p>
    <w:p>
      <w:pPr>
        <w:spacing w:after="0" w:line="1" w:lineRule="exact"/>
        <w:rPr>
          <w:sz w:val="20"/>
          <w:szCs w:val="20"/>
          <w:color w:val="auto"/>
        </w:rPr>
      </w:pPr>
    </w:p>
    <w:p>
      <w:pPr>
        <w:ind w:left="440"/>
        <w:spacing w:after="0"/>
        <w:tabs>
          <w:tab w:leader="none" w:pos="1400" w:val="left"/>
        </w:tabs>
        <w:rPr>
          <w:sz w:val="20"/>
          <w:szCs w:val="20"/>
          <w:color w:val="auto"/>
        </w:rPr>
      </w:pPr>
      <w:r>
        <w:rPr>
          <w:rFonts w:ascii="Arial" w:cs="Arial" w:eastAsia="Arial" w:hAnsi="Arial"/>
          <w:sz w:val="18"/>
          <w:szCs w:val="18"/>
          <w:color w:val="auto"/>
        </w:rPr>
        <w:t>[ ]  (c)</w:t>
      </w:r>
      <w:r>
        <w:rPr>
          <w:sz w:val="20"/>
          <w:szCs w:val="20"/>
          <w:color w:val="auto"/>
        </w:rPr>
        <w:tab/>
      </w:r>
      <w:r>
        <w:rPr>
          <w:rFonts w:ascii="Arial" w:cs="Arial" w:eastAsia="Arial" w:hAnsi="Arial"/>
          <w:sz w:val="16"/>
          <w:szCs w:val="16"/>
          <w:color w:val="auto"/>
        </w:rPr>
        <w:t>The accountant’s statement or other exhibit required by Rule 12b-25(c) has been attached if applicable.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 - NARRATIVE</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State below in reasonable detail the reasons why Forms 10-K, 20-F, 11-K, 10-Q, N-SAR, or the transition report or portion thereof, could not be filed within the prescribed time period.</w:t>
      </w:r>
    </w:p>
    <w:p>
      <w:pPr>
        <w:spacing w:after="0" w:line="170" w:lineRule="exact"/>
        <w:rPr>
          <w:sz w:val="20"/>
          <w:szCs w:val="20"/>
          <w:color w:val="auto"/>
        </w:rPr>
      </w:pPr>
    </w:p>
    <w:p>
      <w:pPr>
        <w:jc w:val="both"/>
        <w:ind w:firstLine="826"/>
        <w:spacing w:after="0" w:line="264" w:lineRule="auto"/>
        <w:rPr>
          <w:sz w:val="20"/>
          <w:szCs w:val="20"/>
          <w:color w:val="auto"/>
        </w:rPr>
      </w:pPr>
      <w:r>
        <w:rPr>
          <w:rFonts w:ascii="Arial" w:cs="Arial" w:eastAsia="Arial" w:hAnsi="Arial"/>
          <w:sz w:val="18"/>
          <w:szCs w:val="18"/>
          <w:color w:val="auto"/>
        </w:rPr>
        <w:t>ClearOne, Inc. (the “Company” ) was unable to file its Form 10-Q for the period ended September 30, 2017. The Company undertook an impairment analysis of its goodwill triggered by the recent drop in the Company’s stock price. The Company could not complete this complex analysis and complete the filing of Form 10-Q without unreasonable effort and expense within the prescribed time.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 - OTHER INFORMATION</w:t>
      </w:r>
    </w:p>
    <w:p>
      <w:pPr>
        <w:spacing w:after="0" w:line="229" w:lineRule="exact"/>
        <w:rPr>
          <w:sz w:val="20"/>
          <w:szCs w:val="20"/>
          <w:color w:val="auto"/>
        </w:rPr>
      </w:pPr>
    </w:p>
    <w:p>
      <w:pPr>
        <w:ind w:left="480" w:hanging="47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and telephone number of person to contact in regard to this notification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90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Narsi Narayanan</w:t>
            </w:r>
          </w:p>
        </w:tc>
        <w:tc>
          <w:tcPr>
            <w:tcW w:w="3660" w:type="dxa"/>
            <w:vAlign w:val="bottom"/>
          </w:tcPr>
          <w:p>
            <w:pPr>
              <w:jc w:val="right"/>
              <w:ind w:right="1610"/>
              <w:spacing w:after="0"/>
              <w:rPr>
                <w:sz w:val="20"/>
                <w:szCs w:val="20"/>
                <w:color w:val="auto"/>
              </w:rPr>
            </w:pPr>
            <w:r>
              <w:rPr>
                <w:rFonts w:ascii="Arial" w:cs="Arial" w:eastAsia="Arial" w:hAnsi="Arial"/>
                <w:sz w:val="18"/>
                <w:szCs w:val="18"/>
                <w:color w:val="auto"/>
              </w:rPr>
              <w:t>801</w:t>
            </w:r>
          </w:p>
        </w:tc>
        <w:tc>
          <w:tcPr>
            <w:tcW w:w="220" w:type="dxa"/>
            <w:vAlign w:val="bottom"/>
          </w:tcPr>
          <w:p>
            <w:pPr>
              <w:spacing w:after="0"/>
              <w:rPr>
                <w:sz w:val="20"/>
                <w:szCs w:val="20"/>
                <w:color w:val="auto"/>
              </w:rPr>
            </w:pPr>
          </w:p>
        </w:tc>
        <w:tc>
          <w:tcPr>
            <w:tcW w:w="3640" w:type="dxa"/>
            <w:vAlign w:val="bottom"/>
          </w:tcPr>
          <w:p>
            <w:pPr>
              <w:jc w:val="right"/>
              <w:ind w:right="1390"/>
              <w:spacing w:after="0"/>
              <w:rPr>
                <w:sz w:val="20"/>
                <w:szCs w:val="20"/>
                <w:color w:val="auto"/>
              </w:rPr>
            </w:pPr>
            <w:r>
              <w:rPr>
                <w:rFonts w:ascii="Arial" w:cs="Arial" w:eastAsia="Arial" w:hAnsi="Arial"/>
                <w:sz w:val="18"/>
                <w:szCs w:val="18"/>
                <w:color w:val="auto"/>
              </w:rPr>
              <w:t>975-7200</w:t>
            </w:r>
          </w:p>
        </w:tc>
      </w:tr>
      <w:tr>
        <w:trPr>
          <w:trHeight w:val="230"/>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(Name)</w:t>
            </w:r>
          </w:p>
        </w:tc>
        <w:tc>
          <w:tcPr>
            <w:tcW w:w="240" w:type="dxa"/>
            <w:vAlign w:val="bottom"/>
          </w:tcPr>
          <w:p>
            <w:pPr>
              <w:spacing w:after="0"/>
              <w:rPr>
                <w:sz w:val="20"/>
                <w:szCs w:val="20"/>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(Area Code)</w:t>
            </w:r>
          </w:p>
        </w:tc>
        <w:tc>
          <w:tcPr>
            <w:tcW w:w="220" w:type="dxa"/>
            <w:vAlign w:val="bottom"/>
          </w:tcPr>
          <w:p>
            <w:pPr>
              <w:spacing w:after="0"/>
              <w:rPr>
                <w:sz w:val="20"/>
                <w:szCs w:val="20"/>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(Telephone Number)</w:t>
            </w:r>
          </w:p>
        </w:tc>
      </w:tr>
    </w:tbl>
    <w:p>
      <w:pPr>
        <w:spacing w:after="0" w:line="174" w:lineRule="exact"/>
        <w:rPr>
          <w:sz w:val="20"/>
          <w:szCs w:val="20"/>
          <w:color w:val="auto"/>
        </w:rPr>
      </w:pPr>
    </w:p>
    <w:p>
      <w:pPr>
        <w:jc w:val="both"/>
        <w:ind w:left="480" w:right="60" w:hanging="472"/>
        <w:spacing w:after="0" w:line="225" w:lineRule="auto"/>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w:t>
      </w:r>
    </w:p>
    <w:p>
      <w:pPr>
        <w:spacing w:after="0" w:line="1" w:lineRule="exact"/>
        <w:rPr>
          <w:sz w:val="20"/>
          <w:szCs w:val="20"/>
          <w:color w:val="auto"/>
        </w:rPr>
      </w:pPr>
    </w:p>
    <w:p>
      <w:pPr>
        <w:jc w:val="right"/>
        <w:spacing w:after="0"/>
        <w:tabs>
          <w:tab w:leader="none" w:pos="460" w:val="left"/>
        </w:tabs>
        <w:rPr>
          <w:sz w:val="20"/>
          <w:szCs w:val="20"/>
          <w:color w:val="auto"/>
        </w:rPr>
      </w:pPr>
      <w:r>
        <w:rPr>
          <w:rFonts w:ascii="Arial" w:cs="Arial" w:eastAsia="Arial" w:hAnsi="Arial"/>
          <w:sz w:val="18"/>
          <w:szCs w:val="18"/>
          <w:color w:val="auto"/>
        </w:rPr>
        <w:t>[X] Yes</w:t>
      </w:r>
      <w:r>
        <w:rPr>
          <w:sz w:val="20"/>
          <w:szCs w:val="20"/>
          <w:color w:val="auto"/>
        </w:rPr>
        <w:tab/>
      </w:r>
      <w:r>
        <w:rPr>
          <w:rFonts w:ascii="Arial" w:cs="Arial" w:eastAsia="Arial" w:hAnsi="Arial"/>
          <w:sz w:val="18"/>
          <w:szCs w:val="18"/>
          <w:color w:val="auto"/>
        </w:rPr>
        <w:t>[ ] No</w:t>
      </w:r>
    </w:p>
    <w:p>
      <w:pPr>
        <w:spacing w:after="0" w:line="182" w:lineRule="exact"/>
        <w:rPr>
          <w:sz w:val="20"/>
          <w:szCs w:val="20"/>
          <w:color w:val="auto"/>
        </w:rPr>
      </w:pPr>
    </w:p>
    <w:p>
      <w:pPr>
        <w:ind w:left="480" w:right="80" w:hanging="472"/>
        <w:spacing w:after="0" w:line="228" w:lineRule="auto"/>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spacing w:after="0" w:line="1" w:lineRule="exact"/>
        <w:rPr>
          <w:sz w:val="20"/>
          <w:szCs w:val="20"/>
          <w:color w:val="auto"/>
        </w:rPr>
      </w:pPr>
    </w:p>
    <w:p>
      <w:pPr>
        <w:jc w:val="right"/>
        <w:spacing w:after="0"/>
        <w:tabs>
          <w:tab w:leader="none" w:pos="460" w:val="left"/>
        </w:tabs>
        <w:rPr>
          <w:sz w:val="20"/>
          <w:szCs w:val="20"/>
          <w:color w:val="auto"/>
        </w:rPr>
      </w:pPr>
      <w:r>
        <w:rPr>
          <w:rFonts w:ascii="Arial" w:cs="Arial" w:eastAsia="Arial" w:hAnsi="Arial"/>
          <w:sz w:val="18"/>
          <w:szCs w:val="18"/>
          <w:color w:val="auto"/>
        </w:rPr>
        <w:t>[X] Yes</w:t>
      </w:r>
      <w:r>
        <w:rPr>
          <w:sz w:val="20"/>
          <w:szCs w:val="20"/>
          <w:color w:val="auto"/>
        </w:rPr>
        <w:tab/>
      </w:r>
      <w:r>
        <w:rPr>
          <w:rFonts w:ascii="Arial" w:cs="Arial" w:eastAsia="Arial" w:hAnsi="Arial"/>
          <w:sz w:val="18"/>
          <w:szCs w:val="18"/>
          <w:color w:val="auto"/>
        </w:rPr>
        <w:t>[ ] No</w:t>
      </w:r>
    </w:p>
    <w:p>
      <w:pPr>
        <w:spacing w:after="0" w:line="196" w:lineRule="exact"/>
        <w:rPr>
          <w:sz w:val="20"/>
          <w:szCs w:val="20"/>
          <w:color w:val="auto"/>
        </w:rPr>
      </w:pPr>
    </w:p>
    <w:p>
      <w:pPr>
        <w:ind w:left="480" w:right="40"/>
        <w:spacing w:after="0" w:line="277" w:lineRule="auto"/>
        <w:rPr>
          <w:sz w:val="20"/>
          <w:szCs w:val="20"/>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filed a Form 8-K announcing the financials results for the period ended September 30, 2017 on November 8, 2017. The Company reported revenue of $10. 6 million for the quarter ended September 30, 2017, compared to $12.9 million for same period in 2016, a decrease of approximately 18%. Operating loss was $13.5 million and net loss was $9.3 million for the quarter ended September 30, 2017. The results for the quarter ended September 30, 2017 included goodwill impairment of $12.7 million and intangibles impairment of $0.7 million. For the three months ended September 30, 2016, operating income was $1.4 million and net income was $1.2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41"/>
        </w:trPr>
        <w:tc>
          <w:tcPr>
            <w:tcW w:w="2960" w:type="dxa"/>
            <w:vAlign w:val="bottom"/>
            <w:tcBorders>
              <w:bottom w:val="single" w:sz="8" w:color="auto"/>
            </w:tcBorders>
          </w:tcPr>
          <w:p>
            <w:pPr>
              <w:spacing w:after="0"/>
              <w:rPr>
                <w:sz w:val="20"/>
                <w:szCs w:val="20"/>
                <w:color w:val="auto"/>
              </w:rPr>
            </w:pPr>
          </w:p>
        </w:tc>
        <w:tc>
          <w:tcPr>
            <w:tcW w:w="8460" w:type="dxa"/>
            <w:vAlign w:val="bottom"/>
            <w:tcBorders>
              <w:bottom w:val="single" w:sz="8" w:color="auto"/>
            </w:tcBorders>
          </w:tcPr>
          <w:p>
            <w:pPr>
              <w:jc w:val="center"/>
              <w:ind w:right="2870"/>
              <w:spacing w:after="0"/>
              <w:rPr>
                <w:sz w:val="20"/>
                <w:szCs w:val="20"/>
                <w:color w:val="auto"/>
              </w:rPr>
            </w:pPr>
            <w:r>
              <w:rPr>
                <w:rFonts w:ascii="Arial" w:cs="Arial" w:eastAsia="Arial" w:hAnsi="Arial"/>
                <w:sz w:val="18"/>
                <w:szCs w:val="18"/>
                <w:b w:val="1"/>
                <w:bCs w:val="1"/>
                <w:color w:val="auto"/>
                <w:w w:val="94"/>
              </w:rPr>
              <w:t>ClearOne, Inc.</w:t>
            </w:r>
          </w:p>
        </w:tc>
      </w:tr>
      <w:tr>
        <w:trPr>
          <w:trHeight w:val="230"/>
        </w:trPr>
        <w:tc>
          <w:tcPr>
            <w:tcW w:w="2960" w:type="dxa"/>
            <w:vAlign w:val="bottom"/>
          </w:tcPr>
          <w:p>
            <w:pPr>
              <w:spacing w:after="0"/>
              <w:rPr>
                <w:sz w:val="20"/>
                <w:szCs w:val="20"/>
                <w:color w:val="auto"/>
              </w:rPr>
            </w:pPr>
          </w:p>
        </w:tc>
        <w:tc>
          <w:tcPr>
            <w:tcW w:w="8460" w:type="dxa"/>
            <w:vAlign w:val="bottom"/>
          </w:tcPr>
          <w:p>
            <w:pPr>
              <w:jc w:val="center"/>
              <w:ind w:right="2870"/>
              <w:spacing w:after="0"/>
              <w:rPr>
                <w:sz w:val="20"/>
                <w:szCs w:val="20"/>
                <w:color w:val="auto"/>
              </w:rPr>
            </w:pPr>
            <w:r>
              <w:rPr>
                <w:rFonts w:ascii="Arial" w:cs="Arial" w:eastAsia="Arial" w:hAnsi="Arial"/>
                <w:sz w:val="18"/>
                <w:szCs w:val="18"/>
                <w:color w:val="auto"/>
                <w:w w:val="90"/>
              </w:rPr>
              <w:t>(Name of Registrant as Specified in Charter)</w:t>
            </w:r>
          </w:p>
        </w:tc>
      </w:tr>
      <w:tr>
        <w:trPr>
          <w:trHeight w:val="418"/>
        </w:trPr>
        <w:tc>
          <w:tcPr>
            <w:tcW w:w="11420" w:type="dxa"/>
            <w:vAlign w:val="bottom"/>
            <w:gridSpan w:val="2"/>
          </w:tcPr>
          <w:p>
            <w:pPr>
              <w:spacing w:after="0"/>
              <w:rPr>
                <w:sz w:val="20"/>
                <w:szCs w:val="20"/>
                <w:color w:val="auto"/>
              </w:rPr>
            </w:pPr>
            <w:r>
              <w:rPr>
                <w:rFonts w:ascii="Arial" w:cs="Arial" w:eastAsia="Arial" w:hAnsi="Arial"/>
                <w:sz w:val="18"/>
                <w:szCs w:val="18"/>
                <w:color w:val="auto"/>
              </w:rPr>
              <w:t>has caused this notification to be signed on its behalf by the undersigned hereunto duly authorized.</w:t>
            </w:r>
          </w:p>
        </w:tc>
      </w:tr>
      <w:tr>
        <w:trPr>
          <w:trHeight w:val="446"/>
        </w:trPr>
        <w:tc>
          <w:tcPr>
            <w:tcW w:w="2960" w:type="dxa"/>
            <w:vAlign w:val="bottom"/>
          </w:tcPr>
          <w:p>
            <w:pPr>
              <w:spacing w:after="0"/>
              <w:rPr>
                <w:sz w:val="20"/>
                <w:szCs w:val="20"/>
                <w:color w:val="auto"/>
              </w:rPr>
            </w:pPr>
            <w:r>
              <w:rPr>
                <w:rFonts w:ascii="Arial" w:cs="Arial" w:eastAsia="Arial" w:hAnsi="Arial"/>
                <w:sz w:val="18"/>
                <w:szCs w:val="18"/>
                <w:color w:val="auto"/>
              </w:rPr>
              <w:t>Date November 13, 2017</w:t>
            </w:r>
          </w:p>
        </w:tc>
        <w:tc>
          <w:tcPr>
            <w:tcW w:w="8460" w:type="dxa"/>
            <w:vAlign w:val="bottom"/>
          </w:tcPr>
          <w:p>
            <w:pPr>
              <w:ind w:left="27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Zeynep Hakimoglu</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-7620</wp:posOffset>
            </wp:positionV>
            <wp:extent cx="340487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ind w:left="6060"/>
        <w:spacing w:after="0"/>
        <w:rPr>
          <w:sz w:val="20"/>
          <w:szCs w:val="20"/>
          <w:color w:val="auto"/>
        </w:rPr>
      </w:pPr>
      <w:r>
        <w:rPr>
          <w:rFonts w:ascii="Arial" w:cs="Arial" w:eastAsia="Arial" w:hAnsi="Arial"/>
          <w:sz w:val="18"/>
          <w:szCs w:val="18"/>
          <w:color w:val="auto"/>
        </w:rPr>
        <w:t>Zeynep Hakimoglu, Chief Executive Officer</w:t>
      </w:r>
    </w:p>
    <w:p>
      <w:pPr>
        <w:spacing w:after="0" w:line="207"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INSTRUCTION: </w:t>
      </w:r>
      <w:r>
        <w:rPr>
          <w:rFonts w:ascii="Arial" w:cs="Arial" w:eastAsia="Arial" w:hAnsi="Arial"/>
          <w:sz w:val="17"/>
          <w:szCs w:val="17"/>
          <w:color w:val="auto"/>
        </w:rPr>
        <w:t>The form may be signed by an executive officer of the registrant or by any other duly authorized representative. The name and title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person signing the form shall be typed or printed beneath the signature. If the statement is signed on behalf of the registrant by an authorized representative (other than an executive officer), evidence of the representative’s authority to sign on behalf of the registrant shall be filed with the form.</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INTENTIONAL MISSTATEMENTS OR OMISSIONS OF FACT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CONSTITUTE FEDERAL CRIMINAL VIOLATIONS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upperLetter"/>
      <w:start w:val="24"/>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2019-12-05T17:29:29Z</dcterms:created>
  <dcterms:modified xsi:type="dcterms:W3CDTF">2019-12-05T17:29:29Z</dcterms:modified>
</cp:coreProperties>
</file>