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2"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18506U104</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4324"/>
        <w:spacing w:after="0"/>
        <w:rPr>
          <w:sz w:val="20"/>
          <w:szCs w:val="20"/>
          <w:color w:val="auto"/>
        </w:rPr>
      </w:pPr>
      <w:r>
        <w:rPr>
          <w:rFonts w:ascii="Arial" w:cs="Arial" w:eastAsia="Arial" w:hAnsi="Arial"/>
          <w:sz w:val="18"/>
          <w:szCs w:val="18"/>
          <w:b w:val="1"/>
          <w:bCs w:val="1"/>
          <w:color w:val="auto"/>
        </w:rPr>
        <w:t>Zeynep Hakimoglu</w:t>
      </w:r>
    </w:p>
    <w:p>
      <w:pPr>
        <w:spacing w:after="0" w:line="27" w:lineRule="exact"/>
        <w:rPr>
          <w:sz w:val="24"/>
          <w:szCs w:val="24"/>
          <w:color w:val="auto"/>
        </w:rPr>
      </w:pPr>
    </w:p>
    <w:p>
      <w:pPr>
        <w:ind w:left="4364"/>
        <w:spacing w:after="0"/>
        <w:rPr>
          <w:sz w:val="20"/>
          <w:szCs w:val="20"/>
          <w:color w:val="auto"/>
        </w:rPr>
      </w:pPr>
      <w:r>
        <w:rPr>
          <w:rFonts w:ascii="Arial" w:cs="Arial" w:eastAsia="Arial" w:hAnsi="Arial"/>
          <w:sz w:val="18"/>
          <w:szCs w:val="18"/>
          <w:b w:val="1"/>
          <w:bCs w:val="1"/>
          <w:color w:val="auto"/>
        </w:rPr>
        <w:t>c/o ClearOne, Inc.</w:t>
      </w:r>
    </w:p>
    <w:p>
      <w:pPr>
        <w:spacing w:after="0" w:line="9" w:lineRule="exact"/>
        <w:rPr>
          <w:sz w:val="24"/>
          <w:szCs w:val="24"/>
          <w:color w:val="auto"/>
        </w:rPr>
      </w:pPr>
    </w:p>
    <w:p>
      <w:pPr>
        <w:ind w:left="3824"/>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ind w:left="4264"/>
        <w:spacing w:after="0"/>
        <w:rPr>
          <w:sz w:val="20"/>
          <w:szCs w:val="20"/>
          <w:color w:val="auto"/>
        </w:rPr>
      </w:pPr>
      <w:r>
        <w:rPr>
          <w:rFonts w:ascii="Arial" w:cs="Arial" w:eastAsia="Arial" w:hAnsi="Arial"/>
          <w:sz w:val="18"/>
          <w:szCs w:val="18"/>
          <w:b w:val="1"/>
          <w:bCs w:val="1"/>
          <w:color w:val="auto"/>
        </w:rPr>
        <w:t>Salt Lake City, Utah</w:t>
      </w:r>
    </w:p>
    <w:p>
      <w:pPr>
        <w:spacing w:after="0" w:line="9" w:lineRule="exact"/>
        <w:rPr>
          <w:sz w:val="24"/>
          <w:szCs w:val="24"/>
          <w:color w:val="auto"/>
        </w:rPr>
      </w:pPr>
    </w:p>
    <w:p>
      <w:pPr>
        <w:ind w:left="4384"/>
        <w:spacing w:after="0"/>
        <w:rPr>
          <w:sz w:val="20"/>
          <w:szCs w:val="20"/>
          <w:color w:val="auto"/>
        </w:rPr>
      </w:pPr>
      <w:r>
        <w:rPr>
          <w:rFonts w:ascii="Arial" w:cs="Arial" w:eastAsia="Arial" w:hAnsi="Arial"/>
          <w:sz w:val="18"/>
          <w:szCs w:val="18"/>
          <w:b w:val="1"/>
          <w:bCs w:val="1"/>
          <w:color w:val="auto"/>
        </w:rPr>
        <w:t>+1 (801) 975-7200</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November 26, 2018</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4"/>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sent.</w:t>
      </w:r>
    </w:p>
    <w:p>
      <w:pPr>
        <w:spacing w:after="0" w:line="166" w:lineRule="exact"/>
        <w:rPr>
          <w:sz w:val="24"/>
          <w:szCs w:val="24"/>
          <w:color w:val="auto"/>
        </w:rPr>
      </w:pPr>
    </w:p>
    <w:p>
      <w:pPr>
        <w:ind w:left="4" w:right="200" w:hanging="4"/>
        <w:spacing w:after="0" w:line="342" w:lineRule="auto"/>
        <w:tabs>
          <w:tab w:leader="none" w:pos="13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4" w:lineRule="exact"/>
        <w:rPr>
          <w:sz w:val="24"/>
          <w:szCs w:val="24"/>
          <w:color w:val="auto"/>
        </w:rPr>
      </w:pPr>
    </w:p>
    <w:p>
      <w:pPr>
        <w:ind w:left="4"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347345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84"/>
          </w:cols>
          <w:pgMar w:left="896" w:top="445"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1040" w:right="8340" w:hanging="654"/>
        <w:spacing w:after="0" w:line="342"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 Zeynep Hakimoglu</w:t>
      </w:r>
    </w:p>
    <w:p>
      <w:pPr>
        <w:spacing w:after="0" w:line="137" w:lineRule="exact"/>
        <w:rPr>
          <w:rFonts w:ascii="Arial" w:cs="Arial" w:eastAsia="Arial" w:hAnsi="Arial"/>
          <w:sz w:val="16"/>
          <w:szCs w:val="16"/>
          <w:color w:val="auto"/>
        </w:rPr>
      </w:pPr>
    </w:p>
    <w:p>
      <w:pPr>
        <w:ind w:left="1040" w:hanging="65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2040" w:hanging="1006"/>
        <w:spacing w:after="0" w:line="207" w:lineRule="exact"/>
        <w:tabs>
          <w:tab w:leader="none" w:pos="2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 w:lineRule="exact"/>
        <w:rPr>
          <w:rFonts w:ascii="Arial" w:cs="Arial" w:eastAsia="Arial" w:hAnsi="Arial"/>
          <w:sz w:val="18"/>
          <w:szCs w:val="18"/>
          <w:color w:val="auto"/>
        </w:rPr>
      </w:pPr>
    </w:p>
    <w:p>
      <w:pPr>
        <w:ind w:left="2040" w:hanging="1006"/>
        <w:spacing w:after="0" w:line="207" w:lineRule="exact"/>
        <w:tabs>
          <w:tab w:leader="none" w:pos="20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1040" w:hanging="65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1040" w:hanging="65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-1263015</wp:posOffset>
            </wp:positionV>
            <wp:extent cx="659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-842645</wp:posOffset>
            </wp:positionV>
            <wp:extent cx="5986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-696595</wp:posOffset>
            </wp:positionV>
            <wp:extent cx="5986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6145"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-414020</wp:posOffset>
            </wp:positionV>
            <wp:extent cx="6595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5715</wp:posOffset>
            </wp:positionV>
            <wp:extent cx="6595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72" w:lineRule="exact"/>
        <w:rPr>
          <w:sz w:val="20"/>
          <w:szCs w:val="20"/>
          <w:color w:val="auto"/>
        </w:rPr>
      </w:pPr>
    </w:p>
    <w:p>
      <w:pPr>
        <w:ind w:left="380"/>
        <w:spacing w:after="0" w:line="196" w:lineRule="exact"/>
        <w:tabs>
          <w:tab w:leader="none" w:pos="1020" w:val="left"/>
          <w:tab w:leader="none" w:pos="730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43180</wp:posOffset>
            </wp:positionV>
            <wp:extent cx="6595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63" w:lineRule="exact"/>
        <w:rPr>
          <w:sz w:val="20"/>
          <w:szCs w:val="20"/>
          <w:color w:val="auto"/>
        </w:rPr>
      </w:pPr>
    </w:p>
    <w:p>
      <w:pPr>
        <w:ind w:left="1040" w:hanging="654"/>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5715</wp:posOffset>
            </wp:positionV>
            <wp:extent cx="6595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781,042</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vMerge w:val="continue"/>
          </w:tcPr>
          <w:p>
            <w:pPr>
              <w:spacing w:after="0"/>
              <w:rPr>
                <w:sz w:val="18"/>
                <w:szCs w:val="18"/>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9700" w:type="dxa"/>
            <w:vAlign w:val="bottom"/>
            <w:gridSpan w:val="2"/>
            <w:vMerge w:val="restart"/>
          </w:tcPr>
          <w:p>
            <w:pPr>
              <w:ind w:left="2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3"/>
        </w:trPr>
        <w:tc>
          <w:tcPr>
            <w:tcW w:w="1140" w:type="dxa"/>
            <w:vAlign w:val="bottom"/>
          </w:tcPr>
          <w:p>
            <w:pPr>
              <w:spacing w:after="0" w:line="202" w:lineRule="exact"/>
              <w:rPr>
                <w:sz w:val="20"/>
                <w:szCs w:val="20"/>
                <w:color w:val="auto"/>
              </w:rPr>
            </w:pPr>
            <w:r>
              <w:rPr>
                <w:rFonts w:ascii="Arial" w:cs="Arial" w:eastAsia="Arial" w:hAnsi="Arial"/>
                <w:sz w:val="18"/>
                <w:szCs w:val="18"/>
                <w:color w:val="auto"/>
              </w:rPr>
              <w:t>Shares</w:t>
            </w:r>
          </w:p>
        </w:tc>
        <w:tc>
          <w:tcPr>
            <w:tcW w:w="580" w:type="dxa"/>
            <w:vAlign w:val="bottom"/>
            <w:vMerge w:val="continue"/>
          </w:tcPr>
          <w:p>
            <w:pPr>
              <w:spacing w:after="0"/>
              <w:rPr>
                <w:sz w:val="17"/>
                <w:szCs w:val="17"/>
                <w:color w:val="auto"/>
              </w:rPr>
            </w:pPr>
          </w:p>
        </w:tc>
        <w:tc>
          <w:tcPr>
            <w:tcW w:w="9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140" w:type="dxa"/>
            <w:vAlign w:val="bottom"/>
          </w:tcPr>
          <w:p>
            <w:pPr>
              <w:spacing w:after="0" w:line="195"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700" w:type="dxa"/>
            <w:vAlign w:val="bottom"/>
            <w:gridSpan w:val="2"/>
          </w:tcPr>
          <w:p>
            <w:pPr>
              <w:ind w:left="200"/>
              <w:spacing w:after="0"/>
              <w:rPr>
                <w:sz w:val="20"/>
                <w:szCs w:val="20"/>
                <w:color w:val="auto"/>
              </w:rPr>
            </w:pPr>
            <w:r>
              <w:rPr>
                <w:rFonts w:ascii="Arial" w:cs="Arial" w:eastAsia="Arial" w:hAnsi="Arial"/>
                <w:sz w:val="18"/>
                <w:szCs w:val="18"/>
                <w:color w:val="auto"/>
              </w:rPr>
              <w:t>781,042</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920" w:right="7580" w:hanging="521"/>
        <w:spacing w:after="0" w:line="260" w:lineRule="auto"/>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98" w:lineRule="exact"/>
        <w:rPr>
          <w:rFonts w:ascii="Arial" w:cs="Arial" w:eastAsia="Arial" w:hAnsi="Arial"/>
          <w:sz w:val="18"/>
          <w:szCs w:val="18"/>
          <w:color w:val="auto"/>
        </w:rPr>
      </w:pPr>
    </w:p>
    <w:p>
      <w:pPr>
        <w:ind w:left="1040" w:right="5540" w:hanging="654"/>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781,042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-439420</wp:posOffset>
            </wp:positionV>
            <wp:extent cx="6037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-19050</wp:posOffset>
            </wp:positionV>
            <wp:extent cx="65951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131" w:lineRule="exact"/>
        <w:rPr>
          <w:sz w:val="20"/>
          <w:szCs w:val="20"/>
          <w:color w:val="auto"/>
        </w:rPr>
      </w:pPr>
    </w:p>
    <w:p>
      <w:pPr>
        <w:ind w:left="380"/>
        <w:spacing w:after="0" w:line="207" w:lineRule="exact"/>
        <w:tabs>
          <w:tab w:leader="none" w:pos="10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35560</wp:posOffset>
            </wp:positionV>
            <wp:extent cx="65951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51" w:lineRule="exact"/>
        <w:rPr>
          <w:sz w:val="20"/>
          <w:szCs w:val="20"/>
          <w:color w:val="auto"/>
        </w:rPr>
      </w:pPr>
    </w:p>
    <w:p>
      <w:pPr>
        <w:ind w:left="1040" w:hanging="654"/>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24" w:lineRule="exact"/>
        <w:rPr>
          <w:rFonts w:ascii="Arial" w:cs="Arial" w:eastAsia="Arial" w:hAnsi="Arial"/>
          <w:sz w:val="18"/>
          <w:szCs w:val="18"/>
          <w:color w:val="auto"/>
        </w:rPr>
      </w:pPr>
    </w:p>
    <w:p>
      <w:pPr>
        <w:ind w:left="1040" w:hanging="654"/>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Calculated based on 16,613,070 issued and outstanding shares of common stock as of December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-551180</wp:posOffset>
            </wp:positionV>
            <wp:extent cx="6595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-130810</wp:posOffset>
            </wp:positionV>
            <wp:extent cx="6595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This statement on Schedule 13D relates to the shares of common stock, par value $.001 per share (the “Common Stock”), of ClearOne, Inc., a Delaware corporation (the “Company”). The Company’s principal executive offices are located at 5225 Wiley Post Way, Suite 500, Salt Lake City, Utah 84116.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This statement is being filed by Zeynep Hakimoglu</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address for Reporting Persons: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Ms. Hakimoglu’s address is c/o ClearOne, Inc. 5225 Wiley Post Way, Suite 500, Salt Lake City, Utah 84116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Hakimoglu is the President and Chief Executive Officer of the Company.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Hakimoglu was not, during the last five years, convicted in a criminal proceeding (excluding traffic violations or similar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misdemeanors).</w:t>
      </w:r>
    </w:p>
    <w:p>
      <w:pPr>
        <w:spacing w:after="0" w:line="210" w:lineRule="exact"/>
        <w:rPr>
          <w:rFonts w:ascii="Arial" w:cs="Arial" w:eastAsia="Arial" w:hAnsi="Arial"/>
          <w:sz w:val="18"/>
          <w:szCs w:val="18"/>
          <w:color w:val="auto"/>
        </w:rPr>
      </w:pPr>
    </w:p>
    <w:p>
      <w:pPr>
        <w:ind w:right="460" w:firstLine="656"/>
        <w:spacing w:after="0" w:line="286" w:lineRule="auto"/>
        <w:tabs>
          <w:tab w:leader="none" w:pos="1298" w:val="left"/>
        </w:tabs>
        <w:numPr>
          <w:ilvl w:val="0"/>
          <w:numId w:val="7"/>
        </w:numPr>
        <w:rPr>
          <w:rFonts w:ascii="Arial" w:cs="Arial" w:eastAsia="Arial" w:hAnsi="Arial"/>
          <w:sz w:val="17"/>
          <w:szCs w:val="17"/>
          <w:color w:val="auto"/>
        </w:rPr>
      </w:pPr>
      <w:r>
        <w:rPr>
          <w:rFonts w:ascii="Arial" w:cs="Arial" w:eastAsia="Arial" w:hAnsi="Arial"/>
          <w:sz w:val="17"/>
          <w:szCs w:val="17"/>
          <w:color w:val="auto"/>
        </w:rPr>
        <w:t>Ms. Hakimoglu was not, during the last five years, a party to a civil proceeding of a judicial or administrative body of competent jurisdiction and, as a result of such proceeding, was or is subject to a judgment, decree or final order (1) enjoining future violations of, or prohibiting or mandating activities subject to, federal or state securities laws, or (2) finding any violation with respect to such laws.</w:t>
      </w:r>
    </w:p>
    <w:p>
      <w:pPr>
        <w:spacing w:after="0" w:line="165" w:lineRule="exact"/>
        <w:rPr>
          <w:rFonts w:ascii="Arial" w:cs="Arial" w:eastAsia="Arial" w:hAnsi="Arial"/>
          <w:sz w:val="17"/>
          <w:szCs w:val="17"/>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Ms. Hakimoglu is a citizen of the United States.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Zeynep Hakimoglu is the record owner of an aggregate of 781,042 shares of common stock which were purchased for an aggregate consideration of $2,174,117.83. Ms. Hakimoglu used personal funds to acquire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Ms. Hakimoglu acquired the above reported shares of common stock based on her belief that the securities represent an attractive investment opportunity, and such purchases have been made in the ordinary course of business. Ms. Hakimoglu reserves the right to acquire or dispose of additional shares of the Company’s common stock, either in open market purchases or in private transactions.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Company</w:t>
      </w:r>
    </w:p>
    <w:p>
      <w:pPr>
        <w:spacing w:after="0" w:line="229" w:lineRule="exact"/>
        <w:rPr>
          <w:sz w:val="20"/>
          <w:szCs w:val="20"/>
          <w:color w:val="auto"/>
        </w:rPr>
      </w:pPr>
    </w:p>
    <w:p>
      <w:pPr>
        <w:ind w:right="180" w:firstLine="656"/>
        <w:spacing w:after="0" w:line="302" w:lineRule="auto"/>
        <w:tabs>
          <w:tab w:leader="none" w:pos="1253"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to the completion of the Company’s issuance and sale of 8,306,535 shares of common stock in a subscription rights offering on December 4, 2018 (the “Rights Offering”), Ms. Hakimoglu had acquired 480,6679 shares of the Company’s common stock representing 5.8% of the issued and outstanding shares of the Company’s common stock as of November 27, 2018. As of December 5, 2018, Ms. Hakimoglu beneficially owns, 781,042 shares of the Company’s common stock representing 4.7% of the issued and outstanding shares of the Company’s common stock as of December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ind w:right="160" w:firstLine="1297"/>
        <w:spacing w:after="0" w:line="342" w:lineRule="auto"/>
        <w:rPr>
          <w:sz w:val="20"/>
          <w:szCs w:val="20"/>
          <w:color w:val="auto"/>
        </w:rPr>
      </w:pPr>
      <w:r>
        <w:rPr>
          <w:rFonts w:ascii="Arial" w:cs="Arial" w:eastAsia="Arial" w:hAnsi="Arial"/>
          <w:sz w:val="16"/>
          <w:szCs w:val="16"/>
          <w:color w:val="auto"/>
        </w:rPr>
        <w:t>The percentage of beneficial ownership of Ms. Hakimoglu set forth in this Schedule 13D are based on 16,613,070 shares of issued and outstanding common stock as of December 4, 2018, as reported in the Company’s Current Report on Form 8-K as filed with the SEC on December 6, 2018.</w:t>
      </w:r>
    </w:p>
    <w:p>
      <w:pPr>
        <w:spacing w:after="0" w:line="124" w:lineRule="exact"/>
        <w:rPr>
          <w:sz w:val="20"/>
          <w:szCs w:val="20"/>
          <w:color w:val="auto"/>
        </w:rPr>
      </w:pPr>
    </w:p>
    <w:p>
      <w:pPr>
        <w:ind w:right="120" w:firstLine="656"/>
        <w:spacing w:after="0" w:line="277" w:lineRule="auto"/>
        <w:tabs>
          <w:tab w:leader="none" w:pos="1263"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Hakimoglu has the sole power to vote or to direct the vote, and the sole power to dispose or to direct the disposition of, 781,042 shares of the Company’s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13, 2018, Ms. Hakimoglu purchased 27,715 shares at an average price of $1.2195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14, 2018, Ms. Hakimoglu purchased 15,033 shares at an average price of $1.22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15, 2018, Ms. Hakimoglu purchased 43,691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19, 2018, Ms. Hakimoglu purchased 25,845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20, 2018, Ms. Hakimoglu purchased 5,129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23, 2018, Ms. Hakimoglu purchased 109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26, 2018, Ms. Hakimoglu purchased 62,078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November 27, 2018, Ms. Hakimoglu purchased 54,466 shares at a price of $1.27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December 4, 2018, Ms. Hakimoglu purchased 300,363 shares at a price of $1.20 per share in the Rights Offering.</w:t>
      </w:r>
    </w:p>
    <w:p>
      <w:pPr>
        <w:spacing w:after="0" w:line="225" w:lineRule="exact"/>
        <w:rPr>
          <w:rFonts w:ascii="Arial" w:cs="Arial" w:eastAsia="Arial" w:hAnsi="Arial"/>
          <w:sz w:val="18"/>
          <w:szCs w:val="18"/>
          <w:color w:val="auto"/>
        </w:rPr>
      </w:pPr>
    </w:p>
    <w:p>
      <w:pPr>
        <w:ind w:right="680" w:firstLine="697"/>
        <w:spacing w:after="0" w:line="277" w:lineRule="auto"/>
        <w:tabs>
          <w:tab w:leader="none" w:pos="1259" w:val="left"/>
        </w:tabs>
        <w:numPr>
          <w:ilvl w:val="2"/>
          <w:numId w:val="10"/>
        </w:numPr>
        <w:rPr>
          <w:rFonts w:ascii="Arial" w:cs="Arial" w:eastAsia="Arial" w:hAnsi="Arial"/>
          <w:sz w:val="18"/>
          <w:szCs w:val="18"/>
          <w:color w:val="auto"/>
        </w:rPr>
      </w:pPr>
      <w:r>
        <w:rPr>
          <w:rFonts w:ascii="Arial" w:cs="Arial" w:eastAsia="Arial" w:hAnsi="Arial"/>
          <w:sz w:val="18"/>
          <w:szCs w:val="18"/>
          <w:color w:val="auto"/>
        </w:rPr>
        <w:t>No person, other than Ms. Hakimoglu, has the power to direct the receipt of dividends on and the proceeds of sales on the shares of Common Stock beneficially owned by Ms. Hakimoglu.</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Company</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Except as otherwise described herein, Ms. Hakimoglu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5900"/>
        <w:spacing w:after="0"/>
        <w:tabs>
          <w:tab w:leader="none" w:pos="6600" w:val="left"/>
        </w:tabs>
        <w:rPr>
          <w:sz w:val="20"/>
          <w:szCs w:val="20"/>
          <w:color w:val="auto"/>
        </w:rPr>
      </w:pPr>
      <w:r>
        <w:rPr>
          <w:rFonts w:ascii="Arial" w:cs="Arial" w:eastAsia="Arial" w:hAnsi="Arial"/>
          <w:sz w:val="18"/>
          <w:szCs w:val="18"/>
          <w:color w:val="auto"/>
        </w:rPr>
        <w:t>DATE:</w:t>
        <w:tab/>
        <w:t>December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14605</wp:posOffset>
            </wp:positionV>
            <wp:extent cx="30441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Zeynep Hakimoglu</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sectPr>
      <w:pgSz w:w="11900" w:h="16838" w:orient="portrait"/>
      <w:cols w:equalWidth="0" w:num="1">
        <w:col w:w="11280"/>
      </w:cols>
      <w:pgMar w:left="240" w:top="58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6"/>
    </w:lvl>
  </w:abstractNum>
  <w:abstractNum w:abstractNumId="3">
    <w:nsid w:val="79E2A9E3"/>
    <w:multiLevelType w:val="hybridMultilevel"/>
    <w:lvl w:ilvl="0">
      <w:lvlJc w:val="left"/>
      <w:lvlText w:val="%1"/>
      <w:numFmt w:val="decimal"/>
      <w:start w:val="1"/>
    </w:lvl>
    <w:lvl w:ilvl="1">
      <w:lvlJc w:val="left"/>
      <w:lvlText w:val="%2."/>
      <w:numFmt w:val="decimal"/>
      <w:start w:val="10"/>
    </w:lvl>
  </w:abstractNum>
  <w:abstractNum w:abstractNumId="4">
    <w:nsid w:val="7545E146"/>
    <w:multiLevelType w:val="hybridMultilevel"/>
    <w:lvl w:ilvl="0">
      <w:lvlJc w:val="left"/>
      <w:lvlText w:val="%1."/>
      <w:numFmt w:val="decimal"/>
      <w:start w:val="11"/>
    </w:lvl>
    <w:lvl w:ilvl="1">
      <w:lvlJc w:val="left"/>
      <w:lvlText w:val="%2"/>
      <w:numFmt w:val="decimal"/>
      <w:start w:val="1"/>
    </w:lvl>
  </w:abstractNum>
  <w:abstractNum w:abstractNumId="5">
    <w:nsid w:val="515F007C"/>
    <w:multiLevelType w:val="hybridMultilevel"/>
    <w:lvl w:ilvl="0">
      <w:lvlJc w:val="left"/>
      <w:lvlText w:val="*"/>
      <w:numFmt w:val="bullet"/>
      <w:start w:val="1"/>
    </w:lvl>
    <w:lvl w:ilvl="1">
      <w:lvlJc w:val="left"/>
      <w:lvlText w:val="%2."/>
      <w:numFmt w:val="decimal"/>
      <w:start w:val="1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4"/>
    </w:lvl>
  </w:abstractNum>
  <w:abstractNum w:abstractNumId="10">
    <w:nsid w:val="1F16E9E8"/>
    <w:multiLevelType w:val="hybridMultilevel"/>
    <w:lvl w:ilvl="0">
      <w:lvlJc w:val="left"/>
      <w:lvlText w:val="●"/>
      <w:numFmt w:val="bullet"/>
      <w:start w:val="1"/>
    </w:lvl>
    <w:lvl w:ilvl="1">
      <w:lvlJc w:val="left"/>
      <w:lvlText w:val="(%2)"/>
      <w:numFmt w:val="lowerLetter"/>
      <w:start w:val="5"/>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2019-12-05T19:55:25Z</dcterms:created>
  <dcterms:modified xsi:type="dcterms:W3CDTF">2019-12-05T19:55:25Z</dcterms:modified>
</cp:coreProperties>
</file>