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2981"/>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ind w:left="1921"/>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ind w:left="2401"/>
        <w:spacing w:after="0"/>
        <w:tabs>
          <w:tab w:leader="none" w:pos="4121" w:val="left"/>
        </w:tabs>
        <w:rPr>
          <w:sz w:val="20"/>
          <w:szCs w:val="20"/>
          <w:color w:val="auto"/>
        </w:rPr>
      </w:pPr>
      <w:r>
        <w:rPr>
          <w:rFonts w:ascii="Courier New" w:cs="Courier New" w:eastAsia="Courier New" w:hAnsi="Courier New"/>
          <w:sz w:val="16"/>
          <w:szCs w:val="16"/>
          <w:color w:val="auto"/>
        </w:rPr>
        <w:t>WASHINGTON, D.C.</w:t>
        <w:tab/>
        <w:t>20549</w:t>
      </w:r>
    </w:p>
    <w:p>
      <w:pPr>
        <w:spacing w:after="0" w:line="200" w:lineRule="exact"/>
        <w:rPr>
          <w:sz w:val="24"/>
          <w:szCs w:val="24"/>
          <w:color w:val="auto"/>
        </w:rPr>
      </w:pPr>
    </w:p>
    <w:p>
      <w:pPr>
        <w:spacing w:after="0" w:line="358"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FORM 10-QSB</w:t>
      </w:r>
    </w:p>
    <w:p>
      <w:pPr>
        <w:spacing w:after="0" w:line="373"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(Mark One)</w:t>
      </w:r>
    </w:p>
    <w:p>
      <w:pPr>
        <w:spacing w:after="0" w:line="188" w:lineRule="exact"/>
        <w:rPr>
          <w:sz w:val="24"/>
          <w:szCs w:val="24"/>
          <w:color w:val="auto"/>
        </w:rPr>
      </w:pPr>
    </w:p>
    <w:p>
      <w:pPr>
        <w:ind w:left="1"/>
        <w:spacing w:after="0"/>
        <w:tabs>
          <w:tab w:leader="none" w:pos="741"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Quarterly Report Pursuant to Section 13 or 15(d) of the Securities</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Exchange Act of 1934</w:t>
      </w:r>
    </w:p>
    <w:p>
      <w:pPr>
        <w:spacing w:after="0" w:line="188" w:lineRule="exact"/>
        <w:rPr>
          <w:sz w:val="24"/>
          <w:szCs w:val="24"/>
          <w:color w:val="auto"/>
        </w:rPr>
      </w:pPr>
    </w:p>
    <w:p>
      <w:pPr>
        <w:jc w:val="center"/>
        <w:ind w:right="2918"/>
        <w:spacing w:after="0"/>
        <w:rPr>
          <w:sz w:val="20"/>
          <w:szCs w:val="20"/>
          <w:color w:val="auto"/>
        </w:rPr>
      </w:pPr>
      <w:r>
        <w:rPr>
          <w:rFonts w:ascii="Courier New" w:cs="Courier New" w:eastAsia="Courier New" w:hAnsi="Courier New"/>
          <w:sz w:val="16"/>
          <w:szCs w:val="16"/>
          <w:color w:val="auto"/>
        </w:rPr>
        <w:t>For the quarterly period ended December 31, 1995</w:t>
      </w:r>
    </w:p>
    <w:p>
      <w:pPr>
        <w:spacing w:after="0" w:line="188" w:lineRule="exact"/>
        <w:rPr>
          <w:sz w:val="24"/>
          <w:szCs w:val="24"/>
          <w:color w:val="auto"/>
        </w:rPr>
      </w:pPr>
    </w:p>
    <w:p>
      <w:pPr>
        <w:ind w:left="3561"/>
        <w:spacing w:after="0"/>
        <w:rPr>
          <w:sz w:val="20"/>
          <w:szCs w:val="20"/>
          <w:color w:val="auto"/>
        </w:rPr>
      </w:pPr>
      <w:r>
        <w:rPr>
          <w:rFonts w:ascii="Courier New" w:cs="Courier New" w:eastAsia="Courier New" w:hAnsi="Courier New"/>
          <w:sz w:val="16"/>
          <w:szCs w:val="16"/>
          <w:color w:val="auto"/>
        </w:rPr>
        <w:t>OR</w:t>
      </w:r>
    </w:p>
    <w:p>
      <w:pPr>
        <w:spacing w:after="0" w:line="190" w:lineRule="exact"/>
        <w:rPr>
          <w:sz w:val="24"/>
          <w:szCs w:val="24"/>
          <w:color w:val="auto"/>
        </w:rPr>
      </w:pPr>
    </w:p>
    <w:p>
      <w:pPr>
        <w:ind w:left="1" w:right="3019" w:hanging="1"/>
        <w:spacing w:after="0" w:line="242" w:lineRule="auto"/>
        <w:tabs>
          <w:tab w:leader="none" w:pos="19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87"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For the transition period from _______________ to _______________</w:t>
      </w:r>
    </w:p>
    <w:p>
      <w:pPr>
        <w:spacing w:after="0" w:line="373" w:lineRule="exact"/>
        <w:rPr>
          <w:sz w:val="24"/>
          <w:szCs w:val="24"/>
          <w:color w:val="auto"/>
        </w:rPr>
      </w:pPr>
    </w:p>
    <w:p>
      <w:pPr>
        <w:ind w:left="2121"/>
        <w:spacing w:after="0"/>
        <w:rPr>
          <w:sz w:val="20"/>
          <w:szCs w:val="20"/>
          <w:color w:val="auto"/>
        </w:rPr>
      </w:pPr>
      <w:r>
        <w:rPr>
          <w:rFonts w:ascii="Courier New" w:cs="Courier New" w:eastAsia="Courier New" w:hAnsi="Courier New"/>
          <w:sz w:val="16"/>
          <w:szCs w:val="16"/>
          <w:color w:val="auto"/>
        </w:rPr>
        <w:t>Commission file number 0-17219</w:t>
      </w:r>
    </w:p>
    <w:p>
      <w:pPr>
        <w:spacing w:after="0" w:line="200" w:lineRule="exact"/>
        <w:rPr>
          <w:sz w:val="24"/>
          <w:szCs w:val="24"/>
          <w:color w:val="auto"/>
        </w:rPr>
      </w:pPr>
    </w:p>
    <w:p>
      <w:pPr>
        <w:spacing w:after="0" w:line="358" w:lineRule="exact"/>
        <w:rPr>
          <w:sz w:val="24"/>
          <w:szCs w:val="24"/>
          <w:color w:val="auto"/>
        </w:rPr>
      </w:pPr>
    </w:p>
    <w:p>
      <w:pPr>
        <w:jc w:val="center"/>
        <w:ind w:right="3118"/>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4" w:lineRule="exact"/>
        <w:rPr>
          <w:sz w:val="24"/>
          <w:szCs w:val="24"/>
          <w:color w:val="auto"/>
        </w:rPr>
      </w:pPr>
    </w:p>
    <w:p>
      <w:pPr>
        <w:jc w:val="center"/>
        <w:ind w:right="311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80" w:orient="portrait"/>
          <w:cols w:equalWidth="0" w:num="1">
            <w:col w:w="10221"/>
          </w:cols>
          <w:pgMar w:left="239" w:top="238" w:right="1440" w:bottom="0" w:gutter="0" w:footer="0" w:header="0"/>
        </w:sectPr>
      </w:pPr>
    </w:p>
    <w:p>
      <w:pPr>
        <w:spacing w:after="0" w:line="373" w:lineRule="exact"/>
        <w:rPr>
          <w:sz w:val="24"/>
          <w:szCs w:val="24"/>
          <w:color w:val="auto"/>
        </w:rPr>
      </w:pPr>
    </w:p>
    <w:p>
      <w:pPr>
        <w:ind w:left="1341"/>
        <w:spacing w:after="0"/>
        <w:rPr>
          <w:sz w:val="20"/>
          <w:szCs w:val="20"/>
          <w:color w:val="auto"/>
        </w:rPr>
      </w:pPr>
      <w:r>
        <w:rPr>
          <w:rFonts w:ascii="Courier New" w:cs="Courier New" w:eastAsia="Courier New" w:hAnsi="Courier New"/>
          <w:sz w:val="16"/>
          <w:szCs w:val="16"/>
          <w:color w:val="auto"/>
        </w:rPr>
        <w:t>Utah</w:t>
      </w:r>
    </w:p>
    <w:p>
      <w:pPr>
        <w:spacing w:after="0" w:line="4" w:lineRule="exact"/>
        <w:rPr>
          <w:sz w:val="24"/>
          <w:szCs w:val="24"/>
          <w:color w:val="auto"/>
        </w:rPr>
      </w:pPr>
    </w:p>
    <w:p>
      <w:pPr>
        <w:ind w:left="101"/>
        <w:spacing w:after="0"/>
        <w:rPr>
          <w:sz w:val="20"/>
          <w:szCs w:val="20"/>
          <w:color w:val="auto"/>
        </w:rPr>
      </w:pPr>
      <w:r>
        <w:rPr>
          <w:rFonts w:ascii="Courier New" w:cs="Courier New" w:eastAsia="Courier New" w:hAnsi="Courier New"/>
          <w:sz w:val="16"/>
          <w:szCs w:val="16"/>
          <w:color w:val="auto"/>
        </w:rPr>
        <w:t>(State or other jurisdiction of</w:t>
      </w:r>
    </w:p>
    <w:p>
      <w:pPr>
        <w:spacing w:after="0" w:line="5" w:lineRule="exact"/>
        <w:rPr>
          <w:sz w:val="24"/>
          <w:szCs w:val="24"/>
          <w:color w:val="auto"/>
        </w:rPr>
      </w:pPr>
    </w:p>
    <w:p>
      <w:pPr>
        <w:ind w:left="201"/>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87-0398877</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88" w:lineRule="exact"/>
        <w:rPr>
          <w:sz w:val="24"/>
          <w:szCs w:val="24"/>
          <w:color w:val="auto"/>
        </w:rPr>
      </w:pPr>
    </w:p>
    <w:p>
      <w:pPr>
        <w:sectPr>
          <w:pgSz w:w="11900" w:h="16880" w:orient="portrait"/>
          <w:cols w:equalWidth="0" w:num="2">
            <w:col w:w="3981" w:space="720"/>
            <w:col w:w="5519"/>
          </w:cols>
          <w:pgMar w:left="239" w:top="238" w:right="1440" w:bottom="0" w:gutter="0" w:footer="0" w:header="0"/>
          <w:type w:val="continuous"/>
        </w:sectPr>
      </w:pPr>
    </w:p>
    <w:p>
      <w:pPr>
        <w:spacing w:after="0" w:line="2" w:lineRule="exact"/>
        <w:rPr>
          <w:sz w:val="24"/>
          <w:szCs w:val="24"/>
          <w:color w:val="auto"/>
        </w:rPr>
      </w:pPr>
    </w:p>
    <w:p>
      <w:pPr>
        <w:ind w:left="1" w:right="540"/>
        <w:spacing w:after="0" w:line="274" w:lineRule="auto"/>
        <w:rPr>
          <w:sz w:val="20"/>
          <w:szCs w:val="20"/>
          <w:color w:val="auto"/>
        </w:rPr>
      </w:pPr>
      <w:r>
        <w:rPr>
          <w:rFonts w:ascii="Courier New" w:cs="Courier New" w:eastAsia="Courier New" w:hAnsi="Courier New"/>
          <w:sz w:val="15"/>
          <w:szCs w:val="15"/>
          <w:color w:val="auto"/>
        </w:rPr>
        <w:t>1825 Research Way, Salt Lake City, Utah (Address of principal executive offices)</w:t>
      </w:r>
    </w:p>
    <w:p>
      <w:pPr>
        <w:spacing w:after="0" w:line="20" w:lineRule="exact"/>
        <w:rPr>
          <w:sz w:val="24"/>
          <w:szCs w:val="24"/>
          <w:color w:val="auto"/>
        </w:rPr>
      </w:pPr>
      <w:r>
        <w:rPr>
          <w:sz w:val="24"/>
          <w:szCs w:val="24"/>
          <w:color w:val="auto"/>
        </w:rPr>
        <w:br w:type="column"/>
      </w:r>
    </w:p>
    <w:p>
      <w:pPr>
        <w:ind w:left="280"/>
        <w:spacing w:after="0"/>
        <w:rPr>
          <w:sz w:val="20"/>
          <w:szCs w:val="20"/>
          <w:color w:val="auto"/>
        </w:rPr>
      </w:pPr>
      <w:r>
        <w:rPr>
          <w:rFonts w:ascii="Courier New" w:cs="Courier New" w:eastAsia="Courier New" w:hAnsi="Courier New"/>
          <w:sz w:val="16"/>
          <w:szCs w:val="16"/>
          <w:color w:val="auto"/>
        </w:rPr>
        <w:t>84119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33" w:lineRule="exact"/>
        <w:rPr>
          <w:sz w:val="24"/>
          <w:szCs w:val="24"/>
          <w:color w:val="auto"/>
        </w:rPr>
      </w:pPr>
    </w:p>
    <w:p>
      <w:pPr>
        <w:sectPr>
          <w:pgSz w:w="11900" w:h="16880" w:orient="portrait"/>
          <w:cols w:equalWidth="0" w:num="2">
            <w:col w:w="4381" w:space="720"/>
            <w:col w:w="5119"/>
          </w:cols>
          <w:pgMar w:left="239" w:top="238" w:right="1440" w:bottom="0" w:gutter="0" w:footer="0" w:header="0"/>
          <w:type w:val="continuous"/>
        </w:sectPr>
      </w:pPr>
    </w:p>
    <w:p>
      <w:pPr>
        <w:spacing w:after="0" w:line="149" w:lineRule="exact"/>
        <w:rPr>
          <w:sz w:val="24"/>
          <w:szCs w:val="24"/>
          <w:color w:val="auto"/>
        </w:rPr>
      </w:pPr>
    </w:p>
    <w:p>
      <w:pPr>
        <w:ind w:left="281"/>
        <w:spacing w:after="0"/>
        <w:tabs>
          <w:tab w:leader="none" w:pos="5361"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(801) 975-7200</w:t>
      </w:r>
    </w:p>
    <w:p>
      <w:pPr>
        <w:spacing w:after="0" w:line="373" w:lineRule="exact"/>
        <w:rPr>
          <w:sz w:val="24"/>
          <w:szCs w:val="24"/>
          <w:color w:val="auto"/>
        </w:rPr>
      </w:pPr>
    </w:p>
    <w:p>
      <w:pPr>
        <w:ind w:left="2981"/>
        <w:spacing w:after="0"/>
        <w:rPr>
          <w:sz w:val="20"/>
          <w:szCs w:val="20"/>
          <w:color w:val="auto"/>
        </w:rPr>
      </w:pPr>
      <w:r>
        <w:rPr>
          <w:rFonts w:ascii="Courier New" w:cs="Courier New" w:eastAsia="Courier New" w:hAnsi="Courier New"/>
          <w:sz w:val="16"/>
          <w:szCs w:val="16"/>
          <w:color w:val="auto"/>
        </w:rPr>
        <w:t>NOT APPLICABLE</w:t>
      </w:r>
    </w:p>
    <w:p>
      <w:pPr>
        <w:spacing w:after="0" w:line="4" w:lineRule="exact"/>
        <w:rPr>
          <w:sz w:val="24"/>
          <w:szCs w:val="24"/>
          <w:color w:val="auto"/>
        </w:rPr>
      </w:pPr>
    </w:p>
    <w:p>
      <w:pPr>
        <w:ind w:left="1241"/>
        <w:spacing w:after="0"/>
        <w:rPr>
          <w:sz w:val="20"/>
          <w:szCs w:val="20"/>
          <w:color w:val="auto"/>
        </w:rPr>
      </w:pPr>
      <w:r>
        <w:rPr>
          <w:rFonts w:ascii="Courier New" w:cs="Courier New" w:eastAsia="Courier New" w:hAnsi="Courier New"/>
          <w:sz w:val="16"/>
          <w:szCs w:val="16"/>
          <w:color w:val="auto"/>
        </w:rPr>
        <w:t>(Former name, former address and former fiscal year,</w:t>
      </w:r>
    </w:p>
    <w:p>
      <w:pPr>
        <w:spacing w:after="0" w:line="4" w:lineRule="exact"/>
        <w:rPr>
          <w:sz w:val="24"/>
          <w:szCs w:val="24"/>
          <w:color w:val="auto"/>
        </w:rPr>
      </w:pPr>
    </w:p>
    <w:p>
      <w:pPr>
        <w:ind w:left="2401"/>
        <w:spacing w:after="0"/>
        <w:rPr>
          <w:sz w:val="20"/>
          <w:szCs w:val="20"/>
          <w:color w:val="auto"/>
        </w:rPr>
      </w:pPr>
      <w:r>
        <w:rPr>
          <w:rFonts w:ascii="Courier New" w:cs="Courier New" w:eastAsia="Courier New" w:hAnsi="Courier New"/>
          <w:sz w:val="16"/>
          <w:szCs w:val="16"/>
          <w:color w:val="auto"/>
        </w:rPr>
        <w:t>if changed since last report.)</w:t>
      </w:r>
    </w:p>
    <w:p>
      <w:pPr>
        <w:spacing w:after="0" w:line="375" w:lineRule="exact"/>
        <w:rPr>
          <w:sz w:val="24"/>
          <w:szCs w:val="24"/>
          <w:color w:val="auto"/>
        </w:rPr>
      </w:pPr>
    </w:p>
    <w:p>
      <w:pPr>
        <w:ind w:left="1" w:right="3299" w:firstLine="576"/>
        <w:spacing w:after="0" w:line="244"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5" w:lineRule="exact"/>
        <w:rPr>
          <w:sz w:val="24"/>
          <w:szCs w:val="24"/>
          <w:color w:val="auto"/>
        </w:rPr>
      </w:pPr>
    </w:p>
    <w:p>
      <w:pPr>
        <w:ind w:left="2781"/>
        <w:spacing w:after="0"/>
        <w:tabs>
          <w:tab w:leader="none" w:pos="3241" w:val="left"/>
          <w:tab w:leader="none" w:pos="4021" w:val="left"/>
        </w:tabs>
        <w:rPr>
          <w:sz w:val="20"/>
          <w:szCs w:val="20"/>
          <w:color w:val="auto"/>
        </w:rPr>
      </w:pPr>
      <w:r>
        <w:rPr>
          <w:rFonts w:ascii="Courier New" w:cs="Courier New" w:eastAsia="Courier New" w:hAnsi="Courier New"/>
          <w:sz w:val="16"/>
          <w:szCs w:val="16"/>
          <w:color w:val="auto"/>
        </w:rPr>
        <w:t>/x/</w:t>
        <w:tab/>
        <w:t>Yes</w:t>
      </w:r>
      <w:r>
        <w:rPr>
          <w:sz w:val="20"/>
          <w:szCs w:val="20"/>
          <w:color w:val="auto"/>
        </w:rPr>
        <w:tab/>
      </w:r>
      <w:r>
        <w:rPr>
          <w:rFonts w:ascii="Courier New" w:cs="Courier New" w:eastAsia="Courier New" w:hAnsi="Courier New"/>
          <w:sz w:val="16"/>
          <w:szCs w:val="16"/>
          <w:color w:val="auto"/>
        </w:rPr>
        <w:t>/ / No</w:t>
      </w:r>
    </w:p>
    <w:p>
      <w:pPr>
        <w:spacing w:after="0" w:line="190" w:lineRule="exact"/>
        <w:rPr>
          <w:sz w:val="24"/>
          <w:szCs w:val="24"/>
          <w:color w:val="auto"/>
        </w:rPr>
      </w:pPr>
    </w:p>
    <w:p>
      <w:pPr>
        <w:ind w:left="1" w:right="3399" w:firstLine="576"/>
        <w:spacing w:after="0" w:line="242"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pacing w:after="0" w:line="187" w:lineRule="exact"/>
        <w:rPr>
          <w:sz w:val="24"/>
          <w:szCs w:val="24"/>
          <w:color w:val="auto"/>
        </w:rPr>
      </w:pPr>
    </w:p>
    <w:tbl>
      <w:tblPr>
        <w:tblLayout w:type="fixed"/>
        <w:tblInd w:w="1" w:type="dxa"/>
        <w:tblCellMar>
          <w:top w:w="0" w:type="dxa"/>
          <w:left w:w="0" w:type="dxa"/>
          <w:bottom w:w="0" w:type="dxa"/>
          <w:right w:w="0" w:type="dxa"/>
        </w:tblCellMar>
      </w:tblPr>
      <w:tr>
        <w:trPr>
          <w:trHeight w:val="181"/>
        </w:trPr>
        <w:tc>
          <w:tcPr>
            <w:tcW w:w="2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Class of Common Stock</w:t>
            </w:r>
          </w:p>
        </w:tc>
        <w:tc>
          <w:tcPr>
            <w:tcW w:w="1940" w:type="dxa"/>
            <w:vAlign w:val="bottom"/>
          </w:tcPr>
          <w:p>
            <w:pPr>
              <w:spacing w:after="0"/>
              <w:rPr>
                <w:sz w:val="15"/>
                <w:szCs w:val="15"/>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February 9, 1996</w:t>
            </w:r>
          </w:p>
        </w:tc>
      </w:tr>
      <w:tr>
        <w:trPr>
          <w:trHeight w:val="185"/>
        </w:trPr>
        <w:tc>
          <w:tcPr>
            <w:tcW w:w="26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$0.001 par value</w:t>
            </w:r>
          </w:p>
        </w:tc>
        <w:tc>
          <w:tcPr>
            <w:tcW w:w="1940" w:type="dxa"/>
            <w:vAlign w:val="bottom"/>
          </w:tcPr>
          <w:p>
            <w:pPr>
              <w:spacing w:after="0"/>
              <w:rPr>
                <w:sz w:val="16"/>
                <w:szCs w:val="16"/>
                <w:color w:val="auto"/>
              </w:rPr>
            </w:pPr>
          </w:p>
        </w:tc>
        <w:tc>
          <w:tcPr>
            <w:tcW w:w="24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7,662,375 shares</w:t>
            </w:r>
          </w:p>
        </w:tc>
      </w:tr>
      <w:tr>
        <w:trPr>
          <w:trHeight w:val="739"/>
        </w:trPr>
        <w:tc>
          <w:tcPr>
            <w:tcW w:w="5760" w:type="dxa"/>
            <w:vAlign w:val="bottom"/>
            <w:gridSpan w:val="3"/>
          </w:tcPr>
          <w:p>
            <w:pPr>
              <w:jc w:val="right"/>
              <w:ind w:right="580"/>
              <w:spacing w:after="0"/>
              <w:rPr>
                <w:sz w:val="20"/>
                <w:szCs w:val="20"/>
                <w:color w:val="auto"/>
              </w:rPr>
            </w:pPr>
            <w:r>
              <w:rPr>
                <w:rFonts w:ascii="Courier New" w:cs="Courier New" w:eastAsia="Courier New" w:hAnsi="Courier New"/>
                <w:sz w:val="16"/>
                <w:szCs w:val="16"/>
                <w:color w:val="auto"/>
              </w:rPr>
              <w:t>GENTNER COMMUNICATIONS CORPORATION</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0"/>
        </w:trPr>
        <w:tc>
          <w:tcPr>
            <w:tcW w:w="2680" w:type="dxa"/>
            <w:vAlign w:val="bottom"/>
          </w:tcPr>
          <w:p>
            <w:pPr>
              <w:spacing w:after="0"/>
              <w:rPr>
                <w:sz w:val="24"/>
                <w:szCs w:val="24"/>
                <w:color w:val="auto"/>
              </w:rPr>
            </w:pPr>
          </w:p>
        </w:tc>
        <w:tc>
          <w:tcPr>
            <w:tcW w:w="19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9"/>
              </w:rPr>
              <w:t>BALANCE SHEETS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(Unaudited)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5"/>
        </w:trPr>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December 31,</w:t>
            </w:r>
          </w:p>
        </w:tc>
        <w:tc>
          <w:tcPr>
            <w:tcW w:w="20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40" w:type="dxa"/>
            <w:vAlign w:val="bottom"/>
          </w:tcPr>
          <w:p>
            <w:pPr>
              <w:ind w:left="280"/>
              <w:spacing w:after="0"/>
              <w:rPr>
                <w:sz w:val="20"/>
                <w:szCs w:val="20"/>
                <w:color w:val="auto"/>
              </w:rPr>
            </w:pPr>
            <w:r>
              <w:rPr>
                <w:rFonts w:ascii="Courier New" w:cs="Courier New" w:eastAsia="Courier New" w:hAnsi="Courier New"/>
                <w:sz w:val="16"/>
                <w:szCs w:val="16"/>
                <w:color w:val="auto"/>
              </w:rPr>
              <w:t>1995</w:t>
            </w:r>
          </w:p>
        </w:tc>
        <w:tc>
          <w:tcPr>
            <w:tcW w:w="20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2680" w:type="dxa"/>
            <w:vAlign w:val="bottom"/>
          </w:tcPr>
          <w:p>
            <w:pPr>
              <w:jc w:val="right"/>
              <w:spacing w:after="0"/>
              <w:rPr>
                <w:sz w:val="20"/>
                <w:szCs w:val="20"/>
                <w:color w:val="auto"/>
              </w:rPr>
            </w:pPr>
            <w:r>
              <w:rPr>
                <w:rFonts w:ascii="Courier New" w:cs="Courier New" w:eastAsia="Courier New" w:hAnsi="Courier New"/>
                <w:sz w:val="16"/>
                <w:szCs w:val="16"/>
                <w:color w:val="auto"/>
              </w:rPr>
              <w:t>ASSETS</w:t>
            </w:r>
          </w:p>
        </w:tc>
        <w:tc>
          <w:tcPr>
            <w:tcW w:w="1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2680" w:type="dxa"/>
            <w:vAlign w:val="bottom"/>
          </w:tcPr>
          <w:p>
            <w:pPr>
              <w:jc w:val="right"/>
              <w:ind w:right="1160"/>
              <w:spacing w:after="0"/>
              <w:rPr>
                <w:sz w:val="20"/>
                <w:szCs w:val="20"/>
                <w:color w:val="auto"/>
              </w:rPr>
            </w:pPr>
            <w:r>
              <w:rPr>
                <w:rFonts w:ascii="Courier New" w:cs="Courier New" w:eastAsia="Courier New" w:hAnsi="Courier New"/>
                <w:sz w:val="16"/>
                <w:szCs w:val="16"/>
                <w:color w:val="auto"/>
                <w:w w:val="98"/>
              </w:rPr>
              <w:t>Current assets:</w:t>
            </w:r>
          </w:p>
        </w:tc>
        <w:tc>
          <w:tcPr>
            <w:tcW w:w="1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268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w w:val="99"/>
              </w:rPr>
              <w:t>. . . . . . . . . .$</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134,141</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119,238</w:t>
            </w:r>
          </w:p>
        </w:tc>
      </w:tr>
      <w:tr>
        <w:trPr>
          <w:trHeight w:val="185"/>
        </w:trPr>
        <w:tc>
          <w:tcPr>
            <w:tcW w:w="2680" w:type="dxa"/>
            <w:vAlign w:val="bottom"/>
          </w:tcPr>
          <w:p>
            <w:pPr>
              <w:jc w:val="right"/>
              <w:spacing w:after="0"/>
              <w:rPr>
                <w:sz w:val="20"/>
                <w:szCs w:val="20"/>
                <w:color w:val="auto"/>
              </w:rPr>
            </w:pPr>
            <w:r>
              <w:rPr>
                <w:rFonts w:ascii="Courier New" w:cs="Courier New" w:eastAsia="Courier New" w:hAnsi="Courier New"/>
                <w:sz w:val="16"/>
                <w:szCs w:val="16"/>
                <w:color w:val="auto"/>
              </w:rPr>
              <w:t>Accounts receivable . . .</w:t>
            </w:r>
          </w:p>
        </w:tc>
        <w:tc>
          <w:tcPr>
            <w:tcW w:w="194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 . . . . . . . . .</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1,579,941</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1,644,376</w:t>
            </w:r>
          </w:p>
        </w:tc>
      </w:tr>
      <w:tr>
        <w:trPr>
          <w:trHeight w:val="185"/>
        </w:trPr>
        <w:tc>
          <w:tcPr>
            <w:tcW w:w="2680" w:type="dxa"/>
            <w:vAlign w:val="bottom"/>
          </w:tcPr>
          <w:p>
            <w:pPr>
              <w:jc w:val="right"/>
              <w:spacing w:after="0"/>
              <w:rPr>
                <w:sz w:val="20"/>
                <w:szCs w:val="20"/>
                <w:color w:val="auto"/>
              </w:rPr>
            </w:pPr>
            <w:r>
              <w:rPr>
                <w:rFonts w:ascii="Courier New" w:cs="Courier New" w:eastAsia="Courier New" w:hAnsi="Courier New"/>
                <w:sz w:val="16"/>
                <w:szCs w:val="16"/>
                <w:color w:val="auto"/>
              </w:rPr>
              <w:t>Inventory . . . . . . . .</w:t>
            </w:r>
          </w:p>
        </w:tc>
        <w:tc>
          <w:tcPr>
            <w:tcW w:w="194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 . . . . . . . . .</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3,602,068</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3,324,866</w:t>
            </w:r>
          </w:p>
        </w:tc>
      </w:tr>
      <w:tr>
        <w:trPr>
          <w:trHeight w:val="185"/>
        </w:trPr>
        <w:tc>
          <w:tcPr>
            <w:tcW w:w="2680" w:type="dxa"/>
            <w:vAlign w:val="bottom"/>
          </w:tcPr>
          <w:p>
            <w:pPr>
              <w:jc w:val="right"/>
              <w:spacing w:after="0"/>
              <w:rPr>
                <w:sz w:val="20"/>
                <w:szCs w:val="20"/>
                <w:color w:val="auto"/>
              </w:rPr>
            </w:pPr>
            <w:r>
              <w:rPr>
                <w:rFonts w:ascii="Courier New" w:cs="Courier New" w:eastAsia="Courier New" w:hAnsi="Courier New"/>
                <w:sz w:val="16"/>
                <w:szCs w:val="16"/>
                <w:color w:val="auto"/>
              </w:rPr>
              <w:t>Other current assets . . .</w:t>
            </w:r>
          </w:p>
        </w:tc>
        <w:tc>
          <w:tcPr>
            <w:tcW w:w="194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 . . . . . . . .</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301,717</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140,088</w:t>
            </w:r>
          </w:p>
        </w:tc>
      </w:tr>
      <w:tr>
        <w:trPr>
          <w:trHeight w:val="185"/>
        </w:trPr>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268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 . .</w:t>
            </w:r>
          </w:p>
        </w:tc>
        <w:tc>
          <w:tcPr>
            <w:tcW w:w="194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 . . . . . . . .</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5,617,867</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5,228,568</w:t>
            </w:r>
          </w:p>
        </w:tc>
      </w:tr>
      <w:tr>
        <w:trPr>
          <w:trHeight w:val="370"/>
        </w:trPr>
        <w:tc>
          <w:tcPr>
            <w:tcW w:w="2680" w:type="dxa"/>
            <w:vAlign w:val="bottom"/>
          </w:tcPr>
          <w:p>
            <w:pPr>
              <w:jc w:val="right"/>
              <w:spacing w:after="0"/>
              <w:rPr>
                <w:sz w:val="20"/>
                <w:szCs w:val="20"/>
                <w:color w:val="auto"/>
              </w:rPr>
            </w:pPr>
            <w:r>
              <w:rPr>
                <w:rFonts w:ascii="Courier New" w:cs="Courier New" w:eastAsia="Courier New" w:hAnsi="Courier New"/>
                <w:sz w:val="16"/>
                <w:szCs w:val="16"/>
                <w:color w:val="auto"/>
                <w:w w:val="99"/>
              </w:rPr>
              <w:t>Property and equipment, net</w:t>
            </w:r>
          </w:p>
        </w:tc>
        <w:tc>
          <w:tcPr>
            <w:tcW w:w="194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 . . . . . . . . .</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1,641,257</w:t>
            </w:r>
          </w:p>
        </w:tc>
        <w:tc>
          <w:tcPr>
            <w:tcW w:w="200" w:type="dxa"/>
            <w:vAlign w:val="bottom"/>
          </w:tcPr>
          <w:p>
            <w:pPr>
              <w:spacing w:after="0"/>
              <w:rPr>
                <w:sz w:val="24"/>
                <w:szCs w:val="24"/>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1,829,161</w:t>
            </w:r>
          </w:p>
        </w:tc>
      </w:tr>
      <w:tr>
        <w:trPr>
          <w:trHeight w:val="185"/>
        </w:trPr>
        <w:tc>
          <w:tcPr>
            <w:tcW w:w="2680" w:type="dxa"/>
            <w:vAlign w:val="bottom"/>
          </w:tcPr>
          <w:p>
            <w:pPr>
              <w:jc w:val="right"/>
              <w:spacing w:after="0"/>
              <w:rPr>
                <w:sz w:val="20"/>
                <w:szCs w:val="20"/>
                <w:color w:val="auto"/>
              </w:rPr>
            </w:pPr>
            <w:r>
              <w:rPr>
                <w:rFonts w:ascii="Courier New" w:cs="Courier New" w:eastAsia="Courier New" w:hAnsi="Courier New"/>
                <w:sz w:val="16"/>
                <w:szCs w:val="16"/>
                <w:color w:val="auto"/>
                <w:w w:val="99"/>
              </w:rPr>
              <w:t>Other assets, net . . . . .</w:t>
            </w:r>
          </w:p>
        </w:tc>
        <w:tc>
          <w:tcPr>
            <w:tcW w:w="194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 . . . . . . . . .</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180,511</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140,731</w:t>
            </w:r>
          </w:p>
        </w:tc>
      </w:tr>
      <w:tr>
        <w:trPr>
          <w:trHeight w:val="185"/>
        </w:trPr>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2680" w:type="dxa"/>
            <w:vAlign w:val="bottom"/>
          </w:tcPr>
          <w:p>
            <w:pPr>
              <w:jc w:val="right"/>
              <w:spacing w:after="0"/>
              <w:rPr>
                <w:sz w:val="20"/>
                <w:szCs w:val="20"/>
                <w:color w:val="auto"/>
              </w:rPr>
            </w:pPr>
            <w:r>
              <w:rPr>
                <w:rFonts w:ascii="Courier New" w:cs="Courier New" w:eastAsia="Courier New" w:hAnsi="Courier New"/>
                <w:sz w:val="16"/>
                <w:szCs w:val="16"/>
                <w:color w:val="auto"/>
              </w:rPr>
              <w:t>Total assets . . . . . .</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 . . . . . . . . $</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7,439,635</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7,198,460</w:t>
            </w:r>
          </w:p>
        </w:tc>
      </w:tr>
      <w:tr>
        <w:trPr>
          <w:trHeight w:val="185"/>
        </w:trPr>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4"/>
          <w:szCs w:val="24"/>
          <w:color w:val="auto"/>
        </w:rPr>
      </w:pPr>
    </w:p>
    <w:p>
      <w:pPr>
        <w:ind w:left="581"/>
        <w:spacing w:after="0"/>
        <w:rPr>
          <w:sz w:val="20"/>
          <w:szCs w:val="20"/>
          <w:color w:val="auto"/>
        </w:rPr>
      </w:pPr>
      <w:r>
        <w:rPr>
          <w:rFonts w:ascii="Courier New" w:cs="Courier New" w:eastAsia="Courier New" w:hAnsi="Courier New"/>
          <w:sz w:val="16"/>
          <w:szCs w:val="16"/>
          <w:color w:val="auto"/>
        </w:rPr>
        <w:t>LIABILITIES AND SHAREHOLDERS' EQUITY</w:t>
      </w:r>
    </w:p>
    <w:p>
      <w:pPr>
        <w:sectPr>
          <w:pgSz w:w="11900" w:h="16880" w:orient="portrait"/>
          <w:cols w:equalWidth="0" w:num="1">
            <w:col w:w="10221"/>
          </w:cols>
          <w:pgMar w:left="239" w:top="238"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45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5"/>
        </w:trPr>
        <w:tc>
          <w:tcPr>
            <w:tcW w:w="4520" w:type="dxa"/>
            <w:vAlign w:val="bottom"/>
          </w:tcPr>
          <w:p>
            <w:pPr>
              <w:ind w:left="200"/>
              <w:spacing w:after="0"/>
              <w:rPr>
                <w:sz w:val="20"/>
                <w:szCs w:val="20"/>
                <w:color w:val="auto"/>
              </w:rPr>
            </w:pPr>
            <w:r>
              <w:rPr>
                <w:rFonts w:ascii="Courier New" w:cs="Courier New" w:eastAsia="Courier New" w:hAnsi="Courier New"/>
                <w:sz w:val="16"/>
                <w:szCs w:val="16"/>
                <w:color w:val="auto"/>
              </w:rPr>
              <w:t>Notes payable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1,150,000</w:t>
            </w:r>
          </w:p>
        </w:tc>
        <w:tc>
          <w:tcPr>
            <w:tcW w:w="2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1,508,687</w:t>
            </w:r>
          </w:p>
        </w:tc>
      </w:tr>
      <w:tr>
        <w:trPr>
          <w:trHeight w:val="185"/>
        </w:trPr>
        <w:tc>
          <w:tcPr>
            <w:tcW w:w="452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 . . . . . . . . . . . . . .</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775,670</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943,723</w:t>
            </w:r>
          </w:p>
        </w:tc>
      </w:tr>
      <w:tr>
        <w:trPr>
          <w:trHeight w:val="185"/>
        </w:trPr>
        <w:tc>
          <w:tcPr>
            <w:tcW w:w="4520" w:type="dxa"/>
            <w:vAlign w:val="bottom"/>
          </w:tcPr>
          <w:p>
            <w:pPr>
              <w:ind w:left="200"/>
              <w:spacing w:after="0"/>
              <w:rPr>
                <w:sz w:val="20"/>
                <w:szCs w:val="20"/>
                <w:color w:val="auto"/>
              </w:rPr>
            </w:pPr>
            <w:r>
              <w:rPr>
                <w:rFonts w:ascii="Courier New" w:cs="Courier New" w:eastAsia="Courier New" w:hAnsi="Courier New"/>
                <w:sz w:val="16"/>
                <w:szCs w:val="16"/>
                <w:color w:val="auto"/>
              </w:rPr>
              <w:t>Accrued expenses . . . . . . . . . . . . . .</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299,480</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297,426</w:t>
            </w:r>
          </w:p>
        </w:tc>
      </w:tr>
      <w:tr>
        <w:trPr>
          <w:trHeight w:val="185"/>
        </w:trPr>
        <w:tc>
          <w:tcPr>
            <w:tcW w:w="4520" w:type="dxa"/>
            <w:vAlign w:val="bottom"/>
          </w:tcPr>
          <w:p>
            <w:pPr>
              <w:ind w:left="200"/>
              <w:spacing w:after="0"/>
              <w:rPr>
                <w:sz w:val="20"/>
                <w:szCs w:val="20"/>
                <w:color w:val="auto"/>
              </w:rPr>
            </w:pPr>
            <w:r>
              <w:rPr>
                <w:rFonts w:ascii="Courier New" w:cs="Courier New" w:eastAsia="Courier New" w:hAnsi="Courier New"/>
                <w:sz w:val="16"/>
                <w:szCs w:val="16"/>
                <w:color w:val="auto"/>
                <w:w w:val="99"/>
              </w:rPr>
              <w:t>Current portion of long-term debt . . . . . .</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159,467</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93,506</w:t>
            </w:r>
          </w:p>
        </w:tc>
      </w:tr>
      <w:tr>
        <w:trPr>
          <w:trHeight w:val="185"/>
        </w:trPr>
        <w:tc>
          <w:tcPr>
            <w:tcW w:w="4520" w:type="dxa"/>
            <w:vAlign w:val="bottom"/>
          </w:tcPr>
          <w:p>
            <w:pPr>
              <w:ind w:left="200"/>
              <w:spacing w:after="0"/>
              <w:rPr>
                <w:sz w:val="20"/>
                <w:szCs w:val="20"/>
                <w:color w:val="auto"/>
              </w:rPr>
            </w:pPr>
            <w:r>
              <w:rPr>
                <w:rFonts w:ascii="Courier New" w:cs="Courier New" w:eastAsia="Courier New" w:hAnsi="Courier New"/>
                <w:sz w:val="16"/>
                <w:szCs w:val="16"/>
                <w:color w:val="auto"/>
              </w:rPr>
              <w:t>Current portion of capital lease obligations</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182,088</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128,486</w:t>
            </w: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ind w:left="380"/>
              <w:spacing w:after="0"/>
              <w:rPr>
                <w:sz w:val="20"/>
                <w:szCs w:val="20"/>
                <w:color w:val="auto"/>
              </w:rPr>
            </w:pPr>
            <w:r>
              <w:rPr>
                <w:rFonts w:ascii="Courier New" w:cs="Courier New" w:eastAsia="Courier New" w:hAnsi="Courier New"/>
                <w:sz w:val="16"/>
                <w:szCs w:val="16"/>
                <w:color w:val="auto"/>
                <w:w w:val="99"/>
              </w:rPr>
              <w:t>Total current liabilities . . . . . . . . .</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2,566,705</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2,971,828</w:t>
            </w:r>
          </w:p>
        </w:tc>
      </w:tr>
      <w:tr>
        <w:trPr>
          <w:trHeight w:val="370"/>
        </w:trPr>
        <w:tc>
          <w:tcPr>
            <w:tcW w:w="4520" w:type="dxa"/>
            <w:vAlign w:val="bottom"/>
          </w:tcPr>
          <w:p>
            <w:pPr>
              <w:spacing w:after="0"/>
              <w:rPr>
                <w:sz w:val="20"/>
                <w:szCs w:val="20"/>
                <w:color w:val="auto"/>
              </w:rPr>
            </w:pPr>
            <w:r>
              <w:rPr>
                <w:rFonts w:ascii="Courier New" w:cs="Courier New" w:eastAsia="Courier New" w:hAnsi="Courier New"/>
                <w:sz w:val="16"/>
                <w:szCs w:val="16"/>
                <w:color w:val="auto"/>
              </w:rPr>
              <w:t>Long-term debt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515,374</w:t>
            </w:r>
          </w:p>
        </w:tc>
        <w:tc>
          <w:tcPr>
            <w:tcW w:w="24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229,372</w:t>
            </w: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w w:val="99"/>
              </w:rPr>
              <w:t>Capital lease obligations . . . . . . . . . . .</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176,524</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283,799</w:t>
            </w: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ind w:left="380"/>
              <w:spacing w:after="0"/>
              <w:rPr>
                <w:sz w:val="20"/>
                <w:szCs w:val="20"/>
                <w:color w:val="auto"/>
              </w:rPr>
            </w:pPr>
            <w:r>
              <w:rPr>
                <w:rFonts w:ascii="Courier New" w:cs="Courier New" w:eastAsia="Courier New" w:hAnsi="Courier New"/>
                <w:sz w:val="16"/>
                <w:szCs w:val="16"/>
                <w:color w:val="auto"/>
                <w:w w:val="99"/>
              </w:rPr>
              <w:t>Total liabilities . . . . . . . . . . . . .</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3,258,603</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3,484,999</w:t>
            </w:r>
          </w:p>
        </w:tc>
      </w:tr>
      <w:tr>
        <w:trPr>
          <w:trHeight w:val="370"/>
        </w:trPr>
        <w:tc>
          <w:tcPr>
            <w:tcW w:w="45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470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9"/>
              </w:rPr>
              <w:t>Common stock, 50,000,000 shares authorized, par</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value $.001; 7,662,375 and 7,455,375 shares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issued and outstanding at December 31, 1995</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and June 30, 1995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7,662</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7,455</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Additional paid-in capital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4,386,747</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4,244,641</w:t>
            </w:r>
          </w:p>
        </w:tc>
      </w:tr>
      <w:tr>
        <w:trPr>
          <w:trHeight w:val="185"/>
        </w:trPr>
        <w:tc>
          <w:tcPr>
            <w:tcW w:w="4520" w:type="dxa"/>
            <w:vAlign w:val="bottom"/>
          </w:tcPr>
          <w:p>
            <w:pPr>
              <w:ind w:left="200"/>
              <w:spacing w:after="0"/>
              <w:rPr>
                <w:sz w:val="20"/>
                <w:szCs w:val="20"/>
                <w:color w:val="auto"/>
              </w:rPr>
            </w:pPr>
            <w:r>
              <w:rPr>
                <w:rFonts w:ascii="Courier New" w:cs="Courier New" w:eastAsia="Courier New" w:hAnsi="Courier New"/>
                <w:sz w:val="16"/>
                <w:szCs w:val="16"/>
                <w:color w:val="auto"/>
                <w:w w:val="99"/>
              </w:rPr>
              <w:t>Accumulated deficit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(213,377)</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(538,635)</w:t>
            </w: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shareholders' equity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4,181,032</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3,713,461</w:t>
            </w: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liabilities and shareholders' equity $</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7,439,635</w:t>
            </w:r>
          </w:p>
        </w:tc>
        <w:tc>
          <w:tcPr>
            <w:tcW w:w="2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7,198,460</w:t>
            </w: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739"/>
        </w:trPr>
        <w:tc>
          <w:tcPr>
            <w:tcW w:w="5720" w:type="dxa"/>
            <w:vAlign w:val="bottom"/>
            <w:gridSpan w:val="3"/>
          </w:tcPr>
          <w:p>
            <w:pPr>
              <w:jc w:val="right"/>
              <w:ind w:right="540"/>
              <w:spacing w:after="0"/>
              <w:rPr>
                <w:sz w:val="20"/>
                <w:szCs w:val="20"/>
                <w:color w:val="auto"/>
              </w:rPr>
            </w:pPr>
            <w:r>
              <w:rPr>
                <w:rFonts w:ascii="Courier New" w:cs="Courier New" w:eastAsia="Courier New" w:hAnsi="Courier New"/>
                <w:sz w:val="16"/>
                <w:szCs w:val="16"/>
                <w:color w:val="auto"/>
              </w:rPr>
              <w:t>GENTNER COMMUNICATIONS CORPORATION</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0"/>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STATEMENTS OF INCOME</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54"/>
        </w:trPr>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3"/>
          </w:tcPr>
          <w:p>
            <w:pPr>
              <w:jc w:val="center"/>
              <w:ind w:right="20"/>
              <w:spacing w:after="0"/>
              <w:rPr>
                <w:sz w:val="20"/>
                <w:szCs w:val="20"/>
                <w:color w:val="auto"/>
              </w:rPr>
            </w:pPr>
            <w:r>
              <w:rPr>
                <w:rFonts w:ascii="Courier New" w:cs="Courier New" w:eastAsia="Courier New" w:hAnsi="Courier New"/>
                <w:sz w:val="16"/>
                <w:szCs w:val="16"/>
                <w:color w:val="auto"/>
              </w:rPr>
              <w:t>(Unaudited)</w:t>
            </w: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3"/>
          </w:tcPr>
          <w:p>
            <w:pPr>
              <w:jc w:val="right"/>
              <w:ind w:right="220"/>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3"/>
          </w:tcPr>
          <w:p>
            <w:pPr>
              <w:jc w:val="right"/>
              <w:ind w:right="50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1995</w:t>
            </w:r>
          </w:p>
        </w:tc>
        <w:tc>
          <w:tcPr>
            <w:tcW w:w="24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rPr>
              <w:t>Net sales .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3,063,011</w:t>
            </w:r>
          </w:p>
        </w:tc>
        <w:tc>
          <w:tcPr>
            <w:tcW w:w="2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2,663,466</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Cost of goods sold . . . . . . . . . . . . . .</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1,633,064</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1,498,809</w:t>
            </w: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Gross profit . . . . . . . . . . . . . . . .</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1,429,947</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1,164,657</w:t>
            </w:r>
          </w:p>
        </w:tc>
      </w:tr>
      <w:tr>
        <w:trPr>
          <w:trHeight w:val="370"/>
        </w:trPr>
        <w:tc>
          <w:tcPr>
            <w:tcW w:w="45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4520" w:type="dxa"/>
            <w:vAlign w:val="bottom"/>
          </w:tcPr>
          <w:p>
            <w:pPr>
              <w:ind w:left="200"/>
              <w:spacing w:after="0"/>
              <w:rPr>
                <w:sz w:val="20"/>
                <w:szCs w:val="20"/>
                <w:color w:val="auto"/>
              </w:rPr>
            </w:pPr>
            <w:r>
              <w:rPr>
                <w:rFonts w:ascii="Courier New" w:cs="Courier New" w:eastAsia="Courier New" w:hAnsi="Courier New"/>
                <w:sz w:val="16"/>
                <w:szCs w:val="16"/>
                <w:color w:val="auto"/>
                <w:w w:val="99"/>
              </w:rPr>
              <w:t>Marketing and selling . . . . . . . . . . . .</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598,525</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467,556</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General and administrative . . . . . . . . .</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363,712</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453,065</w:t>
            </w:r>
          </w:p>
        </w:tc>
      </w:tr>
      <w:tr>
        <w:trPr>
          <w:trHeight w:val="185"/>
        </w:trPr>
        <w:tc>
          <w:tcPr>
            <w:tcW w:w="4520" w:type="dxa"/>
            <w:vAlign w:val="bottom"/>
          </w:tcPr>
          <w:p>
            <w:pPr>
              <w:ind w:left="200"/>
              <w:spacing w:after="0"/>
              <w:rPr>
                <w:sz w:val="20"/>
                <w:szCs w:val="20"/>
                <w:color w:val="auto"/>
              </w:rPr>
            </w:pPr>
            <w:r>
              <w:rPr>
                <w:rFonts w:ascii="Courier New" w:cs="Courier New" w:eastAsia="Courier New" w:hAnsi="Courier New"/>
                <w:sz w:val="16"/>
                <w:szCs w:val="16"/>
                <w:color w:val="auto"/>
                <w:w w:val="99"/>
              </w:rPr>
              <w:t>Product development . . . . . . . . . . . . .</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234,221</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195,849</w:t>
            </w: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operating expenses . . . . . . . . .</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1,196,458</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1,116,470</w:t>
            </w: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Operating income . . . . . . . . . . . . .</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233,489</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48,187</w:t>
            </w:r>
          </w:p>
        </w:tc>
      </w:tr>
      <w:tr>
        <w:trPr>
          <w:trHeight w:val="370"/>
        </w:trPr>
        <w:tc>
          <w:tcPr>
            <w:tcW w:w="45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4520" w:type="dxa"/>
            <w:vAlign w:val="bottom"/>
          </w:tcPr>
          <w:p>
            <w:pPr>
              <w:ind w:left="200"/>
              <w:spacing w:after="0"/>
              <w:rPr>
                <w:sz w:val="20"/>
                <w:szCs w:val="20"/>
                <w:color w:val="auto"/>
              </w:rPr>
            </w:pPr>
            <w:r>
              <w:rPr>
                <w:rFonts w:ascii="Courier New" w:cs="Courier New" w:eastAsia="Courier New" w:hAnsi="Courier New"/>
                <w:sz w:val="16"/>
                <w:szCs w:val="16"/>
                <w:color w:val="auto"/>
                <w:w w:val="99"/>
              </w:rPr>
              <w:t>Interest income . . . . . . . . . . . . . . .</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625</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4,622</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Interest expense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(48,378)</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(28,588)</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net .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(12,103)</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(6,699)</w:t>
            </w: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other income (expense)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(59,856)</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(30,665)</w:t>
            </w: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before income taxes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173,633</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17,522</w:t>
            </w:r>
          </w:p>
        </w:tc>
      </w:tr>
      <w:tr>
        <w:trPr>
          <w:trHeight w:val="370"/>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Provision for income taxes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24"/>
                <w:szCs w:val="24"/>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income . . . . . . .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173,633</w:t>
            </w:r>
          </w:p>
        </w:tc>
        <w:tc>
          <w:tcPr>
            <w:tcW w:w="2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17,522</w:t>
            </w: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924"/>
        </w:trPr>
        <w:tc>
          <w:tcPr>
            <w:tcW w:w="4520" w:type="dxa"/>
            <w:vAlign w:val="bottom"/>
          </w:tcPr>
          <w:p>
            <w:pPr>
              <w:spacing w:after="0"/>
              <w:rPr>
                <w:sz w:val="20"/>
                <w:szCs w:val="20"/>
                <w:color w:val="auto"/>
              </w:rPr>
            </w:pPr>
            <w:r>
              <w:rPr>
                <w:rFonts w:ascii="Courier New" w:cs="Courier New" w:eastAsia="Courier New" w:hAnsi="Courier New"/>
                <w:sz w:val="16"/>
                <w:szCs w:val="16"/>
                <w:color w:val="auto"/>
                <w:w w:val="99"/>
              </w:rPr>
              <w:t>Net earnings per common share . . . . . . .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0.02</w:t>
            </w:r>
          </w:p>
        </w:tc>
        <w:tc>
          <w:tcPr>
            <w:tcW w:w="2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STATEMENTS OF OPERATIONS</w:t>
      </w:r>
    </w:p>
    <w:p>
      <w:pPr>
        <w:sectPr>
          <w:pgSz w:w="11900" w:h="16838" w:orient="portrait"/>
          <w:cols w:equalWidth="0" w:num="1">
            <w:col w:w="10219"/>
          </w:cols>
          <w:pgMar w:left="240" w:top="1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 . . . . . . . . . . . . . . . . .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of goods sold . . . . . . . . . . . . . .</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(Unaudited)</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Six Months Ended</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December 31,</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80"/>
        <w:spacing w:after="0"/>
        <w:tabs>
          <w:tab w:leader="none" w:pos="1800" w:val="left"/>
        </w:tabs>
        <w:rPr>
          <w:sz w:val="20"/>
          <w:szCs w:val="20"/>
          <w:color w:val="auto"/>
        </w:rPr>
      </w:pP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6"/>
          <w:szCs w:val="16"/>
          <w:color w:val="auto"/>
        </w:rPr>
        <w:t>1994</w:t>
      </w:r>
    </w:p>
    <w:p>
      <w:pPr>
        <w:spacing w:after="0" w:line="5" w:lineRule="exact"/>
        <w:rPr>
          <w:sz w:val="20"/>
          <w:szCs w:val="20"/>
          <w:color w:val="auto"/>
        </w:rPr>
      </w:pPr>
    </w:p>
    <w:p>
      <w:pPr>
        <w:ind w:left="180"/>
        <w:spacing w:after="0"/>
        <w:tabs>
          <w:tab w:leader="none" w:pos="1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3" w:lineRule="exact"/>
        <w:rPr>
          <w:sz w:val="20"/>
          <w:szCs w:val="20"/>
          <w:color w:val="auto"/>
        </w:rPr>
      </w:pPr>
    </w:p>
    <w:p>
      <w:pPr>
        <w:spacing w:after="0"/>
        <w:tabs>
          <w:tab w:leader="none" w:pos="1220" w:val="left"/>
          <w:tab w:leader="none" w:pos="1520" w:val="left"/>
        </w:tabs>
        <w:rPr>
          <w:sz w:val="20"/>
          <w:szCs w:val="20"/>
          <w:color w:val="auto"/>
        </w:rPr>
      </w:pPr>
      <w:r>
        <w:rPr>
          <w:rFonts w:ascii="Courier New" w:cs="Courier New" w:eastAsia="Courier New" w:hAnsi="Courier New"/>
          <w:sz w:val="16"/>
          <w:szCs w:val="16"/>
          <w:color w:val="auto"/>
        </w:rPr>
        <w:t>$ 5,850,160</w:t>
        <w:tab/>
        <w:t>$</w:t>
      </w:r>
      <w:r>
        <w:rPr>
          <w:sz w:val="20"/>
          <w:szCs w:val="20"/>
          <w:color w:val="auto"/>
        </w:rPr>
        <w:tab/>
      </w:r>
      <w:r>
        <w:rPr>
          <w:rFonts w:ascii="Courier New" w:cs="Courier New" w:eastAsia="Courier New" w:hAnsi="Courier New"/>
          <w:sz w:val="15"/>
          <w:szCs w:val="15"/>
          <w:color w:val="auto"/>
        </w:rPr>
        <w:t>4,938,379</w:t>
      </w:r>
    </w:p>
    <w:p>
      <w:pPr>
        <w:spacing w:after="0" w:line="5" w:lineRule="exact"/>
        <w:rPr>
          <w:sz w:val="20"/>
          <w:szCs w:val="20"/>
          <w:color w:val="auto"/>
        </w:rPr>
      </w:pPr>
    </w:p>
    <w:p>
      <w:pPr>
        <w:ind w:left="180"/>
        <w:spacing w:after="0"/>
        <w:tabs>
          <w:tab w:leader="none" w:pos="1520" w:val="left"/>
        </w:tabs>
        <w:rPr>
          <w:sz w:val="20"/>
          <w:szCs w:val="20"/>
          <w:color w:val="auto"/>
        </w:rPr>
      </w:pPr>
      <w:r>
        <w:rPr>
          <w:rFonts w:ascii="Courier New" w:cs="Courier New" w:eastAsia="Courier New" w:hAnsi="Courier New"/>
          <w:sz w:val="15"/>
          <w:szCs w:val="15"/>
          <w:color w:val="auto"/>
        </w:rPr>
        <w:t>3,073,390</w:t>
      </w:r>
      <w:r>
        <w:rPr>
          <w:sz w:val="20"/>
          <w:szCs w:val="20"/>
          <w:color w:val="auto"/>
        </w:rPr>
        <w:tab/>
      </w:r>
      <w:r>
        <w:rPr>
          <w:rFonts w:ascii="Courier New" w:cs="Courier New" w:eastAsia="Courier New" w:hAnsi="Courier New"/>
          <w:sz w:val="15"/>
          <w:szCs w:val="15"/>
          <w:color w:val="auto"/>
        </w:rPr>
        <w:t>2,769,695</w:t>
      </w:r>
    </w:p>
    <w:p>
      <w:pPr>
        <w:sectPr>
          <w:pgSz w:w="11900" w:h="16838" w:orient="portrait"/>
          <w:cols w:equalWidth="0" w:num="2">
            <w:col w:w="4420" w:space="100"/>
            <w:col w:w="5699"/>
          </w:cols>
          <w:pgMar w:left="240" w:top="14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4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rPr>
              <w:t>Gross profit . . . . . . . . . . . . . . .</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2,776,770</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2,168,684</w:t>
            </w:r>
          </w:p>
        </w:tc>
      </w:tr>
      <w:tr>
        <w:trPr>
          <w:trHeight w:val="370"/>
        </w:trPr>
        <w:tc>
          <w:tcPr>
            <w:tcW w:w="43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w w:val="99"/>
              </w:rPr>
              <w:t>Marketing and selling . . . . . . . . . .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1,163,406</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1,082,144</w:t>
            </w: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rPr>
              <w:t>General and administrative . . . . . . . .</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699,996</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929,034</w:t>
            </w: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w w:val="99"/>
              </w:rPr>
              <w:t>Product development . . . . . . . . . . .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452,212</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482,039</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operating expenses . . . . . . . .</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2,315,614</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2,493,217</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Operating income . . . . . . . . . . . .</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461,156</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(324,533)</w:t>
            </w:r>
          </w:p>
        </w:tc>
      </w:tr>
      <w:tr>
        <w:trPr>
          <w:trHeight w:val="370"/>
        </w:trPr>
        <w:tc>
          <w:tcPr>
            <w:tcW w:w="43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w w:val="99"/>
              </w:rPr>
              <w:t>Interest income . . . . . . . . . . . . .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1,487</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11,136</w:t>
            </w: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 . . . . . . . . . . . . .</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(98,525)</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(56,976)</w:t>
            </w: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rPr>
              <w:t>Other, net . . . . . . . . . . . . . . . .</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(12,103)</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8,187</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other income (expense) . . . . . .</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(109,141)</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(37,653)</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spacing w:after="0"/>
              <w:rPr>
                <w:sz w:val="20"/>
                <w:szCs w:val="20"/>
                <w:color w:val="auto"/>
              </w:rPr>
            </w:pPr>
            <w:r>
              <w:rPr>
                <w:rFonts w:ascii="Courier New" w:cs="Courier New" w:eastAsia="Courier New" w:hAnsi="Courier New"/>
                <w:sz w:val="16"/>
                <w:szCs w:val="16"/>
                <w:color w:val="auto"/>
              </w:rPr>
              <w:t>Income before income taxes . . . . . . . . .</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352,015</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(362,186)</w:t>
            </w:r>
          </w:p>
        </w:tc>
      </w:tr>
      <w:tr>
        <w:trPr>
          <w:trHeight w:val="370"/>
        </w:trPr>
        <w:tc>
          <w:tcPr>
            <w:tcW w:w="4320" w:type="dxa"/>
            <w:vAlign w:val="bottom"/>
          </w:tcPr>
          <w:p>
            <w:pPr>
              <w:spacing w:after="0"/>
              <w:rPr>
                <w:sz w:val="20"/>
                <w:szCs w:val="20"/>
                <w:color w:val="auto"/>
              </w:rPr>
            </w:pPr>
            <w:r>
              <w:rPr>
                <w:rFonts w:ascii="Courier New" w:cs="Courier New" w:eastAsia="Courier New" w:hAnsi="Courier New"/>
                <w:sz w:val="16"/>
                <w:szCs w:val="16"/>
                <w:color w:val="auto"/>
              </w:rPr>
              <w:t>Provision for income taxes . . . . . . . . .</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26,757</w:t>
            </w:r>
          </w:p>
        </w:tc>
        <w:tc>
          <w:tcPr>
            <w:tcW w:w="240" w:type="dxa"/>
            <w:vAlign w:val="bottom"/>
          </w:tcPr>
          <w:p>
            <w:pPr>
              <w:spacing w:after="0"/>
              <w:rPr>
                <w:sz w:val="24"/>
                <w:szCs w:val="24"/>
                <w:color w:val="auto"/>
              </w:rPr>
            </w:pPr>
          </w:p>
        </w:tc>
        <w:tc>
          <w:tcPr>
            <w:tcW w:w="11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income . . . . . . . . . . . . . . .</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325,258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(362,186)</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924"/>
        </w:trPr>
        <w:tc>
          <w:tcPr>
            <w:tcW w:w="4320" w:type="dxa"/>
            <w:vAlign w:val="bottom"/>
          </w:tcPr>
          <w:p>
            <w:pPr>
              <w:spacing w:after="0"/>
              <w:rPr>
                <w:sz w:val="20"/>
                <w:szCs w:val="20"/>
                <w:color w:val="auto"/>
              </w:rPr>
            </w:pPr>
            <w:r>
              <w:rPr>
                <w:rFonts w:ascii="Courier New" w:cs="Courier New" w:eastAsia="Courier New" w:hAnsi="Courier New"/>
                <w:sz w:val="16"/>
                <w:szCs w:val="16"/>
                <w:color w:val="auto"/>
              </w:rPr>
              <w:t>Net earnings (loss) per common share . . . .</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0.04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(0.05)</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739"/>
        </w:trPr>
        <w:tc>
          <w:tcPr>
            <w:tcW w:w="5660" w:type="dxa"/>
            <w:vAlign w:val="bottom"/>
            <w:gridSpan w:val="4"/>
          </w:tcPr>
          <w:p>
            <w:pPr>
              <w:jc w:val="right"/>
              <w:ind w:right="480"/>
              <w:spacing w:after="0"/>
              <w:rPr>
                <w:sz w:val="20"/>
                <w:szCs w:val="20"/>
                <w:color w:val="auto"/>
              </w:rPr>
            </w:pPr>
            <w:r>
              <w:rPr>
                <w:rFonts w:ascii="Courier New" w:cs="Courier New" w:eastAsia="Courier New" w:hAnsi="Courier New"/>
                <w:sz w:val="16"/>
                <w:szCs w:val="16"/>
                <w:color w:val="auto"/>
              </w:rPr>
              <w:t>GENTNER COMMUNICATIONS CORPORATION</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0"/>
        </w:trPr>
        <w:tc>
          <w:tcPr>
            <w:tcW w:w="5660" w:type="dxa"/>
            <w:vAlign w:val="bottom"/>
            <w:gridSpan w:val="4"/>
          </w:tcPr>
          <w:p>
            <w:pPr>
              <w:jc w:val="right"/>
              <w:ind w:right="480"/>
              <w:spacing w:after="0"/>
              <w:rPr>
                <w:sz w:val="20"/>
                <w:szCs w:val="20"/>
                <w:color w:val="auto"/>
              </w:rPr>
            </w:pPr>
            <w:r>
              <w:rPr>
                <w:rFonts w:ascii="Courier New" w:cs="Courier New" w:eastAsia="Courier New" w:hAnsi="Courier New"/>
                <w:sz w:val="16"/>
                <w:szCs w:val="16"/>
                <w:color w:val="auto"/>
              </w:rPr>
              <w:t>CONDENSED STATEMENTS OF CASH FLOWS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0"/>
        </w:trPr>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3"/>
          </w:tcPr>
          <w:p>
            <w:pPr>
              <w:jc w:val="center"/>
              <w:ind w:right="140"/>
              <w:spacing w:after="0"/>
              <w:rPr>
                <w:sz w:val="20"/>
                <w:szCs w:val="20"/>
                <w:color w:val="auto"/>
              </w:rPr>
            </w:pPr>
            <w:r>
              <w:rPr>
                <w:rFonts w:ascii="Courier New" w:cs="Courier New" w:eastAsia="Courier New" w:hAnsi="Courier New"/>
                <w:sz w:val="16"/>
                <w:szCs w:val="16"/>
                <w:color w:val="auto"/>
              </w:rPr>
              <w:t>(Unaudited)</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jc w:val="right"/>
              <w:ind w:right="60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1995</w:t>
            </w:r>
          </w:p>
        </w:tc>
        <w:tc>
          <w:tcPr>
            <w:tcW w:w="240" w:type="dxa"/>
            <w:vAlign w:val="bottom"/>
          </w:tcPr>
          <w:p>
            <w:pPr>
              <w:spacing w:after="0"/>
              <w:rPr>
                <w:sz w:val="16"/>
                <w:szCs w:val="16"/>
                <w:color w:val="auto"/>
              </w:rPr>
            </w:pP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rPr>
              <w:t>Cash received from customers . . . . . . .</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5,874,882</w:t>
            </w:r>
          </w:p>
        </w:tc>
        <w:tc>
          <w:tcPr>
            <w:tcW w:w="24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5,067,379</w:t>
            </w: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rPr>
              <w:t>Cash paid to suppliers and employees . .</w:t>
            </w:r>
          </w:p>
        </w:tc>
        <w:tc>
          <w:tcPr>
            <w:tcW w:w="20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(5,736,124)</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(6,376,799)</w:t>
            </w: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w w:val="99"/>
              </w:rPr>
              <w:t>Interest received . . . . . . . . . . . .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3,362</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10,386</w:t>
            </w: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w w:val="99"/>
              </w:rPr>
              <w:t>Interest paid . . . . . . . . . . . . . .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(106,814)</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(56,976)</w:t>
            </w: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w w:val="99"/>
              </w:rPr>
              <w:t>Income taxes paid . . . . . . . . . . . .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(25,900)</w:t>
            </w:r>
          </w:p>
        </w:tc>
        <w:tc>
          <w:tcPr>
            <w:tcW w:w="240" w:type="dxa"/>
            <w:vAlign w:val="bottom"/>
          </w:tcPr>
          <w:p>
            <w:pPr>
              <w:spacing w:after="0"/>
              <w:rPr>
                <w:sz w:val="16"/>
                <w:szCs w:val="16"/>
                <w:color w:val="auto"/>
              </w:rPr>
            </w:pPr>
          </w:p>
        </w:tc>
        <w:tc>
          <w:tcPr>
            <w:tcW w:w="11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cash provided by (used in) operating</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4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activities . . . . . . . . . . . . .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9,406</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(1,356,010)</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w w:val="99"/>
              </w:rPr>
              <w:t>Purchases of property and equipment . . .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(49,338)</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(479,137)</w:t>
            </w: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w w:val="99"/>
              </w:rPr>
              <w:t>Decrease (increase) in other assets . . .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(1,591)</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2,238</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jc w:val="right"/>
              <w:spacing w:after="0"/>
              <w:rPr>
                <w:sz w:val="20"/>
                <w:szCs w:val="20"/>
                <w:color w:val="auto"/>
              </w:rPr>
            </w:pPr>
            <w:r>
              <w:rPr>
                <w:rFonts w:ascii="Courier New" w:cs="Courier New" w:eastAsia="Courier New" w:hAnsi="Courier New"/>
                <w:sz w:val="16"/>
                <w:szCs w:val="16"/>
                <w:color w:val="auto"/>
              </w:rPr>
              <w:t>Net cash used in investing activities .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(50,929)</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(476,899)</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452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9"/>
              </w:rPr>
              <w:t>Proceeds from employee stock option exercises</w:t>
            </w: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142,313</w:t>
            </w:r>
          </w:p>
        </w:tc>
        <w:tc>
          <w:tcPr>
            <w:tcW w:w="240" w:type="dxa"/>
            <w:vAlign w:val="bottom"/>
          </w:tcPr>
          <w:p>
            <w:pPr>
              <w:spacing w:after="0"/>
              <w:rPr>
                <w:sz w:val="16"/>
                <w:szCs w:val="16"/>
                <w:color w:val="auto"/>
              </w:rPr>
            </w:pPr>
          </w:p>
        </w:tc>
        <w:tc>
          <w:tcPr>
            <w:tcW w:w="11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rPr>
              <w:t>Net borrowings (repayments) under line of</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4320" w:type="dxa"/>
            <w:vAlign w:val="bottom"/>
          </w:tcPr>
          <w:p>
            <w:pPr>
              <w:jc w:val="right"/>
              <w:spacing w:after="0"/>
              <w:rPr>
                <w:sz w:val="20"/>
                <w:szCs w:val="20"/>
                <w:color w:val="auto"/>
              </w:rPr>
            </w:pPr>
            <w:r>
              <w:rPr>
                <w:rFonts w:ascii="Courier New" w:cs="Courier New" w:eastAsia="Courier New" w:hAnsi="Courier New"/>
                <w:sz w:val="16"/>
                <w:szCs w:val="16"/>
                <w:color w:val="auto"/>
              </w:rPr>
              <w:t>credit . . . . . . . . . . . . . . . . .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(75,000)</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1,250,000</w:t>
            </w: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rPr>
              <w:t>Principal payments of short-term notes to</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4320" w:type="dxa"/>
            <w:vAlign w:val="bottom"/>
          </w:tcPr>
          <w:p>
            <w:pPr>
              <w:jc w:val="right"/>
              <w:spacing w:after="0"/>
              <w:rPr>
                <w:sz w:val="20"/>
                <w:szCs w:val="20"/>
                <w:color w:val="auto"/>
              </w:rPr>
            </w:pPr>
            <w:r>
              <w:rPr>
                <w:rFonts w:ascii="Courier New" w:cs="Courier New" w:eastAsia="Courier New" w:hAnsi="Courier New"/>
                <w:sz w:val="16"/>
                <w:szCs w:val="16"/>
                <w:color w:val="auto"/>
              </w:rPr>
              <w:t>vendor . . . . . . . . . . . . . . . . .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(283,687)</w:t>
            </w:r>
          </w:p>
        </w:tc>
        <w:tc>
          <w:tcPr>
            <w:tcW w:w="240" w:type="dxa"/>
            <w:vAlign w:val="bottom"/>
          </w:tcPr>
          <w:p>
            <w:pPr>
              <w:spacing w:after="0"/>
              <w:rPr>
                <w:sz w:val="16"/>
                <w:szCs w:val="16"/>
                <w:color w:val="auto"/>
              </w:rPr>
            </w:pPr>
          </w:p>
        </w:tc>
        <w:tc>
          <w:tcPr>
            <w:tcW w:w="11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rPr>
              <w:t>Proceeds from issuance of long-term debt .</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400,000</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282,500</w:t>
            </w: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rPr>
              <w:t>Principal payments of capital lease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4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obligations . . . . . . . . . . . . . . .</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(79,163)</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(89,113)</w:t>
            </w: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rPr>
              <w:t>Principal payments of long-term debt . . .</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(48,037)</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(38,618)</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by financing activities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56,426</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1,404,769</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 cash</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4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equivalents . . . . . . . . . . . . . . .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14,903</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(428,140)</w:t>
            </w:r>
          </w:p>
        </w:tc>
      </w:tr>
      <w:tr>
        <w:trPr>
          <w:trHeight w:val="185"/>
        </w:trPr>
        <w:tc>
          <w:tcPr>
            <w:tcW w:w="432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the beginning</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w w:val="99"/>
              </w:rPr>
              <w:t>of the year . . . . . . . . . . . . . . .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119,238</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433,824</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the end of the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4320" w:type="dxa"/>
            <w:vAlign w:val="bottom"/>
          </w:tcPr>
          <w:p>
            <w:pPr>
              <w:jc w:val="right"/>
              <w:spacing w:after="0"/>
              <w:rPr>
                <w:sz w:val="20"/>
                <w:szCs w:val="20"/>
                <w:color w:val="auto"/>
              </w:rPr>
            </w:pPr>
            <w:r>
              <w:rPr>
                <w:rFonts w:ascii="Courier New" w:cs="Courier New" w:eastAsia="Courier New" w:hAnsi="Courier New"/>
                <w:sz w:val="16"/>
                <w:szCs w:val="16"/>
                <w:color w:val="auto"/>
              </w:rPr>
              <w:t>period . . . . . . . . . . . . . . . . . . .</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134,141</w:t>
            </w:r>
          </w:p>
        </w:tc>
        <w:tc>
          <w:tcPr>
            <w:tcW w:w="24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5,684</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5660" w:type="dxa"/>
            <w:vAlign w:val="bottom"/>
            <w:gridSpan w:val="4"/>
          </w:tcPr>
          <w:p>
            <w:pPr>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5"/>
        </w:trPr>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rPr>
              <w:t>Property and equipment financed by capital</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4320" w:type="dxa"/>
            <w:vAlign w:val="bottom"/>
          </w:tcPr>
          <w:p>
            <w:pPr>
              <w:jc w:val="right"/>
              <w:spacing w:after="0"/>
              <w:rPr>
                <w:sz w:val="20"/>
                <w:szCs w:val="20"/>
                <w:color w:val="auto"/>
              </w:rPr>
            </w:pPr>
            <w:r>
              <w:rPr>
                <w:rFonts w:ascii="Courier New" w:cs="Courier New" w:eastAsia="Courier New" w:hAnsi="Courier New"/>
                <w:sz w:val="16"/>
                <w:szCs w:val="16"/>
                <w:color w:val="auto"/>
              </w:rPr>
              <w:t>leases . . . . . . . . . . . . . . . . . .</w:t>
            </w:r>
          </w:p>
        </w:tc>
        <w:tc>
          <w:tcPr>
            <w:tcW w:w="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25,490</w:t>
            </w:r>
          </w:p>
        </w:tc>
        <w:tc>
          <w:tcPr>
            <w:tcW w:w="24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127,113</w:t>
            </w: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140" w:right="1440" w:bottom="62" w:gutter="0" w:footer="0" w:header="0"/>
        </w:sectPr>
      </w:pPr>
    </w:p>
    <w:bookmarkStart w:id="3" w:name="page4"/>
    <w:bookmarkEnd w:id="3"/>
    <w:p>
      <w:pPr>
        <w:ind w:left="1820"/>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8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6"/>
          <w:szCs w:val="16"/>
          <w:color w:val="auto"/>
        </w:rPr>
        <w:t>NOTES TO FINANCIAL STATEMENTS</w:t>
      </w:r>
    </w:p>
    <w:p>
      <w:pPr>
        <w:spacing w:after="0" w:line="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6"/>
          <w:szCs w:val="16"/>
          <w:color w:val="auto"/>
        </w:rPr>
        <w:t>December 31, 1995</w:t>
      </w:r>
    </w:p>
    <w:p>
      <w:pPr>
        <w:spacing w:after="0" w:line="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Basis of Presentation</w:t>
      </w:r>
    </w:p>
    <w:p>
      <w:pPr>
        <w:spacing w:after="0" w:line="190" w:lineRule="exact"/>
        <w:rPr>
          <w:sz w:val="20"/>
          <w:szCs w:val="20"/>
          <w:color w:val="auto"/>
        </w:rPr>
      </w:pPr>
    </w:p>
    <w:p>
      <w:pPr>
        <w:ind w:right="3299" w:firstLine="576"/>
        <w:spacing w:after="0" w:line="244" w:lineRule="auto"/>
        <w:rPr>
          <w:sz w:val="20"/>
          <w:szCs w:val="20"/>
          <w:color w:val="auto"/>
        </w:rPr>
      </w:pPr>
      <w:r>
        <w:rPr>
          <w:rFonts w:ascii="Courier New" w:cs="Courier New" w:eastAsia="Courier New" w:hAnsi="Courier New"/>
          <w:sz w:val="16"/>
          <w:szCs w:val="16"/>
          <w:color w:val="auto"/>
        </w:rPr>
        <w:t>The accompanying unaudited financial statements have been prepared in accordance with generally accepted accounting principles for interim financial information and with the instructions to Form 10-QSB of Regulation S-B. Accordingly, certain information and footnote disclosures normally included in complete financial statements have been condensed or omitted. These financial statements should be read in conjunction with the financial statements and footnotes thereto included in the Company's 1995 Annual Report on Form 10-KSB.</w:t>
      </w:r>
    </w:p>
    <w:p>
      <w:pPr>
        <w:spacing w:after="0" w:line="189" w:lineRule="exact"/>
        <w:rPr>
          <w:sz w:val="20"/>
          <w:szCs w:val="20"/>
          <w:color w:val="auto"/>
        </w:rPr>
      </w:pPr>
    </w:p>
    <w:p>
      <w:pPr>
        <w:ind w:right="3199" w:firstLine="576"/>
        <w:spacing w:after="0" w:line="244" w:lineRule="auto"/>
        <w:rPr>
          <w:sz w:val="20"/>
          <w:szCs w:val="20"/>
          <w:color w:val="auto"/>
        </w:rPr>
      </w:pPr>
      <w:r>
        <w:rPr>
          <w:rFonts w:ascii="Courier New" w:cs="Courier New" w:eastAsia="Courier New" w:hAnsi="Courier New"/>
          <w:sz w:val="16"/>
          <w:szCs w:val="16"/>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Earnings (Loss) Per Common Share</w:t>
      </w:r>
    </w:p>
    <w:p>
      <w:pPr>
        <w:spacing w:after="0" w:line="190" w:lineRule="exact"/>
        <w:rPr>
          <w:sz w:val="20"/>
          <w:szCs w:val="20"/>
          <w:color w:val="auto"/>
        </w:rPr>
      </w:pPr>
    </w:p>
    <w:p>
      <w:pPr>
        <w:ind w:right="3299" w:firstLine="576"/>
        <w:spacing w:after="0" w:line="244" w:lineRule="auto"/>
        <w:rPr>
          <w:sz w:val="20"/>
          <w:szCs w:val="20"/>
          <w:color w:val="auto"/>
        </w:rPr>
      </w:pPr>
      <w:r>
        <w:rPr>
          <w:rFonts w:ascii="Courier New" w:cs="Courier New" w:eastAsia="Courier New" w:hAnsi="Courier New"/>
          <w:sz w:val="16"/>
          <w:szCs w:val="16"/>
          <w:color w:val="auto"/>
        </w:rPr>
        <w:t>Earnings (loss) per common share was calculated using the modified treasury stock method (see the accompanying exhibit, "Statement re: Computation of Per Share Earnings"). Stock options and warrants to purchase common stock have been excluded from the presented computation of per share amounts in periods when the effect was antidilutive.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60" w:type="dxa"/>
            <w:vAlign w:val="bottom"/>
          </w:tcPr>
          <w:p>
            <w:pPr>
              <w:spacing w:after="0"/>
              <w:rPr>
                <w:sz w:val="20"/>
                <w:szCs w:val="20"/>
                <w:color w:val="auto"/>
              </w:rPr>
            </w:pPr>
            <w:r>
              <w:rPr>
                <w:rFonts w:ascii="Courier New" w:cs="Courier New" w:eastAsia="Courier New" w:hAnsi="Courier New"/>
                <w:sz w:val="16"/>
                <w:szCs w:val="16"/>
                <w:color w:val="auto"/>
              </w:rPr>
              <w:t>3. Inventory</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70"/>
        </w:trPr>
        <w:tc>
          <w:tcPr>
            <w:tcW w:w="4460" w:type="dxa"/>
            <w:vAlign w:val="bottom"/>
          </w:tcPr>
          <w:p>
            <w:pPr>
              <w:ind w:left="580"/>
              <w:spacing w:after="0"/>
              <w:rPr>
                <w:sz w:val="20"/>
                <w:szCs w:val="20"/>
                <w:color w:val="auto"/>
              </w:rPr>
            </w:pPr>
            <w:r>
              <w:rPr>
                <w:rFonts w:ascii="Courier New" w:cs="Courier New" w:eastAsia="Courier New" w:hAnsi="Courier New"/>
                <w:sz w:val="16"/>
                <w:szCs w:val="16"/>
                <w:color w:val="auto"/>
              </w:rPr>
              <w:t>Inventory is summarized as follows: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0"/>
        </w:trPr>
        <w:tc>
          <w:tcPr>
            <w:tcW w:w="4460" w:type="dxa"/>
            <w:vAlign w:val="bottom"/>
          </w:tcPr>
          <w:p>
            <w:pPr>
              <w:spacing w:after="0"/>
              <w:rPr>
                <w:sz w:val="24"/>
                <w:szCs w:val="24"/>
                <w:color w:val="auto"/>
              </w:rPr>
            </w:pP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(Unaudited)</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44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June 30,</w:t>
            </w:r>
          </w:p>
        </w:tc>
      </w:tr>
      <w:tr>
        <w:trPr>
          <w:trHeight w:val="185"/>
        </w:trPr>
        <w:tc>
          <w:tcPr>
            <w:tcW w:w="4460" w:type="dxa"/>
            <w:vAlign w:val="bottom"/>
          </w:tcPr>
          <w:p>
            <w:pPr>
              <w:spacing w:after="0"/>
              <w:rPr>
                <w:sz w:val="16"/>
                <w:szCs w:val="16"/>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1995</w:t>
            </w:r>
          </w:p>
        </w:tc>
        <w:tc>
          <w:tcPr>
            <w:tcW w:w="140" w:type="dxa"/>
            <w:vAlign w:val="bottom"/>
          </w:tcPr>
          <w:p>
            <w:pPr>
              <w:spacing w:after="0"/>
              <w:rPr>
                <w:sz w:val="16"/>
                <w:szCs w:val="16"/>
                <w:color w:val="auto"/>
              </w:rPr>
            </w:pP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4460" w:type="dxa"/>
            <w:vAlign w:val="bottom"/>
          </w:tcPr>
          <w:p>
            <w:pPr>
              <w:spacing w:after="0"/>
              <w:rPr>
                <w:sz w:val="16"/>
                <w:szCs w:val="16"/>
                <w:color w:val="auto"/>
              </w:rPr>
            </w:pP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460" w:type="dxa"/>
            <w:vAlign w:val="bottom"/>
          </w:tcPr>
          <w:p>
            <w:pPr>
              <w:ind w:left="580"/>
              <w:spacing w:after="0"/>
              <w:rPr>
                <w:sz w:val="20"/>
                <w:szCs w:val="20"/>
                <w:color w:val="auto"/>
              </w:rPr>
            </w:pPr>
            <w:r>
              <w:rPr>
                <w:rFonts w:ascii="Courier New" w:cs="Courier New" w:eastAsia="Courier New" w:hAnsi="Courier New"/>
                <w:sz w:val="16"/>
                <w:szCs w:val="16"/>
                <w:color w:val="auto"/>
              </w:rPr>
              <w:t>Raw materials . . . . . . . . . . . . .</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$ 1,238,384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959,478</w:t>
            </w:r>
          </w:p>
        </w:tc>
      </w:tr>
      <w:tr>
        <w:trPr>
          <w:trHeight w:val="185"/>
        </w:trPr>
        <w:tc>
          <w:tcPr>
            <w:tcW w:w="4460" w:type="dxa"/>
            <w:vAlign w:val="bottom"/>
          </w:tcPr>
          <w:p>
            <w:pPr>
              <w:ind w:left="580"/>
              <w:spacing w:after="0"/>
              <w:rPr>
                <w:sz w:val="20"/>
                <w:szCs w:val="20"/>
                <w:color w:val="auto"/>
              </w:rPr>
            </w:pPr>
            <w:r>
              <w:rPr>
                <w:rFonts w:ascii="Courier New" w:cs="Courier New" w:eastAsia="Courier New" w:hAnsi="Courier New"/>
                <w:sz w:val="16"/>
                <w:szCs w:val="16"/>
                <w:color w:val="auto"/>
              </w:rPr>
              <w:t>Work in progress . . . . . . . . . . . .</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1,152,299</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1,380,393</w:t>
            </w:r>
          </w:p>
        </w:tc>
      </w:tr>
      <w:tr>
        <w:trPr>
          <w:trHeight w:val="185"/>
        </w:trPr>
        <w:tc>
          <w:tcPr>
            <w:tcW w:w="4460" w:type="dxa"/>
            <w:vAlign w:val="bottom"/>
          </w:tcPr>
          <w:p>
            <w:pPr>
              <w:ind w:left="580"/>
              <w:spacing w:after="0"/>
              <w:rPr>
                <w:sz w:val="20"/>
                <w:szCs w:val="20"/>
                <w:color w:val="auto"/>
              </w:rPr>
            </w:pPr>
            <w:r>
              <w:rPr>
                <w:rFonts w:ascii="Courier New" w:cs="Courier New" w:eastAsia="Courier New" w:hAnsi="Courier New"/>
                <w:sz w:val="16"/>
                <w:szCs w:val="16"/>
                <w:color w:val="auto"/>
              </w:rPr>
              <w:t>Finished goods . . . . . . . . . . . . .</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1,211,385</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984,995</w:t>
            </w:r>
          </w:p>
        </w:tc>
      </w:tr>
      <w:tr>
        <w:trPr>
          <w:trHeight w:val="185"/>
        </w:trPr>
        <w:tc>
          <w:tcPr>
            <w:tcW w:w="4460" w:type="dxa"/>
            <w:vAlign w:val="bottom"/>
          </w:tcPr>
          <w:p>
            <w:pPr>
              <w:spacing w:after="0"/>
              <w:rPr>
                <w:sz w:val="16"/>
                <w:szCs w:val="16"/>
                <w:color w:val="auto"/>
              </w:rPr>
            </w:pP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460" w:type="dxa"/>
            <w:vAlign w:val="bottom"/>
          </w:tcPr>
          <w:p>
            <w:pPr>
              <w:ind w:left="760"/>
              <w:spacing w:after="0"/>
              <w:rPr>
                <w:sz w:val="20"/>
                <w:szCs w:val="20"/>
                <w:color w:val="auto"/>
              </w:rPr>
            </w:pPr>
            <w:r>
              <w:rPr>
                <w:rFonts w:ascii="Courier New" w:cs="Courier New" w:eastAsia="Courier New" w:hAnsi="Courier New"/>
                <w:sz w:val="16"/>
                <w:szCs w:val="16"/>
                <w:color w:val="auto"/>
              </w:rPr>
              <w:t>Total inventory . . . . . . . . . . .</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$ 3,602,068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3,324,866</w:t>
            </w:r>
          </w:p>
        </w:tc>
      </w:tr>
      <w:tr>
        <w:trPr>
          <w:trHeight w:val="185"/>
        </w:trPr>
        <w:tc>
          <w:tcPr>
            <w:tcW w:w="4460" w:type="dxa"/>
            <w:vAlign w:val="bottom"/>
          </w:tcPr>
          <w:p>
            <w:pPr>
              <w:spacing w:after="0"/>
              <w:rPr>
                <w:sz w:val="16"/>
                <w:szCs w:val="16"/>
                <w:color w:val="auto"/>
              </w:rPr>
            </w:pP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8"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CONDITION AND RESULTS OF OPERATIONS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ind w:right="3299" w:firstLine="769"/>
        <w:spacing w:after="0" w:line="244" w:lineRule="auto"/>
        <w:rPr>
          <w:sz w:val="20"/>
          <w:szCs w:val="20"/>
          <w:color w:val="auto"/>
        </w:rPr>
      </w:pPr>
      <w:r>
        <w:rPr>
          <w:rFonts w:ascii="Courier New" w:cs="Courier New" w:eastAsia="Courier New" w:hAnsi="Courier New"/>
          <w:sz w:val="16"/>
          <w:szCs w:val="16"/>
          <w:color w:val="auto"/>
        </w:rPr>
        <w:t>Sales for the three months ended December 31, 1995 increased 15% compared to the same period during the prior fiscal year, and sales for the six-month period increased 18% over the same period in fiscal 1994. Shipments of new products during the respective time periods was the primary reason for the increases.</w:t>
      </w:r>
    </w:p>
    <w:p>
      <w:pPr>
        <w:spacing w:after="0" w:line="187" w:lineRule="exact"/>
        <w:rPr>
          <w:sz w:val="20"/>
          <w:szCs w:val="20"/>
          <w:color w:val="auto"/>
        </w:rPr>
      </w:pPr>
    </w:p>
    <w:p>
      <w:pPr>
        <w:ind w:right="3199" w:firstLine="769"/>
        <w:spacing w:after="0" w:line="244" w:lineRule="auto"/>
        <w:rPr>
          <w:sz w:val="20"/>
          <w:szCs w:val="20"/>
          <w:color w:val="auto"/>
        </w:rPr>
      </w:pPr>
      <w:r>
        <w:rPr>
          <w:rFonts w:ascii="Courier New" w:cs="Courier New" w:eastAsia="Courier New" w:hAnsi="Courier New"/>
          <w:sz w:val="16"/>
          <w:szCs w:val="16"/>
          <w:color w:val="auto"/>
        </w:rPr>
        <w:t>Broadcast market sales increased 16% during the second quarter of fiscal 1996, and increased 25% year-to-date as compared to the same periods during fiscal 1995. The main reason for the increase was sales of the Company's new TS612 talk show telephone system. The Company has received very favorable customer response to this product, and is finalizing new system enhancements which it anticipates introducing during the third quarter of the current fiscal year. Increased sales also resulted from another new product, the Company's recently introduced Telehybrid telephone interface unit. The new product allows broadcasters to make easy connections to either digital or analog phone lines in various "on-air" broadcast applications. It can also be used in situations involving audioconferencing.</w:t>
      </w:r>
    </w:p>
    <w:p>
      <w:pPr>
        <w:spacing w:after="0" w:line="191" w:lineRule="exact"/>
        <w:rPr>
          <w:sz w:val="20"/>
          <w:szCs w:val="20"/>
          <w:color w:val="auto"/>
        </w:rPr>
      </w:pPr>
    </w:p>
    <w:p>
      <w:pPr>
        <w:ind w:right="3299" w:firstLine="769"/>
        <w:spacing w:after="0" w:line="244" w:lineRule="auto"/>
        <w:rPr>
          <w:sz w:val="20"/>
          <w:szCs w:val="20"/>
          <w:color w:val="auto"/>
        </w:rPr>
      </w:pPr>
      <w:r>
        <w:rPr>
          <w:rFonts w:ascii="Courier New" w:cs="Courier New" w:eastAsia="Courier New" w:hAnsi="Courier New"/>
          <w:sz w:val="16"/>
          <w:szCs w:val="16"/>
          <w:color w:val="auto"/>
        </w:rPr>
        <w:t>Sales to the audio segment of the Teleconferencing market (the "Audioconferencing" market) increased 13% during both the three and six-month periods ended December 31, 1995, as compared to the same periods a year ago. One reason for the increases was due to shipments of the new AVT line of products. These units were designed specifically for use in conjunction with videoconferencing and distance learning applications. Audioconferencing sales were also higher than last year due to shipments of the ET100 portable audioconferencer. The Company spent time earlier in the 1996 fiscal year making design modifications and improvements to the ET100, and released version 2.0 during the second fiscal quarter. The Company expects sales of its portable audioconferencers to grow further, particularly as a result of shipments of its recently announced</w:t>
      </w:r>
    </w:p>
    <w:p>
      <w:pPr>
        <w:sectPr>
          <w:pgSz w:w="11900" w:h="16838" w:orient="portrait"/>
          <w:cols w:equalWidth="0" w:num="1">
            <w:col w:w="10219"/>
          </w:cols>
          <w:pgMar w:left="240" w:top="325" w:right="1440" w:bottom="0" w:gutter="0" w:footer="0" w:header="0"/>
        </w:sectPr>
      </w:pPr>
    </w:p>
    <w:bookmarkStart w:id="4" w:name="page5"/>
    <w:bookmarkEnd w:id="4"/>
    <w:p>
      <w:pPr>
        <w:ind w:right="3199"/>
        <w:spacing w:after="0" w:line="243" w:lineRule="auto"/>
        <w:rPr>
          <w:sz w:val="20"/>
          <w:szCs w:val="20"/>
          <w:color w:val="auto"/>
        </w:rPr>
      </w:pPr>
      <w:r>
        <w:rPr>
          <w:rFonts w:ascii="Courier New" w:cs="Courier New" w:eastAsia="Courier New" w:hAnsi="Courier New"/>
          <w:sz w:val="16"/>
          <w:szCs w:val="16"/>
          <w:color w:val="auto"/>
        </w:rPr>
        <w:t>ET10 portable audioconferencer, the first full duplex conferencing product designed for use in an individual office or cubicle. The Company anticipates ET10 shipments beginning during the third quarter.</w:t>
      </w:r>
    </w:p>
    <w:p>
      <w:pPr>
        <w:spacing w:after="0" w:line="189" w:lineRule="exact"/>
        <w:rPr>
          <w:sz w:val="20"/>
          <w:szCs w:val="20"/>
          <w:color w:val="auto"/>
        </w:rPr>
      </w:pPr>
    </w:p>
    <w:p>
      <w:pPr>
        <w:ind w:right="3119" w:firstLine="769"/>
        <w:spacing w:after="0" w:line="244" w:lineRule="auto"/>
        <w:rPr>
          <w:sz w:val="20"/>
          <w:szCs w:val="20"/>
          <w:color w:val="auto"/>
        </w:rPr>
      </w:pPr>
      <w:r>
        <w:rPr>
          <w:rFonts w:ascii="Courier New" w:cs="Courier New" w:eastAsia="Courier New" w:hAnsi="Courier New"/>
          <w:sz w:val="16"/>
          <w:szCs w:val="16"/>
          <w:color w:val="auto"/>
        </w:rPr>
        <w:t>The Company's gross profit margin percentage increased from 44% to 47% during the three months and six months ended December 31, 1995 as compared to the same periods during the previous year. Although the Company did experience some variations in its sales mix during the respective periods, most of the difference was due to moderate price increases which took effect July 1, 1995. The Company believes that gross margins experienced during the rest of the 1996 fiscal year will be slightly lower due to small decreases in profit margins of the new products scheduled to be introduced. However, the Company also anticipates higher gross profits resulting from an overall increase in sales.</w:t>
      </w:r>
    </w:p>
    <w:p>
      <w:pPr>
        <w:spacing w:after="0" w:line="190" w:lineRule="exact"/>
        <w:rPr>
          <w:sz w:val="20"/>
          <w:szCs w:val="20"/>
          <w:color w:val="auto"/>
        </w:rPr>
      </w:pPr>
    </w:p>
    <w:p>
      <w:pPr>
        <w:ind w:right="3119" w:firstLine="769"/>
        <w:spacing w:after="0" w:line="244" w:lineRule="auto"/>
        <w:rPr>
          <w:sz w:val="20"/>
          <w:szCs w:val="20"/>
          <w:color w:val="auto"/>
        </w:rPr>
      </w:pPr>
      <w:r>
        <w:rPr>
          <w:rFonts w:ascii="Courier New" w:cs="Courier New" w:eastAsia="Courier New" w:hAnsi="Courier New"/>
          <w:sz w:val="16"/>
          <w:szCs w:val="16"/>
          <w:color w:val="auto"/>
        </w:rPr>
        <w:t>Operating expenses for the second quarter increased by 7% compared to last year. The increase was due primarily to increased marketing promotions, along with an increase in product development efforts. Marketing and selling expenses rose 28% as compared to last year due to more extensive marketing activities aimed at increasing sales of existing products as well as continuing the ongoing promotion of new products. Product development costs increased 20% due to efforts in bringing to market certain features and new product enhancements for the TS612 and ET100. Offsetting both of these cost increases was a 20% decline in general and administrative expenses. The reduction stems mainly from cost saving efforts and efficiencies gained in modifying the organizational structure. This process, started during the latter part of fiscal 1994, began yielding results during the last half of fiscal 1995 and continued on into fiscal 1996.</w:t>
      </w:r>
    </w:p>
    <w:p>
      <w:pPr>
        <w:spacing w:after="0" w:line="192" w:lineRule="exact"/>
        <w:rPr>
          <w:sz w:val="20"/>
          <w:szCs w:val="20"/>
          <w:color w:val="auto"/>
        </w:rPr>
      </w:pPr>
    </w:p>
    <w:p>
      <w:pPr>
        <w:ind w:right="3299" w:firstLine="769"/>
        <w:spacing w:after="0" w:line="244" w:lineRule="auto"/>
        <w:rPr>
          <w:sz w:val="20"/>
          <w:szCs w:val="20"/>
          <w:color w:val="auto"/>
        </w:rPr>
      </w:pPr>
      <w:r>
        <w:rPr>
          <w:rFonts w:ascii="Courier New" w:cs="Courier New" w:eastAsia="Courier New" w:hAnsi="Courier New"/>
          <w:sz w:val="16"/>
          <w:szCs w:val="16"/>
          <w:color w:val="auto"/>
        </w:rPr>
        <w:t>For the six-month period ended December 31, 1995, operating expenses overall went down by 7% compared to the same period a year earlier. Product development costs for the first half of the current fiscal year were down 6%, notwithstanding the aforementioned second quarter increase. The reason year-to-date expenses decreased was the significant drop in engineering costs during the first quarter of fiscal 1996, compared to last year's first quarter when much effort was being focused on preparing the TS612 and ET100 products to ship. The second quarter rise in marketing and selling expenses, compared to last year, was somewhat offset by lower expenses earlier this year versus last when the Company was heavily engaged in promoting these two new products. As a result, year-to-date marketing and selling expenses experienced an increase of only 8%. Year-to-date general and administrative costs compared to last year decreased 27% for the same reasons mentioned above in connection with the quarter ended December 31, 1995.</w:t>
      </w:r>
    </w:p>
    <w:p>
      <w:pPr>
        <w:spacing w:after="0" w:line="192" w:lineRule="exact"/>
        <w:rPr>
          <w:sz w:val="20"/>
          <w:szCs w:val="20"/>
          <w:color w:val="auto"/>
        </w:rPr>
      </w:pPr>
    </w:p>
    <w:p>
      <w:pPr>
        <w:ind w:right="3199" w:firstLine="769"/>
        <w:spacing w:after="0" w:line="244" w:lineRule="auto"/>
        <w:rPr>
          <w:sz w:val="20"/>
          <w:szCs w:val="20"/>
          <w:color w:val="auto"/>
        </w:rPr>
      </w:pPr>
      <w:r>
        <w:rPr>
          <w:rFonts w:ascii="Courier New" w:cs="Courier New" w:eastAsia="Courier New" w:hAnsi="Courier New"/>
          <w:sz w:val="16"/>
          <w:szCs w:val="16"/>
          <w:color w:val="auto"/>
        </w:rPr>
        <w:t>The Company incurred, respectively, 69% and 73% more interest expense during the three and six-month periods ended December 31, 1995 than it did the previous year, stemming from increased usage of the Company's line of credit facility. In addition, due to utilizing much of its excess cash beginning in fiscal 1995, the Company earned significantly less interest income during fiscal 1996.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 AND LIQUIDITY</w:t>
      </w:r>
    </w:p>
    <w:p>
      <w:pPr>
        <w:spacing w:after="0" w:line="190" w:lineRule="exact"/>
        <w:rPr>
          <w:sz w:val="20"/>
          <w:szCs w:val="20"/>
          <w:color w:val="auto"/>
        </w:rPr>
      </w:pPr>
    </w:p>
    <w:p>
      <w:pPr>
        <w:ind w:right="3199" w:firstLine="769"/>
        <w:spacing w:after="0" w:line="244" w:lineRule="auto"/>
        <w:rPr>
          <w:sz w:val="20"/>
          <w:szCs w:val="20"/>
          <w:color w:val="auto"/>
        </w:rPr>
      </w:pPr>
      <w:r>
        <w:rPr>
          <w:rFonts w:ascii="Courier New" w:cs="Courier New" w:eastAsia="Courier New" w:hAnsi="Courier New"/>
          <w:sz w:val="16"/>
          <w:szCs w:val="16"/>
          <w:color w:val="auto"/>
        </w:rPr>
        <w:t>The Company's current ratio increased from 1.8:1 to 2.2:1 during the six months since June 30, 1995. The factor contributing most to the change was an adjustment of short-term debt which occurred during fiscal 1996's first quarter. The Company obtained permanent long-term financing for several items of furniture and equipment acquired over the previous two years, and applied the proceeds towards the short-term line of credit. This enabled the Company during the second quarter to significantly reduce the amounts owing to vendors, thus reducing the accounts payable balance by 18% as compared to the end of the previous fiscal year. Inventory increased 8% during the six-month period as a result of the Company continuing its efforts of providing adequate finished product availability to satisfy current and expected customer demand. Yet the Company also intends to fully implement ongoing inventory management programs started during fiscal 1995. Such efforts, intended to improve raw material purchasing efficiencies and reduce inventory size overall, began yielding results during the three months ended December 31, 1995 when inventory decreased 4%.</w:t>
      </w:r>
    </w:p>
    <w:p>
      <w:pPr>
        <w:spacing w:after="0" w:line="193" w:lineRule="exact"/>
        <w:rPr>
          <w:sz w:val="20"/>
          <w:szCs w:val="20"/>
          <w:color w:val="auto"/>
        </w:rPr>
      </w:pPr>
    </w:p>
    <w:p>
      <w:pPr>
        <w:ind w:right="3299" w:firstLine="769"/>
        <w:spacing w:after="0" w:line="244" w:lineRule="auto"/>
        <w:rPr>
          <w:sz w:val="20"/>
          <w:szCs w:val="20"/>
          <w:color w:val="auto"/>
        </w:rPr>
      </w:pPr>
      <w:r>
        <w:rPr>
          <w:rFonts w:ascii="Courier New" w:cs="Courier New" w:eastAsia="Courier New" w:hAnsi="Courier New"/>
          <w:sz w:val="16"/>
          <w:szCs w:val="16"/>
          <w:color w:val="auto"/>
        </w:rPr>
        <w:t>During the first quarter of fiscal 1996, the Company renewed its line of credit arrangement with a commercial bank. The terms of the arrangement remained the same as before, with $1.75 million available at 1% over prime, maturing on October 31, 1996. There was $1.15 million outstanding at December 31, 1995.</w:t>
      </w:r>
    </w:p>
    <w:p>
      <w:pPr>
        <w:spacing w:after="0" w:line="187" w:lineRule="exact"/>
        <w:rPr>
          <w:sz w:val="20"/>
          <w:szCs w:val="20"/>
          <w:color w:val="auto"/>
        </w:rPr>
      </w:pPr>
    </w:p>
    <w:p>
      <w:pPr>
        <w:ind w:right="3199" w:firstLine="769"/>
        <w:spacing w:after="0" w:line="244" w:lineRule="auto"/>
        <w:rPr>
          <w:sz w:val="20"/>
          <w:szCs w:val="20"/>
          <w:color w:val="auto"/>
        </w:rPr>
      </w:pPr>
      <w:r>
        <w:rPr>
          <w:rFonts w:ascii="Courier New" w:cs="Courier New" w:eastAsia="Courier New" w:hAnsi="Courier New"/>
          <w:sz w:val="16"/>
          <w:szCs w:val="16"/>
          <w:color w:val="auto"/>
        </w:rPr>
        <w:t>The Company is continuing to maximize its efforts to maintain stable cash flows during a time of sales growth and ongoing product development. Changing its short-term debt position helped to increase available cash reserves. However, the Company believes that ongoing cash flows will improve more as a result of continuing management's focus on maintaining satisfactory profitability following last fiscal year's period of operational expansion and intense product promotion. Already the Company has seen the positive operational cash flow results from this course of action. As sales continue to increase and profits are</w:t>
      </w:r>
    </w:p>
    <w:p>
      <w:pPr>
        <w:sectPr>
          <w:pgSz w:w="11900" w:h="16838" w:orient="portrait"/>
          <w:cols w:equalWidth="0" w:num="1">
            <w:col w:w="10219"/>
          </w:cols>
          <w:pgMar w:left="240" w:top="142" w:right="1440" w:bottom="0" w:gutter="0" w:footer="0" w:header="0"/>
        </w:sectPr>
      </w:pPr>
    </w:p>
    <w:bookmarkStart w:id="5" w:name="page6"/>
    <w:bookmarkEnd w:id="5"/>
    <w:p>
      <w:pPr>
        <w:ind w:right="3299"/>
        <w:spacing w:after="0" w:line="243" w:lineRule="auto"/>
        <w:rPr>
          <w:sz w:val="20"/>
          <w:szCs w:val="20"/>
          <w:color w:val="auto"/>
        </w:rPr>
      </w:pPr>
      <w:r>
        <w:rPr>
          <w:rFonts w:ascii="Courier New" w:cs="Courier New" w:eastAsia="Courier New" w:hAnsi="Courier New"/>
          <w:sz w:val="16"/>
          <w:szCs w:val="16"/>
          <w:color w:val="auto"/>
        </w:rPr>
        <w:t>achieved, the Company is confident that it can achieve its business plan through a combination of internally generated funds, and short-term and/or long-term borrowing, if necessary.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PART II - OTHER INFORMATION</w:t>
      </w:r>
    </w:p>
    <w:p>
      <w:pPr>
        <w:spacing w:after="0" w:line="373" w:lineRule="exact"/>
        <w:rPr>
          <w:sz w:val="20"/>
          <w:szCs w:val="20"/>
          <w:color w:val="auto"/>
        </w:rPr>
      </w:pPr>
    </w:p>
    <w:p>
      <w:pPr>
        <w:ind w:left="580"/>
        <w:spacing w:after="0"/>
        <w:tabs>
          <w:tab w:leader="none" w:pos="142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88" w:lineRule="exact"/>
        <w:rPr>
          <w:sz w:val="20"/>
          <w:szCs w:val="20"/>
          <w:color w:val="auto"/>
        </w:rPr>
      </w:pPr>
    </w:p>
    <w:p>
      <w:pPr>
        <w:ind w:left="1160" w:hanging="393"/>
        <w:spacing w:after="0"/>
        <w:tabs>
          <w:tab w:leader="none" w:pos="11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3" w:lineRule="exact"/>
        <w:rPr>
          <w:rFonts w:ascii="Courier New" w:cs="Courier New" w:eastAsia="Courier New" w:hAnsi="Courier New"/>
          <w:sz w:val="16"/>
          <w:szCs w:val="16"/>
          <w:color w:val="auto"/>
        </w:rPr>
      </w:pPr>
    </w:p>
    <w:p>
      <w:pPr>
        <w:ind w:left="1720" w:hanging="472"/>
        <w:spacing w:after="0"/>
        <w:tabs>
          <w:tab w:leader="none" w:pos="172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re Computation of Per Share Earnings</w:t>
      </w:r>
    </w:p>
    <w:p>
      <w:pPr>
        <w:spacing w:after="0" w:line="3" w:lineRule="exact"/>
        <w:rPr>
          <w:rFonts w:ascii="Courier New" w:cs="Courier New" w:eastAsia="Courier New" w:hAnsi="Courier New"/>
          <w:sz w:val="16"/>
          <w:szCs w:val="16"/>
          <w:color w:val="auto"/>
        </w:rPr>
      </w:pPr>
    </w:p>
    <w:p>
      <w:pPr>
        <w:ind w:left="1720" w:hanging="472"/>
        <w:spacing w:after="0"/>
        <w:tabs>
          <w:tab w:leader="none" w:pos="172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w:t>
      </w:r>
    </w:p>
    <w:p>
      <w:pPr>
        <w:spacing w:after="0" w:line="3" w:lineRule="exact"/>
        <w:rPr>
          <w:rFonts w:ascii="Courier New" w:cs="Courier New" w:eastAsia="Courier New" w:hAnsi="Courier New"/>
          <w:sz w:val="16"/>
          <w:szCs w:val="16"/>
          <w:color w:val="auto"/>
        </w:rPr>
      </w:pPr>
    </w:p>
    <w:p>
      <w:pPr>
        <w:ind w:left="1160" w:hanging="393"/>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4"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6"/>
          <w:szCs w:val="16"/>
          <w:color w:val="auto"/>
        </w:rPr>
        <w:t>There were no reports on Form 8-K filed during the quarter.</w:t>
      </w:r>
    </w:p>
    <w:p>
      <w:pPr>
        <w:spacing w:after="0" w:line="200" w:lineRule="exact"/>
        <w:rPr>
          <w:sz w:val="20"/>
          <w:szCs w:val="20"/>
          <w:color w:val="auto"/>
        </w:rPr>
      </w:pPr>
    </w:p>
    <w:p>
      <w:pPr>
        <w:spacing w:after="0" w:line="35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ind w:right="3299" w:firstLine="576"/>
        <w:spacing w:after="0" w:line="243"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registrant has duly caused this report to be signed on its behalf by the undersigned thereunto duly authorized.</w:t>
      </w:r>
    </w:p>
    <w:p>
      <w:pPr>
        <w:spacing w:after="0" w:line="37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200" w:lineRule="exact"/>
        <w:rPr>
          <w:sz w:val="20"/>
          <w:szCs w:val="20"/>
          <w:color w:val="auto"/>
        </w:rPr>
      </w:pPr>
    </w:p>
    <w:p>
      <w:pPr>
        <w:spacing w:after="0" w:line="358" w:lineRule="exact"/>
        <w:rPr>
          <w:sz w:val="20"/>
          <w:szCs w:val="20"/>
          <w:color w:val="auto"/>
        </w:rPr>
      </w:pPr>
    </w:p>
    <w:p>
      <w:pPr>
        <w:ind w:left="3640"/>
        <w:spacing w:after="0"/>
        <w:tabs>
          <w:tab w:leader="none" w:pos="4120" w:val="left"/>
        </w:tabs>
        <w:rPr>
          <w:sz w:val="20"/>
          <w:szCs w:val="20"/>
          <w:color w:val="auto"/>
        </w:rPr>
      </w:pPr>
      <w:r>
        <w:rPr>
          <w:rFonts w:ascii="Courier New" w:cs="Courier New" w:eastAsia="Courier New" w:hAnsi="Courier New"/>
          <w:sz w:val="16"/>
          <w:szCs w:val="16"/>
          <w:color w:val="auto"/>
        </w:rPr>
        <w:t>/s/</w:t>
        <w:tab/>
        <w:t>David L. Harmon</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David L. Harmon</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10, 1996</w:t>
      </w:r>
    </w:p>
    <w:p>
      <w:pPr>
        <w:sectPr>
          <w:pgSz w:w="11900" w:h="16838" w:orient="portrait"/>
          <w:cols w:equalWidth="0" w:num="1">
            <w:col w:w="10219"/>
          </w:cols>
          <w:pgMar w:left="240" w:top="142" w:right="1440" w:bottom="1440" w:gutter="0" w:footer="0" w:header="0"/>
        </w:sectPr>
      </w:pPr>
    </w:p>
    <w:bookmarkStart w:id="6" w:name="page7"/>
    <w:bookmarkEnd w:id="6"/>
    <w:p>
      <w:pPr>
        <w:ind w:left="5960"/>
        <w:spacing w:after="0"/>
        <w:rPr>
          <w:sz w:val="20"/>
          <w:szCs w:val="20"/>
          <w:color w:val="auto"/>
        </w:rPr>
      </w:pPr>
      <w:r>
        <w:rPr>
          <w:rFonts w:ascii="Courier New" w:cs="Courier New" w:eastAsia="Courier New" w:hAnsi="Courier New"/>
          <w:sz w:val="15"/>
          <w:szCs w:val="15"/>
          <w:color w:val="auto"/>
        </w:rPr>
        <w:t>EXHIBIT 11</w:t>
      </w:r>
    </w:p>
    <w:p>
      <w:pPr>
        <w:spacing w:after="0" w:line="19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STATEMENT RE: COMPUTATION OF PER SHARE EARNINGS</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Three Months Ended</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December 31,</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tabs>
          <w:tab w:leader="none" w:pos="4020" w:val="left"/>
        </w:tabs>
        <w:rPr>
          <w:sz w:val="20"/>
          <w:szCs w:val="20"/>
          <w:color w:val="auto"/>
        </w:rPr>
      </w:pP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6"/>
          <w:szCs w:val="16"/>
          <w:color w:val="auto"/>
        </w:rPr>
        <w:t>1994</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Six Months Ended</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December 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0"/>
        <w:spacing w:after="0"/>
        <w:tabs>
          <w:tab w:leader="none" w:pos="1420" w:val="left"/>
        </w:tabs>
        <w:rPr>
          <w:sz w:val="20"/>
          <w:szCs w:val="20"/>
          <w:color w:val="auto"/>
        </w:rPr>
      </w:pP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6"/>
          <w:szCs w:val="16"/>
          <w:color w:val="auto"/>
        </w:rPr>
        <w:t>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sectPr>
          <w:pgSz w:w="11900" w:h="16838" w:orient="portrait"/>
          <w:cols w:equalWidth="0" w:num="2">
            <w:col w:w="4620" w:space="280"/>
            <w:col w:w="531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Primary:</w:t>
      </w:r>
    </w:p>
    <w:p>
      <w:pPr>
        <w:sectPr>
          <w:pgSz w:w="11900" w:h="16838" w:orient="portrait"/>
          <w:cols w:equalWidth="0" w:num="1">
            <w:col w:w="10219"/>
          </w:cols>
          <w:pgMar w:left="240" w:top="142" w:right="1440"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Net income (loss) . . .</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Assumed interest expense</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reduction on retirement</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of long-term liabilities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Assumed interest income</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increase on purchase of</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investments . . . . . .</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tabs>
          <w:tab w:leader="none" w:pos="260" w:val="left"/>
          <w:tab w:leader="none" w:pos="1420" w:val="left"/>
        </w:tabs>
        <w:rPr>
          <w:sz w:val="20"/>
          <w:szCs w:val="20"/>
          <w:color w:val="auto"/>
        </w:rPr>
      </w:pPr>
      <w:r>
        <w:rPr>
          <w:rFonts w:ascii="Courier New" w:cs="Courier New" w:eastAsia="Courier New" w:hAnsi="Courier New"/>
          <w:sz w:val="16"/>
          <w:szCs w:val="16"/>
          <w:color w:val="auto"/>
        </w:rPr>
        <w:t>$</w:t>
        <w:tab/>
        <w:t>173,633 $</w:t>
      </w:r>
      <w:r>
        <w:rPr>
          <w:sz w:val="20"/>
          <w:szCs w:val="20"/>
          <w:color w:val="auto"/>
        </w:rPr>
        <w:tab/>
      </w:r>
      <w:r>
        <w:rPr>
          <w:rFonts w:ascii="Courier New" w:cs="Courier New" w:eastAsia="Courier New" w:hAnsi="Courier New"/>
          <w:sz w:val="16"/>
          <w:szCs w:val="16"/>
          <w:color w:val="auto"/>
        </w:rPr>
        <w:t>17,522</w:t>
      </w:r>
    </w:p>
    <w:p>
      <w:pPr>
        <w:spacing w:after="0" w:line="373" w:lineRule="exact"/>
        <w:rPr>
          <w:sz w:val="20"/>
          <w:szCs w:val="20"/>
          <w:color w:val="auto"/>
        </w:rPr>
      </w:pPr>
    </w:p>
    <w:p>
      <w:pPr>
        <w:ind w:left="560"/>
        <w:spacing w:after="0"/>
        <w:tabs>
          <w:tab w:leader="none" w:pos="1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73" w:lineRule="exact"/>
        <w:rPr>
          <w:sz w:val="20"/>
          <w:szCs w:val="20"/>
          <w:color w:val="auto"/>
        </w:rPr>
      </w:pPr>
    </w:p>
    <w:p>
      <w:pPr>
        <w:ind w:left="560"/>
        <w:spacing w:after="0"/>
        <w:tabs>
          <w:tab w:leader="none" w:pos="1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325,258 $ (362,186)</w:t>
      </w:r>
    </w:p>
    <w:p>
      <w:pPr>
        <w:spacing w:after="0" w:line="373" w:lineRule="exact"/>
        <w:rPr>
          <w:sz w:val="20"/>
          <w:szCs w:val="20"/>
          <w:color w:val="auto"/>
        </w:rPr>
      </w:pPr>
    </w:p>
    <w:p>
      <w:pPr>
        <w:ind w:left="580"/>
        <w:spacing w:after="0"/>
        <w:tabs>
          <w:tab w:leader="none" w:pos="16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73" w:lineRule="exact"/>
        <w:rPr>
          <w:sz w:val="20"/>
          <w:szCs w:val="20"/>
          <w:color w:val="auto"/>
        </w:rPr>
      </w:pPr>
    </w:p>
    <w:p>
      <w:pPr>
        <w:ind w:left="580"/>
        <w:spacing w:after="0"/>
        <w:tabs>
          <w:tab w:leader="none" w:pos="16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sectPr>
          <w:pgSz w:w="11900" w:h="16838" w:orient="portrait"/>
          <w:cols w:equalWidth="0" w:num="4">
            <w:col w:w="2600" w:space="0"/>
            <w:col w:w="2020" w:space="180"/>
            <w:col w:w="100" w:space="0"/>
            <w:col w:w="5319"/>
          </w:cols>
          <w:pgMar w:left="240" w:top="142" w:right="1440" w:bottom="1440" w:gutter="0" w:footer="0" w:header="0"/>
          <w:type w:val="continuous"/>
        </w:sectPr>
      </w:pPr>
    </w:p>
    <w:p>
      <w:pPr>
        <w:ind w:left="380"/>
        <w:spacing w:after="0"/>
        <w:rPr>
          <w:sz w:val="20"/>
          <w:szCs w:val="20"/>
          <w:color w:val="auto"/>
        </w:rPr>
      </w:pPr>
      <w:r>
        <w:rPr>
          <w:rFonts w:ascii="Courier New" w:cs="Courier New" w:eastAsia="Courier New" w:hAnsi="Courier New"/>
          <w:sz w:val="15"/>
          <w:szCs w:val="15"/>
          <w:color w:val="auto"/>
        </w:rPr>
        <w:t>Adjusted net income</w:t>
      </w:r>
    </w:p>
    <w:p>
      <w:pPr>
        <w:sectPr>
          <w:pgSz w:w="11900" w:h="16838" w:orient="portrait"/>
          <w:cols w:equalWidth="0" w:num="1">
            <w:col w:w="10219"/>
          </w:cols>
          <w:pgMar w:left="240" w:top="142" w:right="1440" w:bottom="1440" w:gutter="0" w:footer="0" w:header="0"/>
          <w:type w:val="continuous"/>
        </w:sectPr>
      </w:pPr>
    </w:p>
    <w:p>
      <w:pPr>
        <w:spacing w:after="0" w:line="15" w:lineRule="exact"/>
        <w:rPr>
          <w:sz w:val="20"/>
          <w:szCs w:val="20"/>
          <w:color w:val="auto"/>
        </w:rPr>
      </w:pPr>
    </w:p>
    <w:p>
      <w:pPr>
        <w:jc w:val="right"/>
        <w:ind w:left="480"/>
        <w:spacing w:after="0" w:line="242" w:lineRule="auto"/>
        <w:rPr>
          <w:sz w:val="20"/>
          <w:szCs w:val="20"/>
          <w:color w:val="auto"/>
        </w:rPr>
      </w:pPr>
      <w:r>
        <w:rPr>
          <w:rFonts w:ascii="Courier New" w:cs="Courier New" w:eastAsia="Courier New" w:hAnsi="Courier New"/>
          <w:sz w:val="16"/>
          <w:szCs w:val="16"/>
          <w:color w:val="auto"/>
        </w:rPr>
        <w:t>(loss). . . . . . . . $  173,633 $   17,522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325,258 $ (362,186)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ectPr>
          <w:pgSz w:w="11900" w:h="16838" w:orient="portrait"/>
          <w:cols w:equalWidth="0" w:num="3">
            <w:col w:w="4620" w:space="180"/>
            <w:col w:w="100" w:space="0"/>
            <w:col w:w="531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Shares: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Weighted average number</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of common shares</w:t>
      </w:r>
    </w:p>
    <w:p>
      <w:pPr>
        <w:spacing w:after="0" w:line="4" w:lineRule="exact"/>
        <w:rPr>
          <w:sz w:val="20"/>
          <w:szCs w:val="20"/>
          <w:color w:val="auto"/>
        </w:rPr>
      </w:pPr>
    </w:p>
    <w:p>
      <w:pPr>
        <w:ind w:left="280"/>
        <w:spacing w:after="0"/>
        <w:tabs>
          <w:tab w:leader="none" w:pos="3720" w:val="left"/>
        </w:tabs>
        <w:rPr>
          <w:sz w:val="20"/>
          <w:szCs w:val="20"/>
          <w:color w:val="auto"/>
        </w:rPr>
      </w:pPr>
      <w:r>
        <w:rPr>
          <w:rFonts w:ascii="Courier New" w:cs="Courier New" w:eastAsia="Courier New" w:hAnsi="Courier New"/>
          <w:sz w:val="16"/>
          <w:szCs w:val="16"/>
          <w:color w:val="auto"/>
        </w:rPr>
        <w:t>outstanding . . .. . . . 7,659,864</w:t>
        <w:tab/>
        <w:t>7,338,375</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Assumed exercise of</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weighted number of</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options and warrants</w:t>
      </w:r>
    </w:p>
    <w:p>
      <w:pPr>
        <w:spacing w:after="0" w:line="4" w:lineRule="exact"/>
        <w:rPr>
          <w:sz w:val="20"/>
          <w:szCs w:val="20"/>
          <w:color w:val="auto"/>
        </w:rPr>
      </w:pPr>
    </w:p>
    <w:p>
      <w:pPr>
        <w:ind w:left="280"/>
        <w:spacing w:after="0"/>
        <w:tabs>
          <w:tab w:leader="none" w:pos="3140" w:val="left"/>
          <w:tab w:leader="none" w:pos="4200" w:val="left"/>
        </w:tabs>
        <w:rPr>
          <w:sz w:val="20"/>
          <w:szCs w:val="20"/>
          <w:color w:val="auto"/>
        </w:rPr>
      </w:pPr>
      <w:r>
        <w:rPr>
          <w:rFonts w:ascii="Courier New" w:cs="Courier New" w:eastAsia="Courier New" w:hAnsi="Courier New"/>
          <w:sz w:val="16"/>
          <w:szCs w:val="16"/>
          <w:color w:val="auto"/>
        </w:rPr>
        <w:t>outstanding . . . . .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Assumed repurchase of</w:t>
      </w:r>
    </w:p>
    <w:p>
      <w:pPr>
        <w:spacing w:after="0" w:line="4" w:lineRule="exact"/>
        <w:rPr>
          <w:sz w:val="20"/>
          <w:szCs w:val="20"/>
          <w:color w:val="auto"/>
        </w:rPr>
      </w:pPr>
    </w:p>
    <w:p>
      <w:pPr>
        <w:ind w:left="280"/>
        <w:spacing w:after="0"/>
        <w:tabs>
          <w:tab w:leader="none" w:pos="3140" w:val="left"/>
          <w:tab w:leader="none" w:pos="4200" w:val="left"/>
        </w:tabs>
        <w:rPr>
          <w:sz w:val="20"/>
          <w:szCs w:val="20"/>
          <w:color w:val="auto"/>
        </w:rPr>
      </w:pPr>
      <w:r>
        <w:rPr>
          <w:rFonts w:ascii="Courier New" w:cs="Courier New" w:eastAsia="Courier New" w:hAnsi="Courier New"/>
          <w:sz w:val="16"/>
          <w:szCs w:val="16"/>
          <w:color w:val="auto"/>
        </w:rPr>
        <w:t>common shares . . . .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ind w:left="100"/>
        <w:spacing w:after="0"/>
        <w:tabs>
          <w:tab w:leader="none" w:pos="1140" w:val="left"/>
        </w:tabs>
        <w:rPr>
          <w:sz w:val="20"/>
          <w:szCs w:val="20"/>
          <w:color w:val="auto"/>
        </w:rPr>
      </w:pPr>
      <w:r>
        <w:rPr>
          <w:rFonts w:ascii="Courier New" w:cs="Courier New" w:eastAsia="Courier New" w:hAnsi="Courier New"/>
          <w:sz w:val="15"/>
          <w:szCs w:val="15"/>
          <w:color w:val="auto"/>
        </w:rPr>
        <w:t>7,617,022</w:t>
        <w:tab/>
        <w:t>7,338,375</w:t>
      </w:r>
    </w:p>
    <w:p>
      <w:pPr>
        <w:spacing w:after="0" w:line="200" w:lineRule="exact"/>
        <w:rPr>
          <w:sz w:val="20"/>
          <w:szCs w:val="20"/>
          <w:color w:val="auto"/>
        </w:rPr>
      </w:pPr>
    </w:p>
    <w:p>
      <w:pPr>
        <w:spacing w:after="0" w:line="367" w:lineRule="exact"/>
        <w:rPr>
          <w:sz w:val="20"/>
          <w:szCs w:val="20"/>
          <w:color w:val="auto"/>
        </w:rPr>
      </w:pPr>
    </w:p>
    <w:p>
      <w:pPr>
        <w:ind w:left="580"/>
        <w:spacing w:after="0"/>
        <w:tabs>
          <w:tab w:leader="none" w:pos="16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8" w:lineRule="exact"/>
        <w:rPr>
          <w:sz w:val="20"/>
          <w:szCs w:val="20"/>
          <w:color w:val="auto"/>
        </w:rPr>
      </w:pPr>
    </w:p>
    <w:p>
      <w:pPr>
        <w:ind w:left="580"/>
        <w:spacing w:after="0"/>
        <w:tabs>
          <w:tab w:leader="none" w:pos="16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ectPr>
          <w:pgSz w:w="11900" w:h="16838" w:orient="portrait"/>
          <w:cols w:equalWidth="0" w:num="2">
            <w:col w:w="4620" w:space="280"/>
            <w:col w:w="5319"/>
          </w:cols>
          <w:pgMar w:left="240" w:top="142" w:right="1440" w:bottom="1440" w:gutter="0" w:footer="0" w:header="0"/>
          <w:type w:val="continuous"/>
        </w:sectPr>
      </w:pPr>
    </w:p>
    <w:p>
      <w:pPr>
        <w:ind w:left="380"/>
        <w:spacing w:after="0"/>
        <w:rPr>
          <w:sz w:val="20"/>
          <w:szCs w:val="20"/>
          <w:color w:val="auto"/>
        </w:rPr>
      </w:pPr>
      <w:r>
        <w:rPr>
          <w:rFonts w:ascii="Courier New" w:cs="Courier New" w:eastAsia="Courier New" w:hAnsi="Courier New"/>
          <w:sz w:val="16"/>
          <w:szCs w:val="16"/>
          <w:color w:val="auto"/>
        </w:rPr>
        <w:t>Adjusted weighted</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average of common</w:t>
      </w:r>
    </w:p>
    <w:p>
      <w:pPr>
        <w:sectPr>
          <w:pgSz w:w="11900" w:h="16838" w:orient="portrait"/>
          <w:cols w:equalWidth="0" w:num="1">
            <w:col w:w="10219"/>
          </w:cols>
          <w:pgMar w:left="240" w:top="142" w:right="1440" w:bottom="1440" w:gutter="0" w:footer="0" w:header="0"/>
          <w:type w:val="continuous"/>
        </w:sectPr>
      </w:pP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shares outstanding</w:t>
      </w:r>
    </w:p>
    <w:p>
      <w:pPr>
        <w:spacing w:after="0" w:line="20" w:lineRule="exact"/>
        <w:rPr>
          <w:sz w:val="20"/>
          <w:szCs w:val="20"/>
          <w:color w:val="auto"/>
        </w:rPr>
      </w:pPr>
      <w:r>
        <w:rPr>
          <w:sz w:val="20"/>
          <w:szCs w:val="20"/>
          <w:color w:val="auto"/>
        </w:rPr>
        <w:br w:type="column"/>
      </w:r>
    </w:p>
    <w:p>
      <w:pPr>
        <w:jc w:val="right"/>
        <w:spacing w:after="0" w:line="242" w:lineRule="auto"/>
        <w:rPr>
          <w:sz w:val="20"/>
          <w:szCs w:val="20"/>
          <w:color w:val="auto"/>
        </w:rPr>
      </w:pPr>
      <w:r>
        <w:rPr>
          <w:rFonts w:ascii="Courier New" w:cs="Courier New" w:eastAsia="Courier New" w:hAnsi="Courier New"/>
          <w:sz w:val="16"/>
          <w:szCs w:val="16"/>
          <w:color w:val="auto"/>
        </w:rPr>
        <w:t>.  7,659,864  7,338,375 ========== ==========</w:t>
      </w:r>
    </w:p>
    <w:p>
      <w:pPr>
        <w:spacing w:after="0" w:line="20" w:lineRule="exact"/>
        <w:rPr>
          <w:sz w:val="20"/>
          <w:szCs w:val="20"/>
          <w:color w:val="auto"/>
        </w:rPr>
      </w:pPr>
      <w:r>
        <w:rPr>
          <w:sz w:val="20"/>
          <w:szCs w:val="20"/>
          <w:color w:val="auto"/>
        </w:rPr>
        <w:br w:type="column"/>
      </w:r>
    </w:p>
    <w:p>
      <w:pPr>
        <w:ind w:left="100"/>
        <w:spacing w:after="0"/>
        <w:tabs>
          <w:tab w:leader="none" w:pos="1140" w:val="left"/>
        </w:tabs>
        <w:rPr>
          <w:sz w:val="20"/>
          <w:szCs w:val="20"/>
          <w:color w:val="auto"/>
        </w:rPr>
      </w:pPr>
      <w:r>
        <w:rPr>
          <w:rFonts w:ascii="Courier New" w:cs="Courier New" w:eastAsia="Courier New" w:hAnsi="Courier New"/>
          <w:sz w:val="15"/>
          <w:szCs w:val="15"/>
          <w:color w:val="auto"/>
        </w:rPr>
        <w:t>7,617,022</w:t>
        <w:tab/>
        <w:t>7,338,375</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ectPr>
          <w:pgSz w:w="11900" w:h="16838" w:orient="portrait"/>
          <w:cols w:equalWidth="0" w:num="3">
            <w:col w:w="2200" w:space="200"/>
            <w:col w:w="2220" w:space="280"/>
            <w:col w:w="5319"/>
          </w:cols>
          <w:pgMar w:left="240" w:top="142" w:right="1440" w:bottom="1440" w:gutter="0" w:footer="0" w:header="0"/>
          <w:type w:val="continuous"/>
        </w:sectPr>
      </w:pPr>
    </w:p>
    <w:p>
      <w:pPr>
        <w:ind w:left="380"/>
        <w:spacing w:after="0"/>
        <w:rPr>
          <w:sz w:val="20"/>
          <w:szCs w:val="20"/>
          <w:color w:val="auto"/>
        </w:rPr>
      </w:pPr>
      <w:r>
        <w:rPr>
          <w:rFonts w:ascii="Courier New" w:cs="Courier New" w:eastAsia="Courier New" w:hAnsi="Courier New"/>
          <w:sz w:val="16"/>
          <w:szCs w:val="16"/>
          <w:color w:val="auto"/>
        </w:rPr>
        <w:t>Primary Earnings</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(Loss) Per Share . .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480"/>
        <w:spacing w:after="0"/>
        <w:tabs>
          <w:tab w:leader="none" w:pos="1520" w:val="left"/>
        </w:tabs>
        <w:rPr>
          <w:sz w:val="20"/>
          <w:szCs w:val="20"/>
          <w:color w:val="auto"/>
        </w:rPr>
      </w:pPr>
      <w:r>
        <w:rPr>
          <w:rFonts w:ascii="Courier New" w:cs="Courier New" w:eastAsia="Courier New" w:hAnsi="Courier New"/>
          <w:sz w:val="16"/>
          <w:szCs w:val="16"/>
          <w:color w:val="auto"/>
        </w:rPr>
        <w:t>$0.02</w:t>
      </w:r>
      <w:r>
        <w:rPr>
          <w:sz w:val="20"/>
          <w:szCs w:val="20"/>
          <w:color w:val="auto"/>
        </w:rPr>
        <w:tab/>
      </w:r>
      <w:r>
        <w:rPr>
          <w:rFonts w:ascii="Courier New" w:cs="Courier New" w:eastAsia="Courier New" w:hAnsi="Courier New"/>
          <w:sz w:val="16"/>
          <w:szCs w:val="16"/>
          <w:color w:val="auto"/>
        </w:rPr>
        <w:t>$0.00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480"/>
        <w:spacing w:after="0"/>
        <w:tabs>
          <w:tab w:leader="none" w:pos="1420" w:val="left"/>
        </w:tabs>
        <w:rPr>
          <w:sz w:val="20"/>
          <w:szCs w:val="20"/>
          <w:color w:val="auto"/>
        </w:rPr>
      </w:pPr>
      <w:r>
        <w:rPr>
          <w:rFonts w:ascii="Courier New" w:cs="Courier New" w:eastAsia="Courier New" w:hAnsi="Courier New"/>
          <w:sz w:val="16"/>
          <w:szCs w:val="16"/>
          <w:color w:val="auto"/>
        </w:rPr>
        <w:t>$0.04</w:t>
      </w:r>
      <w:r>
        <w:rPr>
          <w:sz w:val="20"/>
          <w:szCs w:val="20"/>
          <w:color w:val="auto"/>
        </w:rPr>
        <w:tab/>
      </w:r>
      <w:r>
        <w:rPr>
          <w:rFonts w:ascii="Courier New" w:cs="Courier New" w:eastAsia="Courier New" w:hAnsi="Courier New"/>
          <w:sz w:val="16"/>
          <w:szCs w:val="16"/>
          <w:color w:val="auto"/>
        </w:rPr>
        <w:t>($0.05)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sectPr>
          <w:pgSz w:w="11900" w:h="16838" w:orient="portrait"/>
          <w:cols w:equalWidth="0" w:num="3">
            <w:col w:w="2600" w:space="0"/>
            <w:col w:w="2020" w:space="280"/>
            <w:col w:w="531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Fully Diluted:</w:t>
      </w:r>
    </w:p>
    <w:p>
      <w:pPr>
        <w:sectPr>
          <w:pgSz w:w="11900" w:h="16838" w:orient="portrait"/>
          <w:cols w:equalWidth="0" w:num="1">
            <w:col w:w="10219"/>
          </w:cols>
          <w:pgMar w:left="240" w:top="142" w:right="1440"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Net income (loss) . . .</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Assumed interest expense</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reduction on retirement</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of long-term liabilities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Assumed interest income</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increase on purchase of</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investments . . . . . .</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both"/>
        <w:spacing w:after="0"/>
        <w:tabs>
          <w:tab w:leader="none" w:pos="260" w:val="left"/>
          <w:tab w:leader="none" w:pos="1420" w:val="left"/>
        </w:tabs>
        <w:rPr>
          <w:sz w:val="20"/>
          <w:szCs w:val="20"/>
          <w:color w:val="auto"/>
        </w:rPr>
      </w:pPr>
      <w:r>
        <w:rPr>
          <w:rFonts w:ascii="Courier New" w:cs="Courier New" w:eastAsia="Courier New" w:hAnsi="Courier New"/>
          <w:sz w:val="16"/>
          <w:szCs w:val="16"/>
          <w:color w:val="auto"/>
        </w:rPr>
        <w:t>$</w:t>
        <w:tab/>
        <w:t>173,633 $</w:t>
      </w:r>
      <w:r>
        <w:rPr>
          <w:sz w:val="20"/>
          <w:szCs w:val="20"/>
          <w:color w:val="auto"/>
        </w:rPr>
        <w:tab/>
      </w:r>
      <w:r>
        <w:rPr>
          <w:rFonts w:ascii="Courier New" w:cs="Courier New" w:eastAsia="Courier New" w:hAnsi="Courier New"/>
          <w:sz w:val="16"/>
          <w:szCs w:val="16"/>
          <w:color w:val="auto"/>
        </w:rPr>
        <w:t>17,522</w:t>
      </w:r>
    </w:p>
    <w:p>
      <w:pPr>
        <w:spacing w:after="0" w:line="373" w:lineRule="exact"/>
        <w:rPr>
          <w:sz w:val="20"/>
          <w:szCs w:val="20"/>
          <w:color w:val="auto"/>
        </w:rPr>
      </w:pPr>
    </w:p>
    <w:p>
      <w:pPr>
        <w:jc w:val="both"/>
        <w:ind w:left="380"/>
        <w:spacing w:after="0"/>
        <w:tabs>
          <w:tab w:leader="none" w:pos="1420" w:val="left"/>
        </w:tabs>
        <w:rPr>
          <w:sz w:val="20"/>
          <w:szCs w:val="20"/>
          <w:color w:val="auto"/>
        </w:rPr>
      </w:pPr>
      <w:r>
        <w:rPr>
          <w:rFonts w:ascii="Courier New" w:cs="Courier New" w:eastAsia="Courier New" w:hAnsi="Courier New"/>
          <w:sz w:val="16"/>
          <w:szCs w:val="16"/>
          <w:color w:val="auto"/>
        </w:rPr>
        <w:t>39,072</w:t>
      </w:r>
      <w:r>
        <w:rPr>
          <w:sz w:val="20"/>
          <w:szCs w:val="20"/>
          <w:color w:val="auto"/>
        </w:rPr>
        <w:tab/>
      </w:r>
      <w:r>
        <w:rPr>
          <w:rFonts w:ascii="Courier New" w:cs="Courier New" w:eastAsia="Courier New" w:hAnsi="Courier New"/>
          <w:sz w:val="16"/>
          <w:szCs w:val="16"/>
          <w:color w:val="auto"/>
        </w:rPr>
        <w:t>37,776</w:t>
      </w:r>
    </w:p>
    <w:p>
      <w:pPr>
        <w:spacing w:after="0" w:line="373" w:lineRule="exact"/>
        <w:rPr>
          <w:sz w:val="20"/>
          <w:szCs w:val="20"/>
          <w:color w:val="auto"/>
        </w:rPr>
      </w:pPr>
    </w:p>
    <w:p>
      <w:pPr>
        <w:jc w:val="both"/>
        <w:ind w:left="380"/>
        <w:spacing w:after="0"/>
        <w:tabs>
          <w:tab w:leader="none" w:pos="1420" w:val="left"/>
        </w:tabs>
        <w:rPr>
          <w:sz w:val="20"/>
          <w:szCs w:val="20"/>
          <w:color w:val="auto"/>
        </w:rPr>
      </w:pPr>
      <w:r>
        <w:rPr>
          <w:rFonts w:ascii="Courier New" w:cs="Courier New" w:eastAsia="Courier New" w:hAnsi="Courier New"/>
          <w:sz w:val="16"/>
          <w:szCs w:val="16"/>
          <w:color w:val="auto"/>
        </w:rPr>
        <w:t>13,048</w:t>
      </w:r>
      <w:r>
        <w:rPr>
          <w:sz w:val="20"/>
          <w:szCs w:val="20"/>
          <w:color w:val="auto"/>
        </w:rPr>
        <w:tab/>
      </w:r>
      <w:r>
        <w:rPr>
          <w:rFonts w:ascii="Courier New" w:cs="Courier New" w:eastAsia="Courier New" w:hAnsi="Courier New"/>
          <w:sz w:val="16"/>
          <w:szCs w:val="16"/>
          <w:color w:val="auto"/>
        </w:rPr>
        <w:t>30,712</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325,258 $ (362,186)</w:t>
      </w:r>
    </w:p>
    <w:p>
      <w:pPr>
        <w:spacing w:after="0" w:line="373" w:lineRule="exact"/>
        <w:rPr>
          <w:sz w:val="20"/>
          <w:szCs w:val="20"/>
          <w:color w:val="auto"/>
        </w:rPr>
      </w:pPr>
    </w:p>
    <w:p>
      <w:pPr>
        <w:ind w:left="380"/>
        <w:spacing w:after="0"/>
        <w:tabs>
          <w:tab w:leader="none" w:pos="1420" w:val="left"/>
        </w:tabs>
        <w:rPr>
          <w:sz w:val="20"/>
          <w:szCs w:val="20"/>
          <w:color w:val="auto"/>
        </w:rPr>
      </w:pPr>
      <w:r>
        <w:rPr>
          <w:rFonts w:ascii="Courier New" w:cs="Courier New" w:eastAsia="Courier New" w:hAnsi="Courier New"/>
          <w:sz w:val="16"/>
          <w:szCs w:val="16"/>
          <w:color w:val="auto"/>
        </w:rPr>
        <w:t>78,307</w:t>
      </w:r>
      <w:r>
        <w:rPr>
          <w:sz w:val="20"/>
          <w:szCs w:val="20"/>
          <w:color w:val="auto"/>
        </w:rPr>
        <w:tab/>
      </w:r>
      <w:r>
        <w:rPr>
          <w:rFonts w:ascii="Courier New" w:cs="Courier New" w:eastAsia="Courier New" w:hAnsi="Courier New"/>
          <w:sz w:val="16"/>
          <w:szCs w:val="16"/>
          <w:color w:val="auto"/>
        </w:rPr>
        <w:t>64,829</w:t>
      </w:r>
    </w:p>
    <w:p>
      <w:pPr>
        <w:spacing w:after="0" w:line="373" w:lineRule="exact"/>
        <w:rPr>
          <w:sz w:val="20"/>
          <w:szCs w:val="20"/>
          <w:color w:val="auto"/>
        </w:rPr>
      </w:pPr>
    </w:p>
    <w:p>
      <w:pPr>
        <w:ind w:left="380"/>
        <w:spacing w:after="0"/>
        <w:tabs>
          <w:tab w:leader="none" w:pos="1420" w:val="left"/>
        </w:tabs>
        <w:rPr>
          <w:sz w:val="20"/>
          <w:szCs w:val="20"/>
          <w:color w:val="auto"/>
        </w:rPr>
      </w:pPr>
      <w:r>
        <w:rPr>
          <w:rFonts w:ascii="Courier New" w:cs="Courier New" w:eastAsia="Courier New" w:hAnsi="Courier New"/>
          <w:sz w:val="16"/>
          <w:szCs w:val="16"/>
          <w:color w:val="auto"/>
        </w:rPr>
        <w:t>23,020</w:t>
      </w:r>
      <w:r>
        <w:rPr>
          <w:sz w:val="20"/>
          <w:szCs w:val="20"/>
          <w:color w:val="auto"/>
        </w:rPr>
        <w:tab/>
      </w:r>
      <w:r>
        <w:rPr>
          <w:rFonts w:ascii="Courier New" w:cs="Courier New" w:eastAsia="Courier New" w:hAnsi="Courier New"/>
          <w:sz w:val="16"/>
          <w:szCs w:val="16"/>
          <w:color w:val="auto"/>
        </w:rPr>
        <w:t>57,946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sectPr>
          <w:pgSz w:w="11900" w:h="16838" w:orient="portrait"/>
          <w:cols w:equalWidth="0" w:num="4">
            <w:col w:w="2600" w:space="0"/>
            <w:col w:w="2020" w:space="180"/>
            <w:col w:w="100" w:space="0"/>
            <w:col w:w="5319"/>
          </w:cols>
          <w:pgMar w:left="240" w:top="142" w:right="1440" w:bottom="1440" w:gutter="0" w:footer="0" w:header="0"/>
          <w:type w:val="continuous"/>
        </w:sectPr>
      </w:pPr>
    </w:p>
    <w:p>
      <w:pPr>
        <w:ind w:left="380"/>
        <w:spacing w:after="0"/>
        <w:rPr>
          <w:sz w:val="20"/>
          <w:szCs w:val="20"/>
          <w:color w:val="auto"/>
        </w:rPr>
      </w:pPr>
      <w:r>
        <w:rPr>
          <w:rFonts w:ascii="Courier New" w:cs="Courier New" w:eastAsia="Courier New" w:hAnsi="Courier New"/>
          <w:sz w:val="15"/>
          <w:szCs w:val="15"/>
          <w:color w:val="auto"/>
        </w:rPr>
        <w:t>Adjusted net income</w:t>
      </w:r>
    </w:p>
    <w:p>
      <w:pPr>
        <w:sectPr>
          <w:pgSz w:w="11900" w:h="16838" w:orient="portrait"/>
          <w:cols w:equalWidth="0" w:num="1">
            <w:col w:w="10219"/>
          </w:cols>
          <w:pgMar w:left="240" w:top="142" w:right="1440" w:bottom="1440" w:gutter="0" w:footer="0" w:header="0"/>
          <w:type w:val="continuous"/>
        </w:sectPr>
      </w:pPr>
    </w:p>
    <w:p>
      <w:pPr>
        <w:spacing w:after="0" w:line="15" w:lineRule="exact"/>
        <w:rPr>
          <w:sz w:val="20"/>
          <w:szCs w:val="20"/>
          <w:color w:val="auto"/>
        </w:rPr>
      </w:pPr>
    </w:p>
    <w:p>
      <w:pPr>
        <w:jc w:val="right"/>
        <w:ind w:left="480"/>
        <w:spacing w:after="0" w:line="242" w:lineRule="auto"/>
        <w:rPr>
          <w:sz w:val="20"/>
          <w:szCs w:val="20"/>
          <w:color w:val="auto"/>
        </w:rPr>
      </w:pPr>
      <w:r>
        <w:rPr>
          <w:rFonts w:ascii="Courier New" w:cs="Courier New" w:eastAsia="Courier New" w:hAnsi="Courier New"/>
          <w:sz w:val="16"/>
          <w:szCs w:val="16"/>
          <w:color w:val="auto"/>
        </w:rPr>
        <w:t>(loss). . . . . . . . $  225,753 $   86,010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426,585 $ (239,411)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ectPr>
          <w:pgSz w:w="11900" w:h="16838" w:orient="portrait"/>
          <w:cols w:equalWidth="0" w:num="3">
            <w:col w:w="4620" w:space="180"/>
            <w:col w:w="100" w:space="0"/>
            <w:col w:w="531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Shares: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Weighted average number</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of common shares</w:t>
      </w:r>
    </w:p>
    <w:p>
      <w:pPr>
        <w:spacing w:after="0" w:line="4" w:lineRule="exact"/>
        <w:rPr>
          <w:sz w:val="20"/>
          <w:szCs w:val="20"/>
          <w:color w:val="auto"/>
        </w:rPr>
      </w:pPr>
    </w:p>
    <w:p>
      <w:pPr>
        <w:ind w:left="280"/>
        <w:spacing w:after="0"/>
        <w:tabs>
          <w:tab w:leader="none" w:pos="2660" w:val="left"/>
          <w:tab w:leader="none" w:pos="3720" w:val="left"/>
        </w:tabs>
        <w:rPr>
          <w:sz w:val="20"/>
          <w:szCs w:val="20"/>
          <w:color w:val="auto"/>
        </w:rPr>
      </w:pPr>
      <w:r>
        <w:rPr>
          <w:rFonts w:ascii="Courier New" w:cs="Courier New" w:eastAsia="Courier New" w:hAnsi="Courier New"/>
          <w:sz w:val="16"/>
          <w:szCs w:val="16"/>
          <w:color w:val="auto"/>
        </w:rPr>
        <w:t>outstanding . . . . . .</w:t>
        <w:tab/>
        <w:t>7,659,864</w:t>
        <w:tab/>
        <w:t>7,338,375</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Assumed exercise of</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weighted number of</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options and warrants</w:t>
      </w:r>
    </w:p>
    <w:p>
      <w:pPr>
        <w:spacing w:after="0" w:line="4" w:lineRule="exact"/>
        <w:rPr>
          <w:sz w:val="20"/>
          <w:szCs w:val="20"/>
          <w:color w:val="auto"/>
        </w:rPr>
      </w:pPr>
    </w:p>
    <w:p>
      <w:pPr>
        <w:ind w:left="280"/>
        <w:spacing w:after="0"/>
        <w:tabs>
          <w:tab w:leader="none" w:pos="2660" w:val="left"/>
          <w:tab w:leader="none" w:pos="3720" w:val="left"/>
        </w:tabs>
        <w:rPr>
          <w:sz w:val="20"/>
          <w:szCs w:val="20"/>
          <w:color w:val="auto"/>
        </w:rPr>
      </w:pPr>
      <w:r>
        <w:rPr>
          <w:rFonts w:ascii="Courier New" w:cs="Courier New" w:eastAsia="Courier New" w:hAnsi="Courier New"/>
          <w:sz w:val="16"/>
          <w:szCs w:val="16"/>
          <w:color w:val="auto"/>
        </w:rPr>
        <w:t>outstanding . . . . . .</w:t>
        <w:tab/>
        <w:t>3,901,536</w:t>
        <w:tab/>
        <w:t>3,994,025</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Assumed repurchase of</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common shares . . . . . (1,532,475)(1,467,675)</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left="100"/>
        <w:spacing w:after="0"/>
        <w:tabs>
          <w:tab w:leader="none" w:pos="1140" w:val="left"/>
        </w:tabs>
        <w:rPr>
          <w:sz w:val="20"/>
          <w:szCs w:val="20"/>
          <w:color w:val="auto"/>
        </w:rPr>
      </w:pPr>
      <w:r>
        <w:rPr>
          <w:rFonts w:ascii="Courier New" w:cs="Courier New" w:eastAsia="Courier New" w:hAnsi="Courier New"/>
          <w:sz w:val="16"/>
          <w:szCs w:val="16"/>
          <w:color w:val="auto"/>
        </w:rPr>
        <w:t>7,617,022</w:t>
        <w:tab/>
        <w:t>7,338,375</w:t>
      </w:r>
    </w:p>
    <w:p>
      <w:pPr>
        <w:spacing w:after="0" w:line="200" w:lineRule="exact"/>
        <w:rPr>
          <w:sz w:val="20"/>
          <w:szCs w:val="20"/>
          <w:color w:val="auto"/>
        </w:rPr>
      </w:pPr>
    </w:p>
    <w:p>
      <w:pPr>
        <w:spacing w:after="0" w:line="358" w:lineRule="exact"/>
        <w:rPr>
          <w:sz w:val="20"/>
          <w:szCs w:val="20"/>
          <w:color w:val="auto"/>
        </w:rPr>
      </w:pPr>
    </w:p>
    <w:p>
      <w:pPr>
        <w:ind w:left="100"/>
        <w:spacing w:after="0"/>
        <w:tabs>
          <w:tab w:leader="none" w:pos="1140" w:val="left"/>
        </w:tabs>
        <w:rPr>
          <w:sz w:val="20"/>
          <w:szCs w:val="20"/>
          <w:color w:val="auto"/>
        </w:rPr>
      </w:pPr>
      <w:r>
        <w:rPr>
          <w:rFonts w:ascii="Courier New" w:cs="Courier New" w:eastAsia="Courier New" w:hAnsi="Courier New"/>
          <w:sz w:val="16"/>
          <w:szCs w:val="16"/>
          <w:color w:val="auto"/>
        </w:rPr>
        <w:t>3,932,639</w:t>
        <w:tab/>
        <w:t>3,994,025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(1,531,775)(1,467,675)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ectPr>
          <w:pgSz w:w="11900" w:h="16838" w:orient="portrait"/>
          <w:cols w:equalWidth="0" w:num="2">
            <w:col w:w="4700" w:space="200"/>
            <w:col w:w="5319"/>
          </w:cols>
          <w:pgMar w:left="240" w:top="142" w:right="1440" w:bottom="1440" w:gutter="0" w:footer="0" w:header="0"/>
          <w:type w:val="continuous"/>
        </w:sectPr>
      </w:pPr>
    </w:p>
    <w:p>
      <w:pPr>
        <w:ind w:left="380"/>
        <w:spacing w:after="0"/>
        <w:rPr>
          <w:sz w:val="20"/>
          <w:szCs w:val="20"/>
          <w:color w:val="auto"/>
        </w:rPr>
      </w:pPr>
      <w:r>
        <w:rPr>
          <w:rFonts w:ascii="Courier New" w:cs="Courier New" w:eastAsia="Courier New" w:hAnsi="Courier New"/>
          <w:sz w:val="16"/>
          <w:szCs w:val="16"/>
          <w:color w:val="auto"/>
        </w:rPr>
        <w:t>Adjusted weighted</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average of common</w:t>
      </w:r>
    </w:p>
    <w:p>
      <w:pPr>
        <w:sectPr>
          <w:pgSz w:w="11900" w:h="16838" w:orient="portrait"/>
          <w:cols w:equalWidth="0" w:num="1">
            <w:col w:w="10219"/>
          </w:cols>
          <w:pgMar w:left="240" w:top="142" w:right="1440" w:bottom="1440" w:gutter="0" w:footer="0" w:header="0"/>
          <w:type w:val="continuous"/>
        </w:sectPr>
      </w:pP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shares outstanding .</w:t>
      </w:r>
    </w:p>
    <w:p>
      <w:pPr>
        <w:spacing w:after="0" w:line="20" w:lineRule="exact"/>
        <w:rPr>
          <w:sz w:val="20"/>
          <w:szCs w:val="20"/>
          <w:color w:val="auto"/>
        </w:rPr>
      </w:pPr>
      <w:r>
        <w:rPr>
          <w:sz w:val="20"/>
          <w:szCs w:val="20"/>
          <w:color w:val="auto"/>
        </w:rPr>
        <w:br w:type="column"/>
      </w:r>
    </w:p>
    <w:p>
      <w:pPr>
        <w:jc w:val="both"/>
        <w:spacing w:after="0" w:line="242" w:lineRule="auto"/>
        <w:rPr>
          <w:sz w:val="20"/>
          <w:szCs w:val="20"/>
          <w:color w:val="auto"/>
        </w:rPr>
      </w:pPr>
      <w:r>
        <w:rPr>
          <w:rFonts w:ascii="Courier New" w:cs="Courier New" w:eastAsia="Courier New" w:hAnsi="Courier New"/>
          <w:sz w:val="16"/>
          <w:szCs w:val="16"/>
          <w:color w:val="auto"/>
        </w:rPr>
        <w:t>10,028,925 9,864,725 ========== ==========</w:t>
      </w:r>
    </w:p>
    <w:p>
      <w:pPr>
        <w:spacing w:after="0" w:line="20" w:lineRule="exact"/>
        <w:rPr>
          <w:sz w:val="20"/>
          <w:szCs w:val="20"/>
          <w:color w:val="auto"/>
        </w:rPr>
      </w:pPr>
      <w:r>
        <w:rPr>
          <w:sz w:val="20"/>
          <w:szCs w:val="20"/>
          <w:color w:val="auto"/>
        </w:rPr>
        <w:br w:type="column"/>
      </w:r>
    </w:p>
    <w:p>
      <w:pPr>
        <w:spacing w:after="0"/>
        <w:tabs>
          <w:tab w:leader="none" w:pos="1140" w:val="left"/>
        </w:tabs>
        <w:rPr>
          <w:sz w:val="20"/>
          <w:szCs w:val="20"/>
          <w:color w:val="auto"/>
        </w:rPr>
      </w:pPr>
      <w:r>
        <w:rPr>
          <w:rFonts w:ascii="Courier New" w:cs="Courier New" w:eastAsia="Courier New" w:hAnsi="Courier New"/>
          <w:sz w:val="15"/>
          <w:szCs w:val="15"/>
          <w:color w:val="auto"/>
        </w:rPr>
        <w:t>10,017,886</w:t>
        <w:tab/>
        <w:t>9,864,725</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ectPr>
          <w:pgSz w:w="11900" w:h="16838" w:orient="portrait"/>
          <w:cols w:equalWidth="0" w:num="3">
            <w:col w:w="2400" w:space="200"/>
            <w:col w:w="2020" w:space="280"/>
            <w:col w:w="5319"/>
          </w:cols>
          <w:pgMar w:left="240" w:top="142" w:right="1440" w:bottom="1440" w:gutter="0" w:footer="0" w:header="0"/>
          <w:type w:val="continuous"/>
        </w:sectPr>
      </w:pPr>
    </w:p>
    <w:p>
      <w:pPr>
        <w:ind w:left="380"/>
        <w:spacing w:after="0"/>
        <w:rPr>
          <w:sz w:val="20"/>
          <w:szCs w:val="20"/>
          <w:color w:val="auto"/>
        </w:rPr>
      </w:pPr>
      <w:r>
        <w:rPr>
          <w:rFonts w:ascii="Courier New" w:cs="Courier New" w:eastAsia="Courier New" w:hAnsi="Courier New"/>
          <w:sz w:val="16"/>
          <w:szCs w:val="16"/>
          <w:color w:val="auto"/>
        </w:rPr>
        <w:t>Full Diluted Earnings</w:t>
      </w:r>
    </w:p>
    <w:p>
      <w:pPr>
        <w:sectPr>
          <w:pgSz w:w="11900" w:h="16838" w:orient="portrait"/>
          <w:cols w:equalWidth="0" w:num="1">
            <w:col w:w="10219"/>
          </w:cols>
          <w:pgMar w:left="240" w:top="142" w:right="1440" w:bottom="1440" w:gutter="0" w:footer="0" w:header="0"/>
          <w:type w:val="continuous"/>
        </w:sectPr>
      </w:pPr>
    </w:p>
    <w:p>
      <w:pPr>
        <w:spacing w:after="0" w:line="4" w:lineRule="exact"/>
        <w:rPr>
          <w:sz w:val="20"/>
          <w:szCs w:val="20"/>
          <w:color w:val="auto"/>
        </w:rPr>
      </w:pPr>
    </w:p>
    <w:p>
      <w:pPr>
        <w:ind w:left="480"/>
        <w:spacing w:after="0"/>
        <w:tabs>
          <w:tab w:leader="none" w:pos="2180" w:val="left"/>
        </w:tabs>
        <w:rPr>
          <w:sz w:val="20"/>
          <w:szCs w:val="20"/>
          <w:color w:val="auto"/>
        </w:rPr>
      </w:pPr>
      <w:r>
        <w:rPr>
          <w:rFonts w:ascii="Courier New" w:cs="Courier New" w:eastAsia="Courier New" w:hAnsi="Courier New"/>
          <w:sz w:val="16"/>
          <w:szCs w:val="16"/>
          <w:color w:val="auto"/>
        </w:rPr>
        <w:t>(Loss) Per Share</w:t>
        <w:tab/>
        <w:t>. .</w:t>
      </w:r>
    </w:p>
    <w:p>
      <w:pPr>
        <w:spacing w:after="0" w:line="20" w:lineRule="exact"/>
        <w:rPr>
          <w:sz w:val="20"/>
          <w:szCs w:val="20"/>
          <w:color w:val="auto"/>
        </w:rPr>
      </w:pPr>
      <w:r>
        <w:rPr>
          <w:sz w:val="20"/>
          <w:szCs w:val="20"/>
          <w:color w:val="auto"/>
        </w:rPr>
        <w:br w:type="column"/>
      </w:r>
    </w:p>
    <w:p>
      <w:pPr>
        <w:jc w:val="both"/>
        <w:ind w:firstLine="480"/>
        <w:spacing w:after="0" w:line="242" w:lineRule="auto"/>
        <w:rPr>
          <w:sz w:val="20"/>
          <w:szCs w:val="20"/>
          <w:color w:val="auto"/>
        </w:rPr>
      </w:pPr>
      <w:r>
        <w:rPr>
          <w:rFonts w:ascii="Courier New" w:cs="Courier New" w:eastAsia="Courier New" w:hAnsi="Courier New"/>
          <w:sz w:val="16"/>
          <w:szCs w:val="16"/>
          <w:color w:val="auto"/>
        </w:rPr>
        <w:t>$0.02 $0.01 ========== ==========</w:t>
      </w:r>
    </w:p>
    <w:p>
      <w:pPr>
        <w:spacing w:after="0" w:line="20" w:lineRule="exact"/>
        <w:rPr>
          <w:sz w:val="20"/>
          <w:szCs w:val="20"/>
          <w:color w:val="auto"/>
        </w:rPr>
      </w:pPr>
      <w:r>
        <w:rPr>
          <w:sz w:val="20"/>
          <w:szCs w:val="20"/>
          <w:color w:val="auto"/>
        </w:rPr>
        <w:br w:type="column"/>
      </w:r>
    </w:p>
    <w:p>
      <w:pPr>
        <w:ind w:left="480"/>
        <w:spacing w:after="0"/>
        <w:tabs>
          <w:tab w:leader="none" w:pos="1420" w:val="left"/>
        </w:tabs>
        <w:rPr>
          <w:sz w:val="20"/>
          <w:szCs w:val="20"/>
          <w:color w:val="auto"/>
        </w:rPr>
      </w:pPr>
      <w:r>
        <w:rPr>
          <w:rFonts w:ascii="Courier New" w:cs="Courier New" w:eastAsia="Courier New" w:hAnsi="Courier New"/>
          <w:sz w:val="16"/>
          <w:szCs w:val="16"/>
          <w:color w:val="auto"/>
        </w:rPr>
        <w:t>$0.04</w:t>
      </w:r>
      <w:r>
        <w:rPr>
          <w:sz w:val="20"/>
          <w:szCs w:val="20"/>
          <w:color w:val="auto"/>
        </w:rPr>
        <w:tab/>
      </w:r>
      <w:r>
        <w:rPr>
          <w:rFonts w:ascii="Courier New" w:cs="Courier New" w:eastAsia="Courier New" w:hAnsi="Courier New"/>
          <w:sz w:val="16"/>
          <w:szCs w:val="16"/>
          <w:color w:val="auto"/>
        </w:rPr>
        <w:t>($0.02)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3">
            <w:col w:w="2500" w:space="100"/>
            <w:col w:w="2020" w:space="280"/>
            <w:col w:w="5319"/>
          </w:cols>
          <w:pgMar w:left="240" w:top="142" w:right="1440" w:bottom="1440" w:gutter="0" w:footer="0" w:header="0"/>
          <w:type w:val="continuous"/>
        </w:sectPr>
      </w:pPr>
    </w:p>
    <w:bookmarkStart w:id="7" w:name="page8"/>
    <w:bookmarkEnd w:id="7"/>
    <w:p>
      <w:pPr>
        <w:ind w:left="80"/>
        <w:spacing w:after="0"/>
        <w:rPr>
          <w:sz w:val="20"/>
          <w:szCs w:val="20"/>
          <w:color w:val="auto"/>
        </w:rPr>
      </w:pPr>
      <w:r>
        <w:rPr>
          <w:rFonts w:ascii="Courier New" w:cs="Courier New" w:eastAsia="Courier New" w:hAnsi="Courier New"/>
          <w:sz w:val="16"/>
          <w:szCs w:val="16"/>
          <w:color w:val="auto"/>
        </w:rPr>
        <w:t>5</w:t>
      </w:r>
    </w:p>
    <w:p>
      <w:pPr>
        <w:spacing w:after="0" w:line="375" w:lineRule="exact"/>
        <w:rPr>
          <w:sz w:val="20"/>
          <w:szCs w:val="20"/>
          <w:color w:val="auto"/>
        </w:rPr>
      </w:pPr>
    </w:p>
    <w:p>
      <w:pPr>
        <w:ind w:right="3079"/>
        <w:spacing w:after="0" w:line="243" w:lineRule="auto"/>
        <w:rPr>
          <w:sz w:val="20"/>
          <w:szCs w:val="20"/>
          <w:color w:val="auto"/>
        </w:rPr>
      </w:pPr>
      <w:r>
        <w:rPr>
          <w:rFonts w:ascii="Courier New" w:cs="Courier New" w:eastAsia="Courier New" w:hAnsi="Courier New"/>
          <w:sz w:val="16"/>
          <w:szCs w:val="16"/>
          <w:color w:val="auto"/>
        </w:rPr>
        <w:t>THIS SCHEDULE CONTAINS SUMMARY FINANCIAL INFORMATION EXTRACTED FROM FINANCIAL STATEMENTS AND FOOTNOTES INCLUDED IN FORM 10-QSB FOR THE QUARTER ENDED DECEMBER 31, 1995 AND IS QUALIFIED IN ITS ENTIRETY BY REFERENCE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1620" w:type="dxa"/>
        <w:tblCellMar>
          <w:top w:w="0" w:type="dxa"/>
          <w:left w:w="0" w:type="dxa"/>
          <w:bottom w:w="0" w:type="dxa"/>
          <w:right w:w="0" w:type="dxa"/>
        </w:tblCellMar>
      </w:tblPr>
      <w:tr>
        <w:trPr>
          <w:trHeight w:val="181"/>
        </w:trPr>
        <w:tc>
          <w:tcPr>
            <w:tcW w:w="2300" w:type="dxa"/>
            <w:vAlign w:val="bottom"/>
          </w:tcPr>
          <w:p>
            <w:pPr>
              <w:jc w:val="right"/>
              <w:ind w:right="1560"/>
              <w:spacing w:after="0"/>
              <w:rPr>
                <w:sz w:val="20"/>
                <w:szCs w:val="20"/>
                <w:color w:val="auto"/>
              </w:rPr>
            </w:pPr>
            <w:r>
              <w:rPr>
                <w:rFonts w:ascii="Courier New" w:cs="Courier New" w:eastAsia="Courier New" w:hAnsi="Courier New"/>
                <w:sz w:val="16"/>
                <w:szCs w:val="16"/>
                <w:color w:val="auto"/>
              </w:rPr>
              <w:t>3-MOS</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6-MOS</w:t>
            </w:r>
          </w:p>
        </w:tc>
        <w:tc>
          <w:tcPr>
            <w:tcW w:w="2220" w:type="dxa"/>
            <w:vAlign w:val="bottom"/>
          </w:tcPr>
          <w:p>
            <w:pPr>
              <w:spacing w:after="0"/>
              <w:rPr>
                <w:sz w:val="15"/>
                <w:szCs w:val="15"/>
                <w:color w:val="auto"/>
              </w:rPr>
            </w:pPr>
          </w:p>
        </w:tc>
      </w:tr>
      <w:tr>
        <w:trPr>
          <w:trHeight w:val="185"/>
        </w:trPr>
        <w:tc>
          <w:tcPr>
            <w:tcW w:w="2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JUN-30-1996</w:t>
            </w:r>
          </w:p>
        </w:tc>
        <w:tc>
          <w:tcPr>
            <w:tcW w:w="860" w:type="dxa"/>
            <w:vAlign w:val="bottom"/>
          </w:tcPr>
          <w:p>
            <w:pPr>
              <w:spacing w:after="0"/>
              <w:rPr>
                <w:sz w:val="16"/>
                <w:szCs w:val="16"/>
                <w:color w:val="auto"/>
              </w:rPr>
            </w:pPr>
          </w:p>
        </w:tc>
        <w:tc>
          <w:tcPr>
            <w:tcW w:w="2220" w:type="dxa"/>
            <w:vAlign w:val="bottom"/>
          </w:tcPr>
          <w:p>
            <w:pPr>
              <w:jc w:val="right"/>
              <w:ind w:right="1080"/>
              <w:spacing w:after="0"/>
              <w:rPr>
                <w:sz w:val="20"/>
                <w:szCs w:val="20"/>
                <w:color w:val="auto"/>
              </w:rPr>
            </w:pPr>
            <w:r>
              <w:rPr>
                <w:rFonts w:ascii="Courier New" w:cs="Courier New" w:eastAsia="Courier New" w:hAnsi="Courier New"/>
                <w:sz w:val="16"/>
                <w:szCs w:val="16"/>
                <w:color w:val="auto"/>
                <w:w w:val="98"/>
              </w:rPr>
              <w:t>JUN-30-1996</w:t>
            </w:r>
          </w:p>
        </w:tc>
      </w:tr>
      <w:tr>
        <w:trPr>
          <w:trHeight w:val="185"/>
        </w:trPr>
        <w:tc>
          <w:tcPr>
            <w:tcW w:w="316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DEC-31-1996</w:t>
            </w:r>
          </w:p>
        </w:tc>
        <w:tc>
          <w:tcPr>
            <w:tcW w:w="22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DEC-31-1996</w:t>
            </w:r>
          </w:p>
        </w:tc>
      </w:tr>
      <w:tr>
        <w:trPr>
          <w:trHeight w:val="185"/>
        </w:trPr>
        <w:tc>
          <w:tcPr>
            <w:tcW w:w="230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Courier New" w:cs="Courier New" w:eastAsia="Courier New" w:hAnsi="Courier New"/>
                <w:sz w:val="16"/>
                <w:szCs w:val="16"/>
                <w:color w:val="auto"/>
              </w:rPr>
              <w:t>134,141</w:t>
            </w:r>
          </w:p>
        </w:tc>
        <w:tc>
          <w:tcPr>
            <w:tcW w:w="2220" w:type="dxa"/>
            <w:vAlign w:val="bottom"/>
          </w:tcPr>
          <w:p>
            <w:pPr>
              <w:jc w:val="center"/>
              <w:ind w:left="1260"/>
              <w:spacing w:after="0"/>
              <w:rPr>
                <w:sz w:val="20"/>
                <w:szCs w:val="20"/>
                <w:color w:val="auto"/>
              </w:rPr>
            </w:pPr>
            <w:r>
              <w:rPr>
                <w:rFonts w:ascii="Courier New" w:cs="Courier New" w:eastAsia="Courier New" w:hAnsi="Courier New"/>
                <w:sz w:val="16"/>
                <w:szCs w:val="16"/>
                <w:color w:val="auto"/>
              </w:rPr>
              <w:t>134,141</w:t>
            </w:r>
          </w:p>
        </w:tc>
      </w:tr>
      <w:tr>
        <w:trPr>
          <w:trHeight w:val="185"/>
        </w:trPr>
        <w:tc>
          <w:tcPr>
            <w:tcW w:w="230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Courier New" w:cs="Courier New" w:eastAsia="Courier New" w:hAnsi="Courier New"/>
                <w:sz w:val="16"/>
                <w:szCs w:val="16"/>
                <w:color w:val="auto"/>
              </w:rPr>
              <w:t>0</w:t>
            </w:r>
          </w:p>
        </w:tc>
        <w:tc>
          <w:tcPr>
            <w:tcW w:w="22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0</w:t>
            </w:r>
          </w:p>
        </w:tc>
      </w:tr>
      <w:tr>
        <w:trPr>
          <w:trHeight w:val="185"/>
        </w:trPr>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rPr>
              <w:t>1,724,941</w:t>
            </w:r>
          </w:p>
        </w:tc>
        <w:tc>
          <w:tcPr>
            <w:tcW w:w="860" w:type="dxa"/>
            <w:vAlign w:val="bottom"/>
          </w:tcPr>
          <w:p>
            <w:pPr>
              <w:spacing w:after="0"/>
              <w:rPr>
                <w:sz w:val="16"/>
                <w:szCs w:val="16"/>
                <w:color w:val="auto"/>
              </w:rPr>
            </w:pPr>
          </w:p>
        </w:tc>
        <w:tc>
          <w:tcPr>
            <w:tcW w:w="222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1,724,941</w:t>
            </w:r>
          </w:p>
        </w:tc>
      </w:tr>
      <w:tr>
        <w:trPr>
          <w:trHeight w:val="185"/>
        </w:trPr>
        <w:tc>
          <w:tcPr>
            <w:tcW w:w="3160" w:type="dxa"/>
            <w:vAlign w:val="bottom"/>
            <w:gridSpan w:val="2"/>
          </w:tcPr>
          <w:p>
            <w:pPr>
              <w:jc w:val="center"/>
              <w:ind w:left="880"/>
              <w:spacing w:after="0"/>
              <w:rPr>
                <w:sz w:val="20"/>
                <w:szCs w:val="20"/>
                <w:color w:val="auto"/>
              </w:rPr>
            </w:pPr>
            <w:r>
              <w:rPr>
                <w:rFonts w:ascii="Courier New" w:cs="Courier New" w:eastAsia="Courier New" w:hAnsi="Courier New"/>
                <w:sz w:val="16"/>
                <w:szCs w:val="16"/>
                <w:color w:val="auto"/>
              </w:rPr>
              <w:t>145,000</w:t>
            </w:r>
          </w:p>
        </w:tc>
        <w:tc>
          <w:tcPr>
            <w:tcW w:w="22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145,000</w:t>
            </w:r>
          </w:p>
        </w:tc>
      </w:tr>
      <w:tr>
        <w:trPr>
          <w:trHeight w:val="185"/>
        </w:trPr>
        <w:tc>
          <w:tcPr>
            <w:tcW w:w="3160" w:type="dxa"/>
            <w:vAlign w:val="bottom"/>
            <w:gridSpan w:val="2"/>
          </w:tcPr>
          <w:p>
            <w:pPr>
              <w:jc w:val="center"/>
              <w:ind w:left="880"/>
              <w:spacing w:after="0"/>
              <w:rPr>
                <w:sz w:val="20"/>
                <w:szCs w:val="20"/>
                <w:color w:val="auto"/>
              </w:rPr>
            </w:pPr>
            <w:r>
              <w:rPr>
                <w:rFonts w:ascii="Courier New" w:cs="Courier New" w:eastAsia="Courier New" w:hAnsi="Courier New"/>
                <w:sz w:val="16"/>
                <w:szCs w:val="16"/>
                <w:color w:val="auto"/>
              </w:rPr>
              <w:t>3,602,068</w:t>
            </w:r>
          </w:p>
        </w:tc>
        <w:tc>
          <w:tcPr>
            <w:tcW w:w="22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3,602,068</w:t>
            </w:r>
          </w:p>
        </w:tc>
      </w:tr>
      <w:tr>
        <w:trPr>
          <w:trHeight w:val="185"/>
        </w:trPr>
        <w:tc>
          <w:tcPr>
            <w:tcW w:w="2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5,617,867</w:t>
            </w:r>
          </w:p>
        </w:tc>
        <w:tc>
          <w:tcPr>
            <w:tcW w:w="860" w:type="dxa"/>
            <w:vAlign w:val="bottom"/>
          </w:tcPr>
          <w:p>
            <w:pPr>
              <w:spacing w:after="0"/>
              <w:rPr>
                <w:sz w:val="16"/>
                <w:szCs w:val="16"/>
                <w:color w:val="auto"/>
              </w:rPr>
            </w:pPr>
          </w:p>
        </w:tc>
        <w:tc>
          <w:tcPr>
            <w:tcW w:w="222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5,617,867</w:t>
            </w:r>
          </w:p>
        </w:tc>
      </w:tr>
      <w:tr>
        <w:trPr>
          <w:trHeight w:val="185"/>
        </w:trPr>
        <w:tc>
          <w:tcPr>
            <w:tcW w:w="31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3,722,384</w:t>
            </w:r>
          </w:p>
        </w:tc>
        <w:tc>
          <w:tcPr>
            <w:tcW w:w="2220" w:type="dxa"/>
            <w:vAlign w:val="bottom"/>
          </w:tcPr>
          <w:p>
            <w:pPr>
              <w:jc w:val="center"/>
              <w:ind w:left="1080"/>
              <w:spacing w:after="0"/>
              <w:rPr>
                <w:sz w:val="20"/>
                <w:szCs w:val="20"/>
                <w:color w:val="auto"/>
              </w:rPr>
            </w:pPr>
            <w:r>
              <w:rPr>
                <w:rFonts w:ascii="Courier New" w:cs="Courier New" w:eastAsia="Courier New" w:hAnsi="Courier New"/>
                <w:sz w:val="16"/>
                <w:szCs w:val="16"/>
                <w:color w:val="auto"/>
                <w:w w:val="99"/>
              </w:rPr>
              <w:t>3,722,384</w:t>
            </w:r>
          </w:p>
        </w:tc>
      </w:tr>
      <w:tr>
        <w:trPr>
          <w:trHeight w:val="185"/>
        </w:trPr>
        <w:tc>
          <w:tcPr>
            <w:tcW w:w="2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2,081,127</w:t>
            </w:r>
          </w:p>
        </w:tc>
        <w:tc>
          <w:tcPr>
            <w:tcW w:w="860" w:type="dxa"/>
            <w:vAlign w:val="bottom"/>
          </w:tcPr>
          <w:p>
            <w:pPr>
              <w:spacing w:after="0"/>
              <w:rPr>
                <w:sz w:val="16"/>
                <w:szCs w:val="16"/>
                <w:color w:val="auto"/>
              </w:rPr>
            </w:pPr>
          </w:p>
        </w:tc>
        <w:tc>
          <w:tcPr>
            <w:tcW w:w="222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2,081,127</w:t>
            </w:r>
          </w:p>
        </w:tc>
      </w:tr>
      <w:tr>
        <w:trPr>
          <w:trHeight w:val="185"/>
        </w:trPr>
        <w:tc>
          <w:tcPr>
            <w:tcW w:w="2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7,439,635</w:t>
            </w:r>
          </w:p>
        </w:tc>
        <w:tc>
          <w:tcPr>
            <w:tcW w:w="860" w:type="dxa"/>
            <w:vAlign w:val="bottom"/>
          </w:tcPr>
          <w:p>
            <w:pPr>
              <w:spacing w:after="0"/>
              <w:rPr>
                <w:sz w:val="16"/>
                <w:szCs w:val="16"/>
                <w:color w:val="auto"/>
              </w:rPr>
            </w:pPr>
          </w:p>
        </w:tc>
        <w:tc>
          <w:tcPr>
            <w:tcW w:w="222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7,439,635</w:t>
            </w:r>
          </w:p>
        </w:tc>
      </w:tr>
      <w:tr>
        <w:trPr>
          <w:trHeight w:val="185"/>
        </w:trPr>
        <w:tc>
          <w:tcPr>
            <w:tcW w:w="230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2,566,705</w:t>
            </w:r>
          </w:p>
        </w:tc>
        <w:tc>
          <w:tcPr>
            <w:tcW w:w="3080" w:type="dxa"/>
            <w:vAlign w:val="bottom"/>
            <w:gridSpan w:val="2"/>
          </w:tcPr>
          <w:p>
            <w:pPr>
              <w:jc w:val="right"/>
              <w:ind w:right="1460"/>
              <w:spacing w:after="0"/>
              <w:rPr>
                <w:sz w:val="20"/>
                <w:szCs w:val="20"/>
                <w:color w:val="auto"/>
              </w:rPr>
            </w:pPr>
            <w:r>
              <w:rPr>
                <w:rFonts w:ascii="Courier New" w:cs="Courier New" w:eastAsia="Courier New" w:hAnsi="Courier New"/>
                <w:sz w:val="16"/>
                <w:szCs w:val="16"/>
                <w:color w:val="auto"/>
              </w:rPr>
              <w:t>2,566,705</w:t>
            </w:r>
          </w:p>
        </w:tc>
      </w:tr>
      <w:tr>
        <w:trPr>
          <w:trHeight w:val="185"/>
        </w:trPr>
        <w:tc>
          <w:tcPr>
            <w:tcW w:w="316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691,898</w:t>
            </w:r>
          </w:p>
        </w:tc>
        <w:tc>
          <w:tcPr>
            <w:tcW w:w="2220" w:type="dxa"/>
            <w:vAlign w:val="bottom"/>
          </w:tcPr>
          <w:p>
            <w:pPr>
              <w:jc w:val="center"/>
              <w:ind w:left="1060"/>
              <w:spacing w:after="0"/>
              <w:rPr>
                <w:sz w:val="20"/>
                <w:szCs w:val="20"/>
                <w:color w:val="auto"/>
              </w:rPr>
            </w:pPr>
            <w:r>
              <w:rPr>
                <w:rFonts w:ascii="Courier New" w:cs="Courier New" w:eastAsia="Courier New" w:hAnsi="Courier New"/>
                <w:sz w:val="16"/>
                <w:szCs w:val="16"/>
                <w:color w:val="auto"/>
              </w:rPr>
              <w:t>691,898</w:t>
            </w:r>
          </w:p>
        </w:tc>
      </w:tr>
      <w:tr>
        <w:trPr>
          <w:trHeight w:val="185"/>
        </w:trPr>
        <w:tc>
          <w:tcPr>
            <w:tcW w:w="230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Courier New" w:cs="Courier New" w:eastAsia="Courier New" w:hAnsi="Courier New"/>
                <w:sz w:val="16"/>
                <w:szCs w:val="16"/>
                <w:color w:val="auto"/>
              </w:rPr>
              <w:t>7,662</w:t>
            </w:r>
          </w:p>
        </w:tc>
        <w:tc>
          <w:tcPr>
            <w:tcW w:w="2220" w:type="dxa"/>
            <w:vAlign w:val="bottom"/>
          </w:tcPr>
          <w:p>
            <w:pPr>
              <w:jc w:val="center"/>
              <w:ind w:left="1060"/>
              <w:spacing w:after="0"/>
              <w:rPr>
                <w:sz w:val="20"/>
                <w:szCs w:val="20"/>
                <w:color w:val="auto"/>
              </w:rPr>
            </w:pPr>
            <w:r>
              <w:rPr>
                <w:rFonts w:ascii="Courier New" w:cs="Courier New" w:eastAsia="Courier New" w:hAnsi="Courier New"/>
                <w:sz w:val="16"/>
                <w:szCs w:val="16"/>
                <w:color w:val="auto"/>
                <w:w w:val="99"/>
              </w:rPr>
              <w:t>7,662</w:t>
            </w:r>
          </w:p>
        </w:tc>
      </w:tr>
      <w:tr>
        <w:trPr>
          <w:trHeight w:val="185"/>
        </w:trPr>
        <w:tc>
          <w:tcPr>
            <w:tcW w:w="230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0</w:t>
            </w:r>
          </w:p>
        </w:tc>
        <w:tc>
          <w:tcPr>
            <w:tcW w:w="860" w:type="dxa"/>
            <w:vAlign w:val="bottom"/>
          </w:tcPr>
          <w:p>
            <w:pPr>
              <w:spacing w:after="0"/>
              <w:rPr>
                <w:sz w:val="16"/>
                <w:szCs w:val="16"/>
                <w:color w:val="auto"/>
              </w:rPr>
            </w:pPr>
          </w:p>
        </w:tc>
        <w:tc>
          <w:tcPr>
            <w:tcW w:w="2220" w:type="dxa"/>
            <w:vAlign w:val="bottom"/>
          </w:tcPr>
          <w:p>
            <w:pPr>
              <w:jc w:val="right"/>
              <w:ind w:right="1460"/>
              <w:spacing w:after="0"/>
              <w:rPr>
                <w:sz w:val="20"/>
                <w:szCs w:val="20"/>
                <w:color w:val="auto"/>
              </w:rPr>
            </w:pPr>
            <w:r>
              <w:rPr>
                <w:rFonts w:ascii="Courier New" w:cs="Courier New" w:eastAsia="Courier New" w:hAnsi="Courier New"/>
                <w:sz w:val="16"/>
                <w:szCs w:val="16"/>
                <w:color w:val="auto"/>
              </w:rPr>
              <w:t>0</w:t>
            </w:r>
          </w:p>
        </w:tc>
      </w:tr>
      <w:tr>
        <w:trPr>
          <w:trHeight w:val="185"/>
        </w:trPr>
        <w:tc>
          <w:tcPr>
            <w:tcW w:w="2300" w:type="dxa"/>
            <w:vAlign w:val="bottom"/>
          </w:tcPr>
          <w:p>
            <w:pPr>
              <w:spacing w:after="0"/>
              <w:rPr>
                <w:sz w:val="16"/>
                <w:szCs w:val="16"/>
                <w:color w:val="auto"/>
              </w:rPr>
            </w:pPr>
          </w:p>
        </w:tc>
        <w:tc>
          <w:tcPr>
            <w:tcW w:w="8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0</w:t>
            </w:r>
          </w:p>
        </w:tc>
        <w:tc>
          <w:tcPr>
            <w:tcW w:w="22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w:t>
            </w:r>
          </w:p>
        </w:tc>
      </w:tr>
      <w:tr>
        <w:trPr>
          <w:trHeight w:val="185"/>
        </w:trPr>
        <w:tc>
          <w:tcPr>
            <w:tcW w:w="316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4,173,370</w:t>
            </w:r>
          </w:p>
        </w:tc>
        <w:tc>
          <w:tcPr>
            <w:tcW w:w="22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4,173,370</w:t>
            </w:r>
          </w:p>
        </w:tc>
      </w:tr>
      <w:tr>
        <w:trPr>
          <w:trHeight w:val="185"/>
        </w:trPr>
        <w:tc>
          <w:tcPr>
            <w:tcW w:w="2300" w:type="dxa"/>
            <w:vAlign w:val="bottom"/>
          </w:tcPr>
          <w:p>
            <w:pPr>
              <w:jc w:val="right"/>
              <w:ind w:right="1360"/>
              <w:spacing w:after="0"/>
              <w:rPr>
                <w:sz w:val="20"/>
                <w:szCs w:val="20"/>
                <w:color w:val="auto"/>
              </w:rPr>
            </w:pPr>
            <w:r>
              <w:rPr>
                <w:rFonts w:ascii="Courier New" w:cs="Courier New" w:eastAsia="Courier New" w:hAnsi="Courier New"/>
                <w:sz w:val="16"/>
                <w:szCs w:val="16"/>
                <w:color w:val="auto"/>
                <w:w w:val="97"/>
              </w:rPr>
              <w:t>7,439,635</w:t>
            </w:r>
          </w:p>
        </w:tc>
        <w:tc>
          <w:tcPr>
            <w:tcW w:w="860" w:type="dxa"/>
            <w:vAlign w:val="bottom"/>
          </w:tcPr>
          <w:p>
            <w:pPr>
              <w:spacing w:after="0"/>
              <w:rPr>
                <w:sz w:val="20"/>
                <w:szCs w:val="20"/>
                <w:color w:val="auto"/>
              </w:rPr>
            </w:pPr>
            <w:r>
              <w:rPr>
                <w:rFonts w:ascii="Courier New" w:cs="Courier New" w:eastAsia="Courier New" w:hAnsi="Courier New"/>
                <w:sz w:val="16"/>
                <w:szCs w:val="16"/>
                <w:color w:val="auto"/>
                <w:w w:val="97"/>
              </w:rPr>
              <w:t>7,439,635</w:t>
            </w:r>
          </w:p>
        </w:tc>
        <w:tc>
          <w:tcPr>
            <w:tcW w:w="2220" w:type="dxa"/>
            <w:vAlign w:val="bottom"/>
          </w:tcPr>
          <w:p>
            <w:pPr>
              <w:spacing w:after="0"/>
              <w:rPr>
                <w:sz w:val="16"/>
                <w:szCs w:val="16"/>
                <w:color w:val="auto"/>
              </w:rPr>
            </w:pPr>
          </w:p>
        </w:tc>
      </w:tr>
      <w:tr>
        <w:trPr>
          <w:trHeight w:val="185"/>
        </w:trPr>
        <w:tc>
          <w:tcPr>
            <w:tcW w:w="316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3,063,011</w:t>
            </w:r>
          </w:p>
        </w:tc>
        <w:tc>
          <w:tcPr>
            <w:tcW w:w="22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5,850,160</w:t>
            </w:r>
          </w:p>
        </w:tc>
      </w:tr>
      <w:tr>
        <w:trPr>
          <w:trHeight w:val="185"/>
        </w:trPr>
        <w:tc>
          <w:tcPr>
            <w:tcW w:w="2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3,063,011</w:t>
            </w:r>
          </w:p>
        </w:tc>
        <w:tc>
          <w:tcPr>
            <w:tcW w:w="860" w:type="dxa"/>
            <w:vAlign w:val="bottom"/>
          </w:tcPr>
          <w:p>
            <w:pPr>
              <w:spacing w:after="0"/>
              <w:rPr>
                <w:sz w:val="16"/>
                <w:szCs w:val="16"/>
                <w:color w:val="auto"/>
              </w:rPr>
            </w:pPr>
          </w:p>
        </w:tc>
        <w:tc>
          <w:tcPr>
            <w:tcW w:w="222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5,850,160</w:t>
            </w:r>
          </w:p>
        </w:tc>
      </w:tr>
      <w:tr>
        <w:trPr>
          <w:trHeight w:val="185"/>
        </w:trPr>
        <w:tc>
          <w:tcPr>
            <w:tcW w:w="3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1,633,064</w:t>
            </w:r>
          </w:p>
        </w:tc>
        <w:tc>
          <w:tcPr>
            <w:tcW w:w="2220" w:type="dxa"/>
            <w:vAlign w:val="bottom"/>
          </w:tcPr>
          <w:p>
            <w:pPr>
              <w:jc w:val="center"/>
              <w:ind w:left="1260"/>
              <w:spacing w:after="0"/>
              <w:rPr>
                <w:sz w:val="20"/>
                <w:szCs w:val="20"/>
                <w:color w:val="auto"/>
              </w:rPr>
            </w:pPr>
            <w:r>
              <w:rPr>
                <w:rFonts w:ascii="Courier New" w:cs="Courier New" w:eastAsia="Courier New" w:hAnsi="Courier New"/>
                <w:sz w:val="16"/>
                <w:szCs w:val="16"/>
                <w:color w:val="auto"/>
              </w:rPr>
              <w:t>3,073,390</w:t>
            </w:r>
          </w:p>
        </w:tc>
      </w:tr>
      <w:tr>
        <w:trPr>
          <w:trHeight w:val="185"/>
        </w:trPr>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rPr>
              <w:t>1,633,064</w:t>
            </w:r>
          </w:p>
        </w:tc>
        <w:tc>
          <w:tcPr>
            <w:tcW w:w="860" w:type="dxa"/>
            <w:vAlign w:val="bottom"/>
          </w:tcPr>
          <w:p>
            <w:pPr>
              <w:spacing w:after="0"/>
              <w:rPr>
                <w:sz w:val="16"/>
                <w:szCs w:val="16"/>
                <w:color w:val="auto"/>
              </w:rPr>
            </w:pPr>
          </w:p>
        </w:tc>
        <w:tc>
          <w:tcPr>
            <w:tcW w:w="222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3,073,390</w:t>
            </w:r>
          </w:p>
        </w:tc>
      </w:tr>
      <w:tr>
        <w:trPr>
          <w:trHeight w:val="185"/>
        </w:trPr>
        <w:tc>
          <w:tcPr>
            <w:tcW w:w="2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w:t>
            </w:r>
          </w:p>
        </w:tc>
        <w:tc>
          <w:tcPr>
            <w:tcW w:w="860" w:type="dxa"/>
            <w:vAlign w:val="bottom"/>
          </w:tcPr>
          <w:p>
            <w:pPr>
              <w:spacing w:after="0"/>
              <w:rPr>
                <w:sz w:val="16"/>
                <w:szCs w:val="16"/>
                <w:color w:val="auto"/>
              </w:rPr>
            </w:pPr>
          </w:p>
        </w:tc>
        <w:tc>
          <w:tcPr>
            <w:tcW w:w="222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0</w:t>
            </w:r>
          </w:p>
        </w:tc>
      </w:tr>
      <w:tr>
        <w:trPr>
          <w:trHeight w:val="185"/>
        </w:trPr>
        <w:tc>
          <w:tcPr>
            <w:tcW w:w="2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w:t>
            </w:r>
          </w:p>
        </w:tc>
        <w:tc>
          <w:tcPr>
            <w:tcW w:w="860" w:type="dxa"/>
            <w:vAlign w:val="bottom"/>
          </w:tcPr>
          <w:p>
            <w:pPr>
              <w:spacing w:after="0"/>
              <w:rPr>
                <w:sz w:val="16"/>
                <w:szCs w:val="16"/>
                <w:color w:val="auto"/>
              </w:rPr>
            </w:pPr>
          </w:p>
        </w:tc>
        <w:tc>
          <w:tcPr>
            <w:tcW w:w="222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0</w:t>
            </w:r>
          </w:p>
        </w:tc>
      </w:tr>
      <w:tr>
        <w:trPr>
          <w:trHeight w:val="185"/>
        </w:trPr>
        <w:tc>
          <w:tcPr>
            <w:tcW w:w="2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48,378</w:t>
            </w:r>
          </w:p>
        </w:tc>
        <w:tc>
          <w:tcPr>
            <w:tcW w:w="860" w:type="dxa"/>
            <w:vAlign w:val="bottom"/>
          </w:tcPr>
          <w:p>
            <w:pPr>
              <w:spacing w:after="0"/>
              <w:rPr>
                <w:sz w:val="16"/>
                <w:szCs w:val="16"/>
                <w:color w:val="auto"/>
              </w:rPr>
            </w:pPr>
          </w:p>
        </w:tc>
        <w:tc>
          <w:tcPr>
            <w:tcW w:w="2220" w:type="dxa"/>
            <w:vAlign w:val="bottom"/>
          </w:tcPr>
          <w:p>
            <w:pPr>
              <w:jc w:val="right"/>
              <w:ind w:right="1180"/>
              <w:spacing w:after="0"/>
              <w:rPr>
                <w:sz w:val="20"/>
                <w:szCs w:val="20"/>
                <w:color w:val="auto"/>
              </w:rPr>
            </w:pPr>
            <w:r>
              <w:rPr>
                <w:rFonts w:ascii="Courier New" w:cs="Courier New" w:eastAsia="Courier New" w:hAnsi="Courier New"/>
                <w:sz w:val="16"/>
                <w:szCs w:val="16"/>
                <w:color w:val="auto"/>
              </w:rPr>
              <w:t>98,525</w:t>
            </w:r>
          </w:p>
        </w:tc>
      </w:tr>
      <w:tr>
        <w:trPr>
          <w:trHeight w:val="185"/>
        </w:trPr>
        <w:tc>
          <w:tcPr>
            <w:tcW w:w="2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173,633</w:t>
            </w:r>
          </w:p>
        </w:tc>
        <w:tc>
          <w:tcPr>
            <w:tcW w:w="860" w:type="dxa"/>
            <w:vAlign w:val="bottom"/>
          </w:tcPr>
          <w:p>
            <w:pPr>
              <w:spacing w:after="0"/>
              <w:rPr>
                <w:sz w:val="16"/>
                <w:szCs w:val="16"/>
                <w:color w:val="auto"/>
              </w:rPr>
            </w:pPr>
          </w:p>
        </w:tc>
        <w:tc>
          <w:tcPr>
            <w:tcW w:w="22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352,015</w:t>
            </w:r>
          </w:p>
        </w:tc>
      </w:tr>
      <w:tr>
        <w:trPr>
          <w:trHeight w:val="185"/>
        </w:trPr>
        <w:tc>
          <w:tcPr>
            <w:tcW w:w="230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Courier New" w:cs="Courier New" w:eastAsia="Courier New" w:hAnsi="Courier New"/>
                <w:sz w:val="16"/>
                <w:szCs w:val="16"/>
                <w:color w:val="auto"/>
              </w:rPr>
              <w:t>0</w:t>
            </w:r>
          </w:p>
        </w:tc>
        <w:tc>
          <w:tcPr>
            <w:tcW w:w="22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26,757</w:t>
            </w:r>
          </w:p>
        </w:tc>
      </w:tr>
      <w:tr>
        <w:trPr>
          <w:trHeight w:val="185"/>
        </w:trPr>
        <w:tc>
          <w:tcPr>
            <w:tcW w:w="23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173,633</w:t>
            </w:r>
          </w:p>
        </w:tc>
        <w:tc>
          <w:tcPr>
            <w:tcW w:w="860" w:type="dxa"/>
            <w:vAlign w:val="bottom"/>
          </w:tcPr>
          <w:p>
            <w:pPr>
              <w:spacing w:after="0"/>
              <w:rPr>
                <w:sz w:val="16"/>
                <w:szCs w:val="16"/>
                <w:color w:val="auto"/>
              </w:rPr>
            </w:pPr>
          </w:p>
        </w:tc>
        <w:tc>
          <w:tcPr>
            <w:tcW w:w="2220" w:type="dxa"/>
            <w:vAlign w:val="bottom"/>
          </w:tcPr>
          <w:p>
            <w:pPr>
              <w:jc w:val="right"/>
              <w:ind w:right="1280"/>
              <w:spacing w:after="0"/>
              <w:rPr>
                <w:sz w:val="20"/>
                <w:szCs w:val="20"/>
                <w:color w:val="auto"/>
              </w:rPr>
            </w:pPr>
            <w:r>
              <w:rPr>
                <w:rFonts w:ascii="Courier New" w:cs="Courier New" w:eastAsia="Courier New" w:hAnsi="Courier New"/>
                <w:sz w:val="16"/>
                <w:szCs w:val="16"/>
                <w:color w:val="auto"/>
              </w:rPr>
              <w:t>325,258</w:t>
            </w:r>
          </w:p>
        </w:tc>
      </w:tr>
      <w:tr>
        <w:trPr>
          <w:trHeight w:val="185"/>
        </w:trPr>
        <w:tc>
          <w:tcPr>
            <w:tcW w:w="2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w:t>
            </w:r>
          </w:p>
        </w:tc>
        <w:tc>
          <w:tcPr>
            <w:tcW w:w="860" w:type="dxa"/>
            <w:vAlign w:val="bottom"/>
          </w:tcPr>
          <w:p>
            <w:pPr>
              <w:spacing w:after="0"/>
              <w:rPr>
                <w:sz w:val="16"/>
                <w:szCs w:val="16"/>
                <w:color w:val="auto"/>
              </w:rPr>
            </w:pPr>
          </w:p>
        </w:tc>
        <w:tc>
          <w:tcPr>
            <w:tcW w:w="222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0</w:t>
            </w:r>
          </w:p>
        </w:tc>
      </w:tr>
      <w:tr>
        <w:trPr>
          <w:trHeight w:val="185"/>
        </w:trPr>
        <w:tc>
          <w:tcPr>
            <w:tcW w:w="2300" w:type="dxa"/>
            <w:vAlign w:val="bottom"/>
          </w:tcPr>
          <w:p>
            <w:pPr>
              <w:jc w:val="center"/>
              <w:ind w:left="1720"/>
              <w:spacing w:after="0"/>
              <w:rPr>
                <w:sz w:val="20"/>
                <w:szCs w:val="20"/>
                <w:color w:val="auto"/>
              </w:rPr>
            </w:pPr>
            <w:r>
              <w:rPr>
                <w:rFonts w:ascii="Courier New" w:cs="Courier New" w:eastAsia="Courier New" w:hAnsi="Courier New"/>
                <w:sz w:val="16"/>
                <w:szCs w:val="16"/>
                <w:color w:val="auto"/>
              </w:rPr>
              <w:t>0</w:t>
            </w:r>
          </w:p>
        </w:tc>
        <w:tc>
          <w:tcPr>
            <w:tcW w:w="860" w:type="dxa"/>
            <w:vAlign w:val="bottom"/>
          </w:tcPr>
          <w:p>
            <w:pPr>
              <w:spacing w:after="0"/>
              <w:rPr>
                <w:sz w:val="16"/>
                <w:szCs w:val="16"/>
                <w:color w:val="auto"/>
              </w:rPr>
            </w:pPr>
          </w:p>
        </w:tc>
        <w:tc>
          <w:tcPr>
            <w:tcW w:w="22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0</w:t>
            </w:r>
          </w:p>
        </w:tc>
      </w:tr>
      <w:tr>
        <w:trPr>
          <w:trHeight w:val="185"/>
        </w:trPr>
        <w:tc>
          <w:tcPr>
            <w:tcW w:w="2300" w:type="dxa"/>
            <w:vAlign w:val="bottom"/>
          </w:tcPr>
          <w:p>
            <w:pPr>
              <w:spacing w:after="0"/>
              <w:rPr>
                <w:sz w:val="16"/>
                <w:szCs w:val="16"/>
                <w:color w:val="auto"/>
              </w:rPr>
            </w:pPr>
          </w:p>
        </w:tc>
        <w:tc>
          <w:tcPr>
            <w:tcW w:w="8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0</w:t>
            </w:r>
          </w:p>
        </w:tc>
        <w:tc>
          <w:tcPr>
            <w:tcW w:w="2220" w:type="dxa"/>
            <w:vAlign w:val="bottom"/>
          </w:tcPr>
          <w:p>
            <w:pPr>
              <w:jc w:val="center"/>
              <w:ind w:left="1260"/>
              <w:spacing w:after="0"/>
              <w:rPr>
                <w:sz w:val="20"/>
                <w:szCs w:val="20"/>
                <w:color w:val="auto"/>
              </w:rPr>
            </w:pPr>
            <w:r>
              <w:rPr>
                <w:rFonts w:ascii="Courier New" w:cs="Courier New" w:eastAsia="Courier New" w:hAnsi="Courier New"/>
                <w:sz w:val="16"/>
                <w:szCs w:val="16"/>
                <w:color w:val="auto"/>
                <w:w w:val="82"/>
              </w:rPr>
              <w:t>0</w:t>
            </w:r>
          </w:p>
        </w:tc>
      </w:tr>
      <w:tr>
        <w:trPr>
          <w:trHeight w:val="185"/>
        </w:trPr>
        <w:tc>
          <w:tcPr>
            <w:tcW w:w="3160" w:type="dxa"/>
            <w:vAlign w:val="bottom"/>
            <w:gridSpan w:val="2"/>
          </w:tcPr>
          <w:p>
            <w:pPr>
              <w:jc w:val="center"/>
              <w:ind w:left="880"/>
              <w:spacing w:after="0"/>
              <w:rPr>
                <w:sz w:val="20"/>
                <w:szCs w:val="20"/>
                <w:color w:val="auto"/>
              </w:rPr>
            </w:pPr>
            <w:r>
              <w:rPr>
                <w:rFonts w:ascii="Courier New" w:cs="Courier New" w:eastAsia="Courier New" w:hAnsi="Courier New"/>
                <w:sz w:val="16"/>
                <w:szCs w:val="16"/>
                <w:color w:val="auto"/>
              </w:rPr>
              <w:t>173,633</w:t>
            </w:r>
          </w:p>
        </w:tc>
        <w:tc>
          <w:tcPr>
            <w:tcW w:w="22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325,258</w:t>
            </w:r>
          </w:p>
        </w:tc>
      </w:tr>
      <w:tr>
        <w:trPr>
          <w:trHeight w:val="185"/>
        </w:trPr>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860" w:type="dxa"/>
            <w:vAlign w:val="bottom"/>
          </w:tcPr>
          <w:p>
            <w:pPr>
              <w:spacing w:after="0"/>
              <w:rPr>
                <w:sz w:val="16"/>
                <w:szCs w:val="16"/>
                <w:color w:val="auto"/>
              </w:rPr>
            </w:pPr>
          </w:p>
        </w:tc>
        <w:tc>
          <w:tcPr>
            <w:tcW w:w="222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0.04</w:t>
            </w:r>
          </w:p>
        </w:tc>
      </w:tr>
      <w:tr>
        <w:trPr>
          <w:trHeight w:val="185"/>
        </w:trPr>
        <w:tc>
          <w:tcPr>
            <w:tcW w:w="230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860" w:type="dxa"/>
            <w:vAlign w:val="bottom"/>
          </w:tcPr>
          <w:p>
            <w:pPr>
              <w:spacing w:after="0"/>
              <w:rPr>
                <w:sz w:val="16"/>
                <w:szCs w:val="16"/>
                <w:color w:val="auto"/>
              </w:rPr>
            </w:pPr>
          </w:p>
        </w:tc>
        <w:tc>
          <w:tcPr>
            <w:tcW w:w="222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0.04</w:t>
            </w:r>
          </w:p>
        </w:tc>
      </w:tr>
    </w:tbl>
    <w:p>
      <w:pPr>
        <w:spacing w:after="0" w:line="1" w:lineRule="exact"/>
        <w:rPr>
          <w:sz w:val="20"/>
          <w:szCs w:val="20"/>
          <w:color w:val="auto"/>
        </w:rPr>
      </w:pPr>
    </w:p>
    <w:sectPr>
      <w:pgSz w:w="11900" w:h="16838" w:orient="portrait"/>
      <w:cols w:equalWidth="0" w:num="1">
        <w:col w:w="10199"/>
      </w:cols>
      <w:pgMar w:left="260" w:top="5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lvl w:ilvl="1">
      <w:lvlJc w:val="left"/>
      <w:lvlText w:val="(%2)"/>
      <w:numFmt w:val="decimal"/>
      <w:start w:val="11"/>
    </w:lvl>
  </w:abstractNum>
  <w:abstractNum w:abstractNumId="2">
    <w:nsid w:val="2AE8944A"/>
    <w:multiLevelType w:val="hybridMultilevel"/>
    <w:lvl w:ilvl="0">
      <w:lvlJc w:val="left"/>
      <w:lvlText w:val="%1"/>
      <w:numFmt w:val="lowerLetter"/>
      <w:start w:val="1"/>
    </w:lvl>
    <w:lvl w:ilvl="1">
      <w:lvlJc w:val="left"/>
      <w:lvlText w:val="(%2)"/>
      <w:numFmt w:val="decimal"/>
      <w:start w:val="27"/>
    </w:lvl>
  </w:abstractNum>
  <w:abstractNum w:abstractNumId="3">
    <w:nsid w:val="625558EC"/>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2019-12-13T17:48:52Z</dcterms:created>
  <dcterms:modified xsi:type="dcterms:W3CDTF">2019-12-13T17:48:52Z</dcterms:modified>
</cp:coreProperties>
</file>