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SWDocIDLayout57SWDocIDLocation0SWInitialSave-1</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12b-25</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LATE FILING</w:t>
      </w:r>
    </w:p>
    <w:p>
      <w:pPr>
        <w:spacing w:after="0" w:line="200" w:lineRule="exact"/>
        <w:rPr>
          <w:sz w:val="24"/>
          <w:szCs w:val="24"/>
          <w:color w:val="auto"/>
        </w:rPr>
      </w:pPr>
    </w:p>
    <w:p>
      <w:pPr>
        <w:spacing w:after="0" w:line="28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w w:val="99"/>
              </w:rPr>
              <w:t>(CHECK ONE):   o Form 10-K</w:t>
            </w:r>
          </w:p>
        </w:tc>
        <w:tc>
          <w:tcPr>
            <w:tcW w:w="2580" w:type="dxa"/>
            <w:vAlign w:val="bottom"/>
          </w:tcPr>
          <w:p>
            <w:pPr>
              <w:ind w:left="1140"/>
              <w:spacing w:after="0"/>
              <w:rPr>
                <w:sz w:val="20"/>
                <w:szCs w:val="20"/>
                <w:color w:val="auto"/>
              </w:rPr>
            </w:pPr>
            <w:r>
              <w:rPr>
                <w:rFonts w:ascii="Arial" w:cs="Arial" w:eastAsia="Arial" w:hAnsi="Arial"/>
                <w:sz w:val="18"/>
                <w:szCs w:val="18"/>
                <w:color w:val="auto"/>
              </w:rPr>
              <w:t>o Form 20-F</w:t>
            </w:r>
          </w:p>
        </w:tc>
        <w:tc>
          <w:tcPr>
            <w:tcW w:w="1700" w:type="dxa"/>
            <w:vAlign w:val="bottom"/>
          </w:tcPr>
          <w:p>
            <w:pPr>
              <w:ind w:left="520"/>
              <w:spacing w:after="0"/>
              <w:rPr>
                <w:sz w:val="20"/>
                <w:szCs w:val="20"/>
                <w:color w:val="auto"/>
              </w:rPr>
            </w:pPr>
            <w:r>
              <w:rPr>
                <w:rFonts w:ascii="Arial" w:cs="Arial" w:eastAsia="Arial" w:hAnsi="Arial"/>
                <w:sz w:val="18"/>
                <w:szCs w:val="18"/>
                <w:color w:val="auto"/>
              </w:rPr>
              <w:t>o Form 11-K</w:t>
            </w:r>
          </w:p>
        </w:tc>
        <w:tc>
          <w:tcPr>
            <w:tcW w:w="1520" w:type="dxa"/>
            <w:vAlign w:val="bottom"/>
          </w:tcPr>
          <w:p>
            <w:pPr>
              <w:ind w:left="260"/>
              <w:spacing w:after="0"/>
              <w:rPr>
                <w:sz w:val="20"/>
                <w:szCs w:val="20"/>
                <w:color w:val="auto"/>
              </w:rPr>
            </w:pPr>
            <w:r>
              <w:rPr>
                <w:rFonts w:ascii="Arial" w:cs="Arial" w:eastAsia="Arial" w:hAnsi="Arial"/>
                <w:sz w:val="18"/>
                <w:szCs w:val="18"/>
                <w:color w:val="auto"/>
              </w:rPr>
              <w:t>x Form 10-Q</w:t>
            </w:r>
          </w:p>
        </w:tc>
        <w:tc>
          <w:tcPr>
            <w:tcW w:w="2160" w:type="dxa"/>
            <w:vAlign w:val="bottom"/>
          </w:tcPr>
          <w:p>
            <w:pPr>
              <w:ind w:left="300"/>
              <w:spacing w:after="0"/>
              <w:rPr>
                <w:sz w:val="20"/>
                <w:szCs w:val="20"/>
                <w:color w:val="auto"/>
              </w:rPr>
            </w:pPr>
            <w:r>
              <w:rPr>
                <w:rFonts w:ascii="Arial" w:cs="Arial" w:eastAsia="Arial" w:hAnsi="Arial"/>
                <w:sz w:val="18"/>
                <w:szCs w:val="18"/>
                <w:color w:val="auto"/>
              </w:rPr>
              <w:t>o Form N-SAR</w:t>
            </w:r>
          </w:p>
        </w:tc>
      </w:tr>
      <w:tr>
        <w:trPr>
          <w:trHeight w:val="445"/>
        </w:trPr>
        <w:tc>
          <w:tcPr>
            <w:tcW w:w="2400" w:type="dxa"/>
            <w:vAlign w:val="bottom"/>
          </w:tcPr>
          <w:p>
            <w:pPr>
              <w:ind w:left="1560"/>
              <w:spacing w:after="0"/>
              <w:rPr>
                <w:sz w:val="20"/>
                <w:szCs w:val="20"/>
                <w:color w:val="auto"/>
              </w:rPr>
            </w:pPr>
            <w:r>
              <w:rPr>
                <w:rFonts w:ascii="Arial" w:cs="Arial" w:eastAsia="Arial" w:hAnsi="Arial"/>
                <w:sz w:val="18"/>
                <w:szCs w:val="18"/>
                <w:color w:val="auto"/>
                <w:w w:val="97"/>
              </w:rPr>
              <w:t>For Period</w:t>
            </w:r>
          </w:p>
        </w:tc>
        <w:tc>
          <w:tcPr>
            <w:tcW w:w="2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7"/>
        </w:trPr>
        <w:tc>
          <w:tcPr>
            <w:tcW w:w="2400" w:type="dxa"/>
            <w:vAlign w:val="bottom"/>
          </w:tcPr>
          <w:p>
            <w:pPr>
              <w:ind w:left="1560"/>
              <w:spacing w:after="0"/>
              <w:rPr>
                <w:sz w:val="20"/>
                <w:szCs w:val="20"/>
                <w:color w:val="auto"/>
              </w:rPr>
            </w:pPr>
            <w:r>
              <w:rPr>
                <w:rFonts w:ascii="Arial" w:cs="Arial" w:eastAsia="Arial" w:hAnsi="Arial"/>
                <w:sz w:val="18"/>
                <w:szCs w:val="18"/>
                <w:color w:val="auto"/>
              </w:rPr>
              <w:t>Ended:</w:t>
            </w: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2011</w:t>
            </w:r>
          </w:p>
        </w:tc>
        <w:tc>
          <w:tcPr>
            <w:tcW w:w="17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r>
    </w:tbl>
    <w:p>
      <w:pPr>
        <w:spacing w:after="0" w:line="22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Transition Report on Form 10-K</w:t>
      </w:r>
    </w:p>
    <w:p>
      <w:pPr>
        <w:spacing w:after="0" w:line="23"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Transition Report on Form 20-F</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Transition Report on Form 11-K</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Transition Report on Form 10-Q</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Transition Report on Form N-SAR</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For the Transaction Period Ended:</w:t>
      </w:r>
    </w:p>
    <w:p>
      <w:pPr>
        <w:spacing w:after="0" w:line="200" w:lineRule="exact"/>
        <w:rPr>
          <w:sz w:val="24"/>
          <w:szCs w:val="24"/>
          <w:color w:val="auto"/>
        </w:rPr>
      </w:pPr>
    </w:p>
    <w:p>
      <w:pPr>
        <w:spacing w:after="0" w:line="254" w:lineRule="exact"/>
        <w:rPr>
          <w:sz w:val="24"/>
          <w:szCs w:val="24"/>
          <w:color w:val="auto"/>
        </w:rPr>
      </w:pPr>
    </w:p>
    <w:p>
      <w:pPr>
        <w:jc w:val="both"/>
        <w:ind w:right="920"/>
        <w:spacing w:after="0" w:line="243" w:lineRule="auto"/>
        <w:rPr>
          <w:sz w:val="20"/>
          <w:szCs w:val="20"/>
          <w:color w:val="auto"/>
        </w:rPr>
      </w:pPr>
      <w:r>
        <w:rPr>
          <w:rFonts w:ascii="Arial" w:cs="Arial" w:eastAsia="Arial" w:hAnsi="Arial"/>
          <w:sz w:val="22"/>
          <w:szCs w:val="22"/>
          <w:b w:val="1"/>
          <w:bCs w:val="1"/>
          <w:i w:val="1"/>
          <w:iCs w:val="1"/>
          <w:color w:val="auto"/>
        </w:rPr>
        <w:t xml:space="preserve">READ INSTRUCTION (ON BACK PAGE) BEFORE PREPARING FORM. PLEASE PRINT OR TYPE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NOTHING IN THIS FORM SHALL BE CONSTRUED TO IMPLY THAT THE COMMISSION HAS VERIFIED ANY INFORMATION CONTAINED HEREIN.</w:t>
      </w:r>
    </w:p>
    <w:p>
      <w:pPr>
        <w:spacing w:after="0" w:line="210" w:lineRule="exact"/>
        <w:rPr>
          <w:sz w:val="24"/>
          <w:szCs w:val="24"/>
          <w:color w:val="auto"/>
        </w:rPr>
      </w:pPr>
    </w:p>
    <w:p>
      <w:pPr>
        <w:spacing w:after="0"/>
        <w:rPr>
          <w:sz w:val="20"/>
          <w:szCs w:val="20"/>
          <w:color w:val="auto"/>
        </w:rPr>
      </w:pPr>
      <w:r>
        <w:rPr>
          <w:rFonts w:ascii="Arial" w:cs="Arial" w:eastAsia="Arial" w:hAnsi="Arial"/>
          <w:sz w:val="19"/>
          <w:szCs w:val="19"/>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PART I - REGISTRANT INFORMATION</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65862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Former Name if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Address of Principal Executive Office (Street and Number)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City, State and Zip Code</w:t>
      </w:r>
    </w:p>
    <w:p>
      <w:pPr>
        <w:sectPr>
          <w:pgSz w:w="11900" w:h="16838" w:orient="portrait"/>
          <w:cols w:equalWidth="0" w:num="1">
            <w:col w:w="10380"/>
          </w:cols>
          <w:pgMar w:left="240" w:top="226" w:right="1279" w:bottom="1440" w:gutter="0" w:footer="0" w:header="0"/>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PART II - RULES 12b-25(b) AND (c)</w:t>
      </w:r>
    </w:p>
    <w:p>
      <w:pPr>
        <w:spacing w:after="0" w:line="23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If the subject report could not be filed without unreasonable effort or expense and the registrant seeks relief pursuant to Rule 12b-25(b), the following should be completed. (Check box if appropriate)</w:t>
      </w:r>
    </w:p>
    <w:p>
      <w:pPr>
        <w:spacing w:after="0" w:line="207" w:lineRule="exact"/>
        <w:rPr>
          <w:sz w:val="20"/>
          <w:szCs w:val="20"/>
          <w:color w:val="auto"/>
        </w:rPr>
      </w:pPr>
    </w:p>
    <w:p>
      <w:pPr>
        <w:ind w:left="1220" w:right="520" w:hanging="768"/>
        <w:spacing w:after="0" w:line="258"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(a)The reasons described in reasonable detail in Part III of this form could not be eliminated without unreasonable effort or expense;</w:t>
      </w:r>
    </w:p>
    <w:p>
      <w:pPr>
        <w:spacing w:after="0" w:line="1" w:lineRule="exact"/>
        <w:rPr>
          <w:rFonts w:ascii="Arial" w:cs="Arial" w:eastAsia="Arial" w:hAnsi="Arial"/>
          <w:sz w:val="18"/>
          <w:szCs w:val="18"/>
          <w:color w:val="auto"/>
        </w:rPr>
      </w:pPr>
    </w:p>
    <w:p>
      <w:pPr>
        <w:jc w:val="right"/>
        <w:ind w:left="1220" w:right="200" w:hanging="768"/>
        <w:spacing w:after="0" w:line="281"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The subject annual report, semi-annual report, transition report on Form 10-K, Form 20-F, 11-K or Form N-SAR, or portion thereof, will be filed on or before the fifteenth calendar day following the prescribed due date; or the subject quarterly report</w:t>
      </w:r>
    </w:p>
    <w:p>
      <w:pPr>
        <w:spacing w:after="0" w:line="1" w:lineRule="exact"/>
        <w:rPr>
          <w:sz w:val="20"/>
          <w:szCs w:val="20"/>
          <w:color w:val="auto"/>
        </w:rPr>
      </w:pPr>
    </w:p>
    <w:p>
      <w:pPr>
        <w:ind w:left="1220" w:right="160"/>
        <w:spacing w:after="0" w:line="250" w:lineRule="auto"/>
        <w:rPr>
          <w:sz w:val="20"/>
          <w:szCs w:val="20"/>
          <w:color w:val="auto"/>
        </w:rPr>
      </w:pPr>
      <w:r>
        <w:rPr>
          <w:rFonts w:ascii="Arial" w:cs="Arial" w:eastAsia="Arial" w:hAnsi="Arial"/>
          <w:sz w:val="18"/>
          <w:szCs w:val="18"/>
          <w:color w:val="auto"/>
        </w:rPr>
        <w:t>or transition report on Form 10-Q, or portion thereof will be filed on or before the fifth calendar day following the prescribed due date; and</w:t>
      </w:r>
    </w:p>
    <w:p>
      <w:pPr>
        <w:spacing w:after="0" w:line="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o (c)</w:t>
      </w:r>
      <w:r>
        <w:rPr>
          <w:sz w:val="20"/>
          <w:szCs w:val="20"/>
          <w:color w:val="auto"/>
        </w:rPr>
        <w:tab/>
      </w:r>
      <w:r>
        <w:rPr>
          <w:rFonts w:ascii="Arial" w:cs="Arial" w:eastAsia="Arial" w:hAnsi="Arial"/>
          <w:sz w:val="16"/>
          <w:szCs w:val="16"/>
          <w:color w:val="auto"/>
        </w:rPr>
        <w:t>The accountant’s statement or other exhibit required by Rule 12b-25(c) has been attached if applicable.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 - NARRATIVE</w:t>
      </w:r>
    </w:p>
    <w:p>
      <w:pPr>
        <w:spacing w:after="0" w:line="239" w:lineRule="exact"/>
        <w:rPr>
          <w:sz w:val="20"/>
          <w:szCs w:val="20"/>
          <w:color w:val="auto"/>
        </w:rPr>
      </w:pPr>
    </w:p>
    <w:p>
      <w:pPr>
        <w:jc w:val="right"/>
        <w:ind w:left="440"/>
        <w:spacing w:after="0" w:line="251" w:lineRule="auto"/>
        <w:rPr>
          <w:sz w:val="20"/>
          <w:szCs w:val="20"/>
          <w:color w:val="auto"/>
        </w:rPr>
      </w:pPr>
      <w:r>
        <w:rPr>
          <w:rFonts w:ascii="Arial" w:cs="Arial" w:eastAsia="Arial" w:hAnsi="Arial"/>
          <w:sz w:val="22"/>
          <w:szCs w:val="22"/>
          <w:color w:val="auto"/>
        </w:rPr>
        <w:t>State below in reasonable detail the reasons why Forms 10-K, 20-F, 11-K, 10-Q, N-SAR, or the transition report or portion thereof, could not be filed within the prescribed time period.</w:t>
      </w:r>
    </w:p>
    <w:p>
      <w:pPr>
        <w:spacing w:after="0" w:line="200" w:lineRule="exact"/>
        <w:rPr>
          <w:sz w:val="20"/>
          <w:szCs w:val="20"/>
          <w:color w:val="auto"/>
        </w:rPr>
      </w:pPr>
    </w:p>
    <w:p>
      <w:pPr>
        <w:ind w:right="60" w:firstLine="824"/>
        <w:spacing w:after="0" w:line="238" w:lineRule="auto"/>
        <w:rPr>
          <w:sz w:val="20"/>
          <w:szCs w:val="20"/>
          <w:color w:val="auto"/>
        </w:rPr>
      </w:pPr>
      <w:r>
        <w:rPr>
          <w:rFonts w:ascii="Arial" w:cs="Arial" w:eastAsia="Arial" w:hAnsi="Arial"/>
          <w:sz w:val="22"/>
          <w:szCs w:val="22"/>
          <w:color w:val="auto"/>
        </w:rPr>
        <w:t>ClearOne Communications, Inc. (the “Company”) was unable to file its Form 10-Q for the period ended March 31, 2011 by the cutoff time necessary to receive a May 16, 2011 filing date, the prescribed due date. The reason for the filing delay was a technical error with the Company’s filing system. The Company filed its Form 10-Q for the period ended March 31, 2011 on May 17, 2011.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 - OTHER INFORMATION</w:t>
      </w:r>
    </w:p>
    <w:p>
      <w:pPr>
        <w:spacing w:after="0" w:line="246" w:lineRule="exact"/>
        <w:rPr>
          <w:sz w:val="20"/>
          <w:szCs w:val="20"/>
          <w:color w:val="auto"/>
        </w:rPr>
      </w:pPr>
    </w:p>
    <w:p>
      <w:pPr>
        <w:ind w:left="420" w:hanging="405"/>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37"/>
        </w:trPr>
        <w:tc>
          <w:tcPr>
            <w:tcW w:w="2900" w:type="dxa"/>
            <w:vAlign w:val="bottom"/>
          </w:tcPr>
          <w:p>
            <w:pPr>
              <w:jc w:val="center"/>
              <w:spacing w:after="0"/>
              <w:rPr>
                <w:sz w:val="20"/>
                <w:szCs w:val="20"/>
                <w:color w:val="auto"/>
              </w:rPr>
            </w:pPr>
            <w:r>
              <w:rPr>
                <w:rFonts w:ascii="Arial" w:cs="Arial" w:eastAsia="Arial" w:hAnsi="Arial"/>
                <w:sz w:val="18"/>
                <w:szCs w:val="18"/>
                <w:color w:val="auto"/>
                <w:w w:val="90"/>
              </w:rPr>
              <w:t>Narsi Narayanan</w:t>
            </w:r>
          </w:p>
        </w:tc>
        <w:tc>
          <w:tcPr>
            <w:tcW w:w="3520" w:type="dxa"/>
            <w:vAlign w:val="bottom"/>
            <w:gridSpan w:val="2"/>
          </w:tcPr>
          <w:p>
            <w:pPr>
              <w:jc w:val="right"/>
              <w:ind w:right="1450"/>
              <w:spacing w:after="0"/>
              <w:rPr>
                <w:sz w:val="20"/>
                <w:szCs w:val="20"/>
                <w:color w:val="auto"/>
              </w:rPr>
            </w:pPr>
            <w:r>
              <w:rPr>
                <w:rFonts w:ascii="Arial" w:cs="Arial" w:eastAsia="Arial" w:hAnsi="Arial"/>
                <w:sz w:val="18"/>
                <w:szCs w:val="18"/>
                <w:color w:val="auto"/>
              </w:rPr>
              <w:t>801</w:t>
            </w:r>
          </w:p>
        </w:tc>
        <w:tc>
          <w:tcPr>
            <w:tcW w:w="3500" w:type="dxa"/>
            <w:vAlign w:val="bottom"/>
            <w:gridSpan w:val="2"/>
          </w:tcPr>
          <w:p>
            <w:pPr>
              <w:jc w:val="right"/>
              <w:ind w:right="1230"/>
              <w:spacing w:after="0"/>
              <w:rPr>
                <w:sz w:val="20"/>
                <w:szCs w:val="20"/>
                <w:color w:val="auto"/>
              </w:rPr>
            </w:pPr>
            <w:r>
              <w:rPr>
                <w:rFonts w:ascii="Arial" w:cs="Arial" w:eastAsia="Arial" w:hAnsi="Arial"/>
                <w:sz w:val="18"/>
                <w:szCs w:val="18"/>
                <w:color w:val="auto"/>
              </w:rPr>
              <w:t>975-7200</w:t>
            </w:r>
          </w:p>
        </w:tc>
      </w:tr>
      <w:tr>
        <w:trPr>
          <w:trHeight w:val="230"/>
        </w:trPr>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20" w:type="dxa"/>
            <w:vAlign w:val="bottom"/>
          </w:tcPr>
          <w:p>
            <w:pPr>
              <w:spacing w:after="0"/>
              <w:rPr>
                <w:sz w:val="20"/>
                <w:szCs w:val="20"/>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00" w:type="dxa"/>
            <w:vAlign w:val="bottom"/>
          </w:tcPr>
          <w:p>
            <w:pPr>
              <w:spacing w:after="0"/>
              <w:rPr>
                <w:sz w:val="20"/>
                <w:szCs w:val="20"/>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214" w:lineRule="exact"/>
        <w:rPr>
          <w:sz w:val="20"/>
          <w:szCs w:val="20"/>
          <w:color w:val="auto"/>
        </w:rPr>
      </w:pPr>
    </w:p>
    <w:p>
      <w:pPr>
        <w:ind w:left="420" w:right="40" w:hanging="412"/>
        <w:spacing w:after="0" w:line="255"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sz w:val="20"/>
          <w:szCs w:val="20"/>
          <w:color w:val="auto"/>
        </w:rPr>
      </w:pPr>
    </w:p>
    <w:p>
      <w:pPr>
        <w:ind w:left="20"/>
        <w:spacing w:after="0"/>
        <w:tabs>
          <w:tab w:leader="none" w:pos="9980" w:val="left"/>
        </w:tabs>
        <w:rPr>
          <w:sz w:val="20"/>
          <w:szCs w:val="20"/>
          <w:color w:val="auto"/>
        </w:rPr>
      </w:pPr>
      <w:r>
        <w:rPr>
          <w:rFonts w:ascii="Arial" w:cs="Arial" w:eastAsia="Arial" w:hAnsi="Arial"/>
          <w:sz w:val="20"/>
          <w:szCs w:val="20"/>
          <w:color w:val="auto"/>
        </w:rPr>
        <w:t xml:space="preserve">x </w:t>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o No</w:t>
      </w:r>
    </w:p>
    <w:p>
      <w:pPr>
        <w:spacing w:after="0" w:line="229" w:lineRule="exact"/>
        <w:rPr>
          <w:sz w:val="20"/>
          <w:szCs w:val="20"/>
          <w:color w:val="auto"/>
        </w:rPr>
      </w:pPr>
    </w:p>
    <w:p>
      <w:pPr>
        <w:ind w:left="420" w:right="140" w:hanging="412"/>
        <w:spacing w:after="0" w:line="25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ind w:left="60"/>
        <w:spacing w:after="0"/>
        <w:tabs>
          <w:tab w:leader="none" w:pos="998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7"/>
          <w:szCs w:val="17"/>
          <w:color w:val="auto"/>
        </w:rPr>
        <w:t>o No</w:t>
      </w:r>
    </w:p>
    <w:p>
      <w:pPr>
        <w:spacing w:after="0" w:line="251" w:lineRule="exact"/>
        <w:rPr>
          <w:sz w:val="20"/>
          <w:szCs w:val="20"/>
          <w:color w:val="auto"/>
        </w:rPr>
      </w:pPr>
    </w:p>
    <w:p>
      <w:pPr>
        <w:ind w:left="420" w:right="4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0" w:lineRule="exact"/>
        <w:rPr>
          <w:sz w:val="20"/>
          <w:szCs w:val="20"/>
          <w:color w:val="auto"/>
        </w:rPr>
      </w:pPr>
    </w:p>
    <w:p>
      <w:pPr>
        <w:ind w:right="140" w:firstLine="648"/>
        <w:spacing w:after="0" w:line="245" w:lineRule="auto"/>
        <w:rPr>
          <w:sz w:val="20"/>
          <w:szCs w:val="20"/>
          <w:color w:val="auto"/>
        </w:rPr>
      </w:pPr>
      <w:r>
        <w:rPr>
          <w:rFonts w:ascii="Arial" w:cs="Arial" w:eastAsia="Arial" w:hAnsi="Arial"/>
          <w:sz w:val="21"/>
          <w:szCs w:val="21"/>
          <w:color w:val="auto"/>
        </w:rPr>
        <w:t>The Company filed its Form 10-Q for the period ended March 31, 2011 on May 17, 2011. The Company reported revenues of $10.7 million for the quarter ended March 31, 2011, compared to $8.4 million for same period in 2010, an increase of approximately 28%. The Company’s gross profit increased by $1.1 million during the quarter ended March 31, 2011 compared to the quarter ended March 31, 2010. Net income increased to $812,000 during the quarter ended March 31, 2011 compared to net income of $217,000 during the quarter ended March 31, 2010. The increase in revenues and profits were the result of overall increase in demand for major product categories in all major geographic regions. A detailed discussion of the Company’s results of operations in included under Part I, Item 2. “Management’s Discussion and Analysis of Financial Condition and Results of Operations” in the Company’s Form 10-Q for the period ended March 31, 2011,</w:t>
      </w:r>
    </w:p>
    <w:p>
      <w:pPr>
        <w:sectPr>
          <w:pgSz w:w="11900" w:h="16838" w:orient="portrait"/>
          <w:cols w:equalWidth="0" w:num="1">
            <w:col w:w="10380"/>
          </w:cols>
          <w:pgMar w:left="240" w:top="261" w:right="12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has caused this notification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Date  May 17, 2011</w:t>
            </w:r>
          </w:p>
        </w:tc>
        <w:tc>
          <w:tcPr>
            <w:tcW w:w="6780" w:type="dxa"/>
            <w:vAlign w:val="bottom"/>
            <w:gridSpan w:val="2"/>
          </w:tcPr>
          <w:p>
            <w:pPr>
              <w:ind w:left="2080"/>
              <w:spacing w:after="0"/>
              <w:rPr>
                <w:sz w:val="20"/>
                <w:szCs w:val="20"/>
                <w:color w:val="auto"/>
              </w:rPr>
            </w:pPr>
            <w:r>
              <w:rPr>
                <w:rFonts w:ascii="Arial" w:cs="Arial" w:eastAsia="Arial" w:hAnsi="Arial"/>
                <w:sz w:val="18"/>
                <w:szCs w:val="18"/>
                <w:color w:val="auto"/>
              </w:rPr>
              <w:t>By:   /s/ Narsi Narayanan</w:t>
            </w:r>
          </w:p>
        </w:tc>
      </w:tr>
      <w:tr>
        <w:trPr>
          <w:trHeight w:val="230"/>
        </w:trPr>
        <w:tc>
          <w:tcPr>
            <w:tcW w:w="3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 Vice President of Finance</w:t>
            </w:r>
          </w:p>
        </w:tc>
      </w:tr>
    </w:tbl>
    <w:p>
      <w:pPr>
        <w:spacing w:after="0" w:line="200" w:lineRule="exact"/>
        <w:rPr>
          <w:sz w:val="20"/>
          <w:szCs w:val="20"/>
          <w:color w:val="auto"/>
        </w:rPr>
      </w:pPr>
    </w:p>
    <w:p>
      <w:pPr>
        <w:spacing w:after="0" w:line="24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INSTRUCTION: </w:t>
      </w:r>
      <w:r>
        <w:rPr>
          <w:rFonts w:ascii="Arial" w:cs="Arial" w:eastAsia="Arial" w:hAnsi="Arial"/>
          <w:sz w:val="19"/>
          <w:szCs w:val="19"/>
          <w:color w:val="auto"/>
        </w:rPr>
        <w:t>The form may be signed by an executive officer of the registrant or by any other duly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0" w:lineRule="exact"/>
        <w:rPr>
          <w:sz w:val="20"/>
          <w:szCs w:val="20"/>
          <w:color w:val="auto"/>
        </w:rPr>
      </w:pPr>
    </w:p>
    <w:p>
      <w:pPr>
        <w:spacing w:after="0" w:line="21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5779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796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INTENTIONAL MISSTATEMENTS OR OMISSIONS OF FACT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0380"/>
      </w:cols>
      <w:pgMar w:left="240" w:top="999"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2019-12-10T08:42:44Z</dcterms:created>
  <dcterms:modified xsi:type="dcterms:W3CDTF">2019-12-10T08:42:44Z</dcterms:modified>
</cp:coreProperties>
</file>