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40" w:right="1900" w:hanging="332"/>
        <w:spacing w:after="0" w:line="282"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2019</w:t>
      </w:r>
    </w:p>
    <w:p>
      <w:pPr>
        <w:spacing w:after="0" w:line="162" w:lineRule="exact"/>
        <w:rPr>
          <w:sz w:val="24"/>
          <w:szCs w:val="24"/>
          <w:color w:val="auto"/>
        </w:rPr>
      </w:pPr>
    </w:p>
    <w:p>
      <w:pPr>
        <w:ind w:left="340" w:right="192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8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5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5620" w:type="dxa"/>
            <w:vAlign w:val="bottom"/>
            <w:gridSpan w:val="3"/>
          </w:tcPr>
          <w:p>
            <w:pPr>
              <w:spacing w:after="0"/>
              <w:rPr>
                <w:sz w:val="20"/>
                <w:szCs w:val="20"/>
                <w:color w:val="auto"/>
              </w:rPr>
            </w:pPr>
            <w:r>
              <w:rPr>
                <w:rFonts w:ascii="Arial" w:cs="Arial" w:eastAsia="Arial" w:hAnsi="Arial"/>
                <w:sz w:val="18"/>
                <w:szCs w:val="18"/>
                <w:color w:val="auto"/>
              </w:rPr>
              <w:t>Registrant’s telephone number, including area code: (801) 975-7200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0"/>
        </w:trPr>
        <w:tc>
          <w:tcPr>
            <w:tcW w:w="3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92" w:right="239" w:bottom="144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700"/>
          </w:cols>
          <w:pgMar w:left="240" w:top="692" w:right="239" w:bottom="1440" w:gutter="0" w:footer="0" w:header="0"/>
          <w:type w:val="continuous"/>
        </w:sectPr>
      </w:pP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6120" w:type="dxa"/>
            <w:vAlign w:val="bottom"/>
          </w:tcPr>
          <w:p>
            <w:pPr>
              <w:spacing w:after="0"/>
              <w:rPr>
                <w:sz w:val="20"/>
                <w:szCs w:val="20"/>
                <w:color w:val="auto"/>
              </w:rPr>
            </w:pPr>
            <w:r>
              <w:rPr>
                <w:rFonts w:ascii="Arial" w:cs="Arial" w:eastAsia="Arial" w:hAnsi="Arial"/>
                <w:sz w:val="18"/>
                <w:szCs w:val="18"/>
                <w:b w:val="1"/>
                <w:bCs w:val="1"/>
                <w:color w:val="auto"/>
              </w:rPr>
              <w:t>Title of each class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0" w:type="dxa"/>
            <w:vAlign w:val="bottom"/>
          </w:tcPr>
          <w:p>
            <w:pPr>
              <w:spacing w:after="0"/>
              <w:rPr>
                <w:sz w:val="24"/>
                <w:szCs w:val="24"/>
                <w:color w:val="auto"/>
              </w:rPr>
            </w:pPr>
          </w:p>
        </w:tc>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6120" w:type="dxa"/>
            <w:vAlign w:val="bottom"/>
          </w:tcPr>
          <w:p>
            <w:pPr>
              <w:spacing w:after="0"/>
              <w:rPr>
                <w:sz w:val="20"/>
                <w:szCs w:val="20"/>
                <w:color w:val="auto"/>
              </w:rPr>
            </w:pPr>
            <w:r>
              <w:rPr>
                <w:rFonts w:ascii="Arial" w:cs="Arial" w:eastAsia="Arial" w:hAnsi="Arial"/>
                <w:sz w:val="18"/>
                <w:szCs w:val="18"/>
                <w:color w:val="auto"/>
              </w:rPr>
              <w:t>Common Stock, $0.001</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CLRO</w:t>
            </w:r>
          </w:p>
        </w:tc>
        <w:tc>
          <w:tcPr>
            <w:tcW w:w="4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NASDAQ Capital Market</w:t>
            </w:r>
          </w:p>
        </w:tc>
      </w:tr>
    </w:tbl>
    <w:p>
      <w:pPr>
        <w:spacing w:after="0" w:line="187"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August 14, 2019 was 16,646,323.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JUNE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044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8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312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320" w:type="dxa"/>
            <w:vAlign w:val="bottom"/>
            <w:gridSpan w:val="8"/>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0"/>
        </w:trPr>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June 30, 2019 and December 31, 2018</w:t>
              </w:r>
            </w:hyperlink>
          </w:p>
        </w:tc>
        <w:tc>
          <w:tcPr>
            <w:tcW w:w="3340" w:type="dxa"/>
            <w:vAlign w:val="bottom"/>
            <w:gridSpan w:val="3"/>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412"/>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Loss for the three and six months ended June 30, 2019 and</w:t>
              </w:r>
            </w:hyperlink>
          </w:p>
        </w:tc>
        <w:tc>
          <w:tcPr>
            <w:tcW w:w="2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20" w:type="dxa"/>
            <w:vAlign w:val="bottom"/>
            <w:gridSpan w:val="2"/>
          </w:tcPr>
          <w:p>
            <w:pPr>
              <w:ind w:left="16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2018</w:t>
              </w:r>
            </w:hyperlink>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Cash Flows for the six months ended June 30, 2019 and 2018</w:t>
              </w:r>
            </w:hyperlink>
          </w:p>
        </w:tc>
        <w:tc>
          <w:tcPr>
            <w:tcW w:w="218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412"/>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980" w:type="dxa"/>
            <w:vAlign w:val="bottom"/>
            <w:gridSpan w:val="4"/>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6080" w:type="dxa"/>
            <w:vAlign w:val="bottom"/>
            <w:gridSpan w:val="6"/>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1044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0"/>
        </w:trPr>
        <w:tc>
          <w:tcPr>
            <w:tcW w:w="7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1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10440" w:type="dxa"/>
            <w:vAlign w:val="bottom"/>
            <w:gridSpan w:val="19"/>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28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1480" w:type="dxa"/>
            <w:vAlign w:val="bottom"/>
            <w:tcBorders>
              <w:top w:val="single" w:sz="8" w:color="0000EE"/>
            </w:tcBorders>
            <w:gridSpan w:val="4"/>
          </w:tcPr>
          <w:p>
            <w:pPr>
              <w:spacing w:after="0"/>
              <w:rPr>
                <w:sz w:val="24"/>
                <w:szCs w:val="24"/>
                <w:color w:val="auto"/>
              </w:rPr>
            </w:pPr>
          </w:p>
        </w:tc>
        <w:tc>
          <w:tcPr>
            <w:tcW w:w="7620" w:type="dxa"/>
            <w:vAlign w:val="bottom"/>
            <w:gridSpan w:val="9"/>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104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0"/>
        </w:trPr>
        <w:tc>
          <w:tcPr>
            <w:tcW w:w="7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1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104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6100" w:type="dxa"/>
            <w:vAlign w:val="bottom"/>
            <w:gridSpan w:val="7"/>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8120" w:type="dxa"/>
            <w:vAlign w:val="bottom"/>
            <w:gridSpan w:val="10"/>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680" w:type="dxa"/>
            <w:vAlign w:val="bottom"/>
            <w:gridSpan w:val="11"/>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9840" w:type="dxa"/>
            <w:vAlign w:val="bottom"/>
            <w:gridSpan w:val="16"/>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453"/>
        </w:trPr>
        <w:tc>
          <w:tcPr>
            <w:tcW w:w="700" w:type="dxa"/>
            <w:vAlign w:val="bottom"/>
          </w:tcPr>
          <w:p>
            <w:pPr>
              <w:spacing w:after="0"/>
              <w:rPr>
                <w:sz w:val="24"/>
                <w:szCs w:val="24"/>
                <w:color w:val="auto"/>
              </w:rPr>
            </w:pPr>
          </w:p>
        </w:tc>
        <w:tc>
          <w:tcPr>
            <w:tcW w:w="6460" w:type="dxa"/>
            <w:vAlign w:val="bottom"/>
            <w:gridSpan w:val="15"/>
          </w:tcPr>
          <w:p>
            <w:pPr>
              <w:ind w:left="496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June 30. 2019</w:t>
            </w:r>
          </w:p>
        </w:tc>
        <w:tc>
          <w:tcPr>
            <w:tcW w:w="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$671 and $631, respectively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80" w:type="dxa"/>
            <w:vAlign w:val="bottom"/>
          </w:tcPr>
          <w:p>
            <w:pPr>
              <w:ind w:left="160"/>
              <w:spacing w:after="0" w:line="195"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25,395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34,365</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 right of use assets, net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55,907</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shd w:val="clear" w:color="auto" w:fill="CCEEFF"/>
          </w:tcPr>
          <w:p>
            <w:pPr>
              <w:jc w:val="center"/>
              <w:ind w:right="3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16,646,323 and 16,630,597 shares issued and</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(9,922)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55,907</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9"/>
              </w:rPr>
              <w:t>Three months ended June 30,</w:t>
            </w:r>
          </w:p>
        </w:tc>
        <w:tc>
          <w:tcPr>
            <w:tcW w:w="160" w:type="dxa"/>
            <w:vAlign w:val="bottom"/>
          </w:tcPr>
          <w:p>
            <w:pPr>
              <w:spacing w:after="0"/>
              <w:rPr>
                <w:sz w:val="20"/>
                <w:szCs w:val="20"/>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2,760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16,630,770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8,301,094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16,630,684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16,630,770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8,301,094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16,630,684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8,304,093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(2,005)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(4,310)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8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w w:val="89"/>
              </w:rPr>
              <w:t>Six months ended 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ind w:left="580"/>
              <w:spacing w:after="0"/>
              <w:rPr>
                <w:sz w:val="20"/>
                <w:szCs w:val="20"/>
                <w:color w:val="auto"/>
              </w:rPr>
            </w:pPr>
            <w:r>
              <w:rPr>
                <w:rFonts w:ascii="Arial" w:cs="Arial" w:eastAsia="Arial" w:hAnsi="Arial"/>
                <w:sz w:val="18"/>
                <w:szCs w:val="18"/>
                <w:b w:val="1"/>
                <w:bCs w:val="1"/>
                <w:color w:val="auto"/>
                <w:w w:val="94"/>
              </w:rPr>
              <w:t>2019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24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(4,447)</w:t>
            </w:r>
          </w:p>
        </w:tc>
        <w:tc>
          <w:tcPr>
            <w:tcW w:w="10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right-of-use assets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Amortization of deferred rent</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Provision for doubtful accounts, net</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of inventory to net realizable value</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(1,750)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(1,398)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Capitalized patent defense costs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(2,298)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(7,088)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(7,471)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Net proceeds from equity-based compensation programs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payments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Repurchase and cancellation of stock</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(8,859)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11,211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w:t>
            </w:r>
          </w:p>
        </w:tc>
        <w:tc>
          <w:tcPr>
            <w:tcW w:w="10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21"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p>
      <w:pPr>
        <w:ind w:left="8700"/>
        <w:spacing w:after="0"/>
        <w:tabs>
          <w:tab w:leader="none" w:pos="103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-130810</wp:posOffset>
            </wp:positionV>
            <wp:extent cx="2023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spacing w:after="0"/>
        <w:tabs>
          <w:tab w:leader="none" w:pos="8100" w:val="left"/>
          <w:tab w:leader="none" w:pos="9420" w:val="left"/>
          <w:tab w:leader="none" w:pos="9820" w:val="left"/>
          <w:tab w:leader="none" w:pos="11120" w:val="left"/>
        </w:tabs>
        <w:rPr>
          <w:sz w:val="20"/>
          <w:szCs w:val="20"/>
          <w:color w:val="auto"/>
        </w:rPr>
      </w:pPr>
      <w:r>
        <w:rPr>
          <w:rFonts w:ascii="Arial" w:cs="Arial" w:eastAsia="Arial" w:hAnsi="Arial"/>
          <w:sz w:val="18"/>
          <w:szCs w:val="18"/>
          <w:color w:val="auto"/>
        </w:rPr>
        <w:t>Cash paid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2019 and December 31, 2018, the results of operations for the three and six months ended June 30, 2019 and 2018, and the cash flows for the six months ended June 30, 2019 and 2018. The results of operations for the three and six months ended June 30, 2019 and 2018 are not necessarily indicative of the results for a full-year period. These interim unaudited condensed consolidated financial statements should be read in conjunction with the financial statements included in our Annual Report on Form 10-K for the year ended December 31, 2018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2018. There have been no changes to these policies during the six months ended June 30, 2019 that are of significance or potential significance to the Company except for the change in accounting for leases as described below.</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Recent accounting standard related to Leases: </w:t>
      </w:r>
      <w:r>
        <w:rPr>
          <w:rFonts w:ascii="Arial" w:cs="Arial" w:eastAsia="Arial" w:hAnsi="Arial"/>
          <w:sz w:val="16"/>
          <w:szCs w:val="16"/>
          <w:color w:val="auto"/>
        </w:rPr>
        <w:t>In February 2016, the FASB issued ASU 2016-02, Leases (“ASU 2016-02”). This new standard establishes a</w:t>
      </w:r>
      <w:r>
        <w:rPr>
          <w:rFonts w:ascii="Arial" w:cs="Arial" w:eastAsia="Arial" w:hAnsi="Arial"/>
          <w:sz w:val="16"/>
          <w:szCs w:val="16"/>
          <w:i w:val="1"/>
          <w:iCs w:val="1"/>
          <w:color w:val="auto"/>
        </w:rPr>
        <w:t xml:space="preserve"> </w:t>
      </w:r>
      <w:r>
        <w:rPr>
          <w:rFonts w:ascii="Arial" w:cs="Arial" w:eastAsia="Arial" w:hAnsi="Arial"/>
          <w:sz w:val="16"/>
          <w:szCs w:val="16"/>
          <w:color w:val="auto"/>
        </w:rPr>
        <w:t>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has adopted the requirements of ASU 2016-02 on January 1, 2019, the first day of fiscal year 2019, using the optional transition method. The Company elected to use certain practical expedient options, which allows an entity not to reassess whether any existing or expired contracts contain leases. There was an increase in assets of $2,966 and liabilities of $3,101 due to the recognition of the required right-of-use asset and corresponding liability for all lease obligations that are currently classified as operating leases with the difference of $135 related to existing deferred rent that reduced the ROU asset recorded. The standard did not have a material impact on our condensed consolidated statements of operations and comprehensive loss.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Accounting Policy related to Leases: </w:t>
      </w:r>
      <w:r>
        <w:rPr>
          <w:rFonts w:ascii="Arial" w:cs="Arial" w:eastAsia="Arial" w:hAnsi="Arial"/>
          <w:sz w:val="18"/>
          <w:szCs w:val="18"/>
          <w:color w:val="auto"/>
        </w:rPr>
        <w:t>We determine if an arrangement is a lease at inception. Operating leases are included in operating lease - right of use</w:t>
      </w:r>
      <w:r>
        <w:rPr>
          <w:rFonts w:ascii="Arial" w:cs="Arial" w:eastAsia="Arial" w:hAnsi="Arial"/>
          <w:sz w:val="18"/>
          <w:szCs w:val="18"/>
          <w:i w:val="1"/>
          <w:iCs w:val="1"/>
          <w:color w:val="auto"/>
        </w:rPr>
        <w:t xml:space="preserve"> </w:t>
      </w:r>
      <w:r>
        <w:rPr>
          <w:rFonts w:ascii="Arial" w:cs="Arial" w:eastAsia="Arial" w:hAnsi="Arial"/>
          <w:sz w:val="18"/>
          <w:szCs w:val="18"/>
          <w:color w:val="auto"/>
        </w:rPr>
        <w:t>(“ROU”) assets, accrued liabilities, and operating lease liability in our consolidated balance sheets. As of adoption of ASC 842 and as of June 30, 2019 and December 31, 2018, the Company was not party to finance lease arrangements.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recent accounting pronouncements: </w:t>
      </w:r>
      <w:r>
        <w:rPr>
          <w:rFonts w:ascii="Arial" w:cs="Arial" w:eastAsia="Arial" w:hAnsi="Arial"/>
          <w:sz w:val="18"/>
          <w:szCs w:val="18"/>
          <w:color w:val="auto"/>
        </w:rPr>
        <w:t>The Company has determined that other recently issued accounting standards will either have no material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consolidated financial position, results of operations or cash flows, or will not apply to its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8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5"/>
              </w:rPr>
              <w:t>Three months ended June 30,</w:t>
            </w:r>
          </w:p>
        </w:tc>
        <w:tc>
          <w:tcPr>
            <w:tcW w:w="180" w:type="dxa"/>
            <w:vAlign w:val="bottom"/>
          </w:tcPr>
          <w:p>
            <w:pPr>
              <w:spacing w:after="0"/>
              <w:rPr>
                <w:sz w:val="20"/>
                <w:szCs w:val="20"/>
                <w:color w:val="auto"/>
              </w:rPr>
            </w:pPr>
          </w:p>
        </w:tc>
        <w:tc>
          <w:tcPr>
            <w:tcW w:w="252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53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2,889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Microphones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2,255</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4,336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4,565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w:t>
            </w:r>
          </w:p>
        </w:tc>
      </w:tr>
      <w:tr>
        <w:trPr>
          <w:trHeight w:val="20"/>
        </w:trPr>
        <w:tc>
          <w:tcPr>
            <w:tcW w:w="5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6,420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14,260</w:t>
            </w:r>
          </w:p>
        </w:tc>
      </w:tr>
      <w:tr>
        <w:trPr>
          <w:trHeight w:val="20"/>
        </w:trPr>
        <w:tc>
          <w:tcPr>
            <w:tcW w:w="5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major regions: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8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5"/>
              </w:rPr>
              <w:t>Three months ended June 30,</w:t>
            </w:r>
          </w:p>
        </w:tc>
        <w:tc>
          <w:tcPr>
            <w:tcW w:w="180" w:type="dxa"/>
            <w:vAlign w:val="bottom"/>
          </w:tcPr>
          <w:p>
            <w:pPr>
              <w:spacing w:after="0"/>
              <w:rPr>
                <w:sz w:val="20"/>
                <w:szCs w:val="20"/>
                <w:color w:val="auto"/>
              </w:rPr>
            </w:pPr>
          </w:p>
        </w:tc>
        <w:tc>
          <w:tcPr>
            <w:tcW w:w="252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53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3,493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3,833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3,899</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w:t>
            </w:r>
          </w:p>
        </w:tc>
      </w:tr>
      <w:tr>
        <w:trPr>
          <w:trHeight w:val="20"/>
        </w:trPr>
        <w:tc>
          <w:tcPr>
            <w:tcW w:w="5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6,420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14,260</w:t>
            </w:r>
          </w:p>
        </w:tc>
      </w:tr>
      <w:tr>
        <w:trPr>
          <w:trHeight w:val="20"/>
        </w:trPr>
        <w:tc>
          <w:tcPr>
            <w:tcW w:w="5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9"/>
              </w:rPr>
              <w:t>Three months ended June 30,</w:t>
            </w:r>
          </w:p>
        </w:tc>
        <w:tc>
          <w:tcPr>
            <w:tcW w:w="160" w:type="dxa"/>
            <w:vAlign w:val="bottom"/>
          </w:tcPr>
          <w:p>
            <w:pPr>
              <w:spacing w:after="0"/>
              <w:rPr>
                <w:sz w:val="20"/>
                <w:szCs w:val="20"/>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(2,098)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(4,447)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16,630,770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8,301,094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16,630,684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16,630,770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8,301,094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16,630,684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8,304,093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569,997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724,373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578,543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569,997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724,373</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578,543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736,160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June 30, 2019 and December 31, 2018 were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 and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 bonds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available-for-sale securities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74"/>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fair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7"/>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9,838</w:t>
            </w:r>
          </w:p>
        </w:tc>
        <w:tc>
          <w:tcPr>
            <w:tcW w:w="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-719455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-445135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-162560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2,911</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Municipal bonds</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r>
      <w:tr>
        <w:trPr>
          <w:trHeight w:val="20"/>
        </w:trPr>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4,760</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0"/>
              </w:rPr>
              <w:t>cost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6,757</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3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ind w:left="180"/>
              <w:spacing w:after="0" w:line="196" w:lineRule="exact"/>
              <w:rPr>
                <w:sz w:val="20"/>
                <w:szCs w:val="20"/>
                <w:color w:val="auto"/>
              </w:rPr>
            </w:pPr>
            <w:r>
              <w:rPr>
                <w:rFonts w:ascii="Arial" w:cs="Arial" w:eastAsia="Arial" w:hAnsi="Arial"/>
                <w:sz w:val="18"/>
                <w:szCs w:val="18"/>
                <w:color w:val="auto"/>
              </w:rPr>
              <w:t>Total available-for-sale securities</w:t>
            </w:r>
          </w:p>
        </w:tc>
        <w:tc>
          <w:tcPr>
            <w:tcW w:w="3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9,838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9,946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140" w:type="dxa"/>
            <w:vAlign w:val="bottom"/>
            <w:vMerge w:val="restart"/>
          </w:tcPr>
          <w:p>
            <w:pPr>
              <w:jc w:val="right"/>
              <w:ind w:right="147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in an unrealized loss position as of June 30, 2019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2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More than 12 months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left="5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unrealized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Estimated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Estimated</w:t>
            </w:r>
          </w:p>
        </w:tc>
        <w:tc>
          <w:tcPr>
            <w:tcW w:w="120" w:type="dxa"/>
            <w:vAlign w:val="bottom"/>
          </w:tcPr>
          <w:p>
            <w:pPr>
              <w:spacing w:after="0"/>
              <w:rPr>
                <w:sz w:val="18"/>
                <w:szCs w:val="18"/>
                <w:color w:val="auto"/>
              </w:rPr>
            </w:pPr>
          </w:p>
        </w:tc>
        <w:tc>
          <w:tcPr>
            <w:tcW w:w="98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holding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holding</w:t>
            </w: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fair value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losses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fair value</w:t>
            </w:r>
          </w:p>
        </w:tc>
        <w:tc>
          <w:tcPr>
            <w:tcW w:w="120" w:type="dxa"/>
            <w:vAlign w:val="bottom"/>
          </w:tcPr>
          <w:p>
            <w:pPr>
              <w:spacing w:after="0"/>
              <w:rPr>
                <w:sz w:val="20"/>
                <w:szCs w:val="20"/>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78"/>
              </w:rPr>
              <w:t>losses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8"/>
              </w:rPr>
              <w:t>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2019</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11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11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2019 and December 31, 2018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Estimated useful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30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lives (years)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7</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58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15,653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13,377</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ind w:left="60"/>
              <w:spacing w:after="0"/>
              <w:rPr>
                <w:sz w:val="20"/>
                <w:szCs w:val="20"/>
                <w:color w:val="auto"/>
              </w:rPr>
            </w:pPr>
            <w:r>
              <w:rPr>
                <w:rFonts w:ascii="Arial" w:cs="Arial" w:eastAsia="Arial" w:hAnsi="Arial"/>
                <w:sz w:val="18"/>
                <w:szCs w:val="18"/>
                <w:color w:val="auto"/>
              </w:rPr>
              <w:t>to 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r>
      <w:tr>
        <w:trPr>
          <w:trHeight w:val="21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(7,641)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(6,987)</w:t>
            </w:r>
          </w:p>
        </w:tc>
      </w:tr>
      <w:tr>
        <w:trPr>
          <w:trHeight w:val="20"/>
        </w:trPr>
        <w:tc>
          <w:tcPr>
            <w:tcW w:w="6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w:t>
            </w:r>
          </w:p>
        </w:tc>
      </w:tr>
      <w:tr>
        <w:trPr>
          <w:trHeight w:val="20"/>
        </w:trPr>
        <w:tc>
          <w:tcPr>
            <w:tcW w:w="6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six months ended June 30, 2019 and 2018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10"/>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0" w:type="dxa"/>
            <w:vAlign w:val="bottom"/>
            <w:gridSpan w:val="6"/>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4"/>
              </w:rPr>
              <w:t>Amount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2019 (Remainder)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2020</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2022</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Thereafter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6,522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spacing w:after="0"/>
              <w:rPr>
                <w:sz w:val="20"/>
                <w:szCs w:val="20"/>
                <w:color w:val="auto"/>
              </w:rPr>
            </w:pPr>
            <w:r>
              <w:rPr>
                <w:rFonts w:ascii="Arial" w:cs="Arial" w:eastAsia="Arial" w:hAnsi="Arial"/>
                <w:sz w:val="18"/>
                <w:szCs w:val="18"/>
                <w:color w:val="auto"/>
                <w:w w:val="93"/>
              </w:rPr>
              <w:t>Inventories, net of reserves, as of June 30, 2019 and December 31, 2018 consisted of the following:</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June 30, 2019</w:t>
            </w:r>
          </w:p>
        </w:tc>
        <w:tc>
          <w:tcPr>
            <w:tcW w:w="10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12,258</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2,039</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7,715</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for the three and six months ended June 30, 2019 and 2018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44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June 30,</w:t>
            </w:r>
          </w:p>
        </w:tc>
        <w:tc>
          <w:tcPr>
            <w:tcW w:w="60" w:type="dxa"/>
            <w:vAlign w:val="bottom"/>
          </w:tcPr>
          <w:p>
            <w:pPr>
              <w:spacing w:after="0"/>
              <w:rPr>
                <w:sz w:val="20"/>
                <w:szCs w:val="20"/>
                <w:color w:val="auto"/>
              </w:rPr>
            </w:pPr>
          </w:p>
        </w:tc>
        <w:tc>
          <w:tcPr>
            <w:tcW w:w="232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54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195"/>
        </w:trPr>
        <w:tc>
          <w:tcPr>
            <w:tcW w:w="5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incurred on valuation of inventory at lower of cost or market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value and write-off of obsolete inventory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and Deferred Rent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and six months ended June 30, 2019 and 2018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44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June 30,</w:t>
            </w:r>
          </w:p>
        </w:tc>
        <w:tc>
          <w:tcPr>
            <w:tcW w:w="60" w:type="dxa"/>
            <w:vAlign w:val="bottom"/>
          </w:tcPr>
          <w:p>
            <w:pPr>
              <w:spacing w:after="0"/>
              <w:rPr>
                <w:sz w:val="20"/>
                <w:szCs w:val="20"/>
                <w:color w:val="auto"/>
              </w:rPr>
            </w:pPr>
          </w:p>
        </w:tc>
        <w:tc>
          <w:tcPr>
            <w:tcW w:w="232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54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occupy a 5,000 square-foot facility in Gainesville, Florida under the terms of an operating lease that expires in February 2021 with the possibility of renewing the lease for 10 more years. The Gainesville facility is used primarily to support our research and development activities.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10,700 square-foot warehouse in Shenzhen, China under the terms of an operating lease expiring in September 2019, which serves as manufacturing support center for Asia.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7,070 square-foot facility in Austin, Texas - under the terms of an operating lease expiring in October 2019. This facility supports our sales, marketing, customer support, and research and development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2020. This office supports our research and development and customer support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6,175 square-foot facility in Chennai, India - under the terms of an operating lease expiring in August 2021. This facility supports our administrative, marketing, customer support, and research and product development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operating 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Operating leases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5" w:lineRule="exact"/>
        <w:rPr>
          <w:sz w:val="20"/>
          <w:szCs w:val="20"/>
          <w:color w:val="auto"/>
        </w:rPr>
      </w:pPr>
    </w:p>
    <w:p>
      <w:pPr>
        <w:ind w:right="1593"/>
        <w:spacing w:after="0" w:line="281" w:lineRule="auto"/>
        <w:rPr>
          <w:sz w:val="20"/>
          <w:szCs w:val="20"/>
          <w:color w:val="auto"/>
        </w:rPr>
      </w:pPr>
      <w:r>
        <w:rPr>
          <w:rFonts w:ascii="Arial" w:cs="Arial" w:eastAsia="Arial" w:hAnsi="Arial"/>
          <w:sz w:val="18"/>
          <w:szCs w:val="18"/>
          <w:color w:val="auto"/>
        </w:rPr>
        <w:t>Current portion of operating lease liabilities, included in accrued liabilities Operating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579755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 operating lease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 for operating leases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 for operating leases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maturities of operating lease liabilities as of June 30, 2019:</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2453"/>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jc w:val="center"/>
        <w:ind w:right="2453"/>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2453"/>
        <w:spacing w:after="0"/>
        <w:rPr>
          <w:sz w:val="20"/>
          <w:szCs w:val="20"/>
          <w:color w:val="auto"/>
        </w:rPr>
      </w:pPr>
      <w:r>
        <w:rPr>
          <w:rFonts w:ascii="Arial" w:cs="Arial" w:eastAsia="Arial" w:hAnsi="Arial"/>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05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4" w:lineRule="exact"/>
        <w:rPr>
          <w:sz w:val="20"/>
          <w:szCs w:val="20"/>
          <w:color w:val="auto"/>
        </w:rPr>
      </w:pPr>
    </w:p>
    <w:p>
      <w:pPr>
        <w:ind w:left="1007" w:hanging="1007"/>
        <w:spacing w:after="0"/>
        <w:tabs>
          <w:tab w:leader="none" w:pos="1007" w:val="left"/>
        </w:tabs>
        <w:numPr>
          <w:ilvl w:val="0"/>
          <w:numId w:val="3"/>
        </w:numPr>
        <w:rPr>
          <w:rFonts w:ascii="Arial" w:cs="Arial" w:eastAsia="Arial" w:hAnsi="Arial"/>
          <w:sz w:val="18"/>
          <w:szCs w:val="18"/>
          <w:color w:val="auto"/>
        </w:rPr>
      </w:pPr>
      <w:r>
        <w:rPr>
          <w:rFonts w:ascii="Arial" w:cs="Arial" w:eastAsia="Arial" w:hAnsi="Arial"/>
          <w:sz w:val="18"/>
          <w:szCs w:val="18"/>
          <w:color w:val="auto"/>
        </w:rPr>
        <w:t>356</w:t>
      </w:r>
    </w:p>
    <w:p>
      <w:pPr>
        <w:spacing w:after="0" w:line="225" w:lineRule="exact"/>
        <w:rPr>
          <w:rFonts w:ascii="Arial" w:cs="Arial" w:eastAsia="Arial" w:hAnsi="Arial"/>
          <w:sz w:val="18"/>
          <w:szCs w:val="18"/>
          <w:color w:val="auto"/>
        </w:rPr>
      </w:pPr>
    </w:p>
    <w:p>
      <w:pPr>
        <w:ind w:left="1087" w:hanging="1087"/>
        <w:spacing w:after="0"/>
        <w:tabs>
          <w:tab w:leader="none" w:pos="1087"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127"/>
        <w:spacing w:after="0"/>
        <w:rPr>
          <w:sz w:val="20"/>
          <w:szCs w:val="20"/>
          <w:color w:val="auto"/>
        </w:rPr>
      </w:pPr>
      <w:r>
        <w:rPr>
          <w:rFonts w:ascii="Arial" w:cs="Arial" w:eastAsia="Arial" w:hAnsi="Arial"/>
          <w:sz w:val="18"/>
          <w:szCs w:val="18"/>
          <w:b w:val="1"/>
          <w:bCs w:val="1"/>
          <w:color w:val="auto"/>
        </w:rPr>
        <w:t>June 30, 2019</w:t>
      </w:r>
    </w:p>
    <w:p>
      <w:pPr>
        <w:spacing w:after="0" w:line="27" w:lineRule="exact"/>
        <w:rPr>
          <w:sz w:val="20"/>
          <w:szCs w:val="20"/>
          <w:color w:val="auto"/>
        </w:rPr>
      </w:pPr>
    </w:p>
    <w:p>
      <w:pPr>
        <w:ind w:left="887" w:hanging="874"/>
        <w:spacing w:after="0"/>
        <w:tabs>
          <w:tab w:leader="none" w:pos="887" w:val="left"/>
        </w:tabs>
        <w:numPr>
          <w:ilvl w:val="0"/>
          <w:numId w:val="4"/>
        </w:numPr>
        <w:rPr>
          <w:rFonts w:ascii="Arial" w:cs="Arial" w:eastAsia="Arial" w:hAnsi="Arial"/>
          <w:sz w:val="18"/>
          <w:szCs w:val="18"/>
          <w:color w:val="auto"/>
        </w:rPr>
      </w:pPr>
      <w:r>
        <w:rPr>
          <w:rFonts w:ascii="Arial" w:cs="Arial" w:eastAsia="Arial" w:hAnsi="Arial"/>
          <w:sz w:val="18"/>
          <w:szCs w:val="18"/>
          <w:color w:val="auto"/>
        </w:rPr>
        <w:t>2,684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-130810</wp:posOffset>
            </wp:positionV>
            <wp:extent cx="805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18" w:lineRule="exact"/>
        <w:rPr>
          <w:sz w:val="20"/>
          <w:szCs w:val="20"/>
          <w:color w:val="auto"/>
        </w:rPr>
      </w:pPr>
    </w:p>
    <w:p>
      <w:pPr>
        <w:ind w:left="1007" w:hanging="994"/>
        <w:spacing w:after="0"/>
        <w:tabs>
          <w:tab w:leader="none" w:pos="1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551</w:t>
      </w:r>
    </w:p>
    <w:p>
      <w:pPr>
        <w:spacing w:after="0" w:line="23" w:lineRule="exact"/>
        <w:rPr>
          <w:rFonts w:ascii="Arial" w:cs="Arial" w:eastAsia="Arial" w:hAnsi="Arial"/>
          <w:sz w:val="18"/>
          <w:szCs w:val="18"/>
          <w:color w:val="auto"/>
        </w:rPr>
      </w:pPr>
    </w:p>
    <w:p>
      <w:pPr>
        <w:ind w:left="887"/>
        <w:spacing w:after="0"/>
        <w:rPr>
          <w:rFonts w:ascii="Arial" w:cs="Arial" w:eastAsia="Arial" w:hAnsi="Arial"/>
          <w:sz w:val="18"/>
          <w:szCs w:val="18"/>
          <w:color w:val="auto"/>
        </w:rPr>
      </w:pPr>
      <w:r>
        <w:rPr>
          <w:rFonts w:ascii="Arial" w:cs="Arial" w:eastAsia="Arial" w:hAnsi="Arial"/>
          <w:sz w:val="18"/>
          <w:szCs w:val="18"/>
          <w:color w:val="auto"/>
        </w:rPr>
        <w:t>2,269</w:t>
      </w:r>
    </w:p>
    <w:p>
      <w:pPr>
        <w:spacing w:after="0" w:line="9" w:lineRule="exact"/>
        <w:rPr>
          <w:rFonts w:ascii="Arial" w:cs="Arial" w:eastAsia="Arial" w:hAnsi="Arial"/>
          <w:sz w:val="18"/>
          <w:szCs w:val="18"/>
          <w:color w:val="auto"/>
        </w:rPr>
      </w:pPr>
    </w:p>
    <w:p>
      <w:pPr>
        <w:ind w:left="887"/>
        <w:spacing w:after="0"/>
        <w:rPr>
          <w:rFonts w:ascii="Arial" w:cs="Arial" w:eastAsia="Arial" w:hAnsi="Arial"/>
          <w:sz w:val="18"/>
          <w:szCs w:val="18"/>
          <w:color w:val="auto"/>
        </w:rPr>
      </w:pPr>
      <w:r>
        <w:rPr>
          <w:rFonts w:ascii="Arial" w:cs="Arial" w:eastAsia="Arial" w:hAnsi="Arial"/>
          <w:sz w:val="18"/>
          <w:szCs w:val="18"/>
          <w:color w:val="auto"/>
        </w:rPr>
        <w:t>2,820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-130810</wp:posOffset>
            </wp:positionV>
            <wp:extent cx="805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45" w:lineRule="exact"/>
        <w:rPr>
          <w:sz w:val="20"/>
          <w:szCs w:val="20"/>
          <w:color w:val="auto"/>
        </w:rPr>
      </w:pPr>
    </w:p>
    <w:p>
      <w:pPr>
        <w:ind w:left="1067"/>
        <w:spacing w:after="0"/>
        <w:rPr>
          <w:sz w:val="20"/>
          <w:szCs w:val="20"/>
          <w:color w:val="auto"/>
        </w:rPr>
      </w:pPr>
      <w:r>
        <w:rPr>
          <w:rFonts w:ascii="Arial" w:cs="Arial" w:eastAsia="Arial" w:hAnsi="Arial"/>
          <w:sz w:val="18"/>
          <w:szCs w:val="18"/>
          <w:color w:val="auto"/>
        </w:rPr>
        <w:t>4.9</w:t>
      </w:r>
    </w:p>
    <w:p>
      <w:pPr>
        <w:spacing w:after="0" w:line="23" w:lineRule="exact"/>
        <w:rPr>
          <w:sz w:val="20"/>
          <w:szCs w:val="20"/>
          <w:color w:val="auto"/>
        </w:rPr>
      </w:pPr>
    </w:p>
    <w:p>
      <w:pPr>
        <w:ind w:left="1067"/>
        <w:spacing w:after="0"/>
        <w:rPr>
          <w:sz w:val="20"/>
          <w:szCs w:val="20"/>
          <w:color w:val="auto"/>
        </w:rPr>
      </w:pPr>
      <w:r>
        <w:rPr>
          <w:rFonts w:ascii="Arial" w:cs="Arial" w:eastAsia="Arial" w:hAnsi="Arial"/>
          <w:sz w:val="15"/>
          <w:szCs w:val="15"/>
          <w:color w:val="auto"/>
        </w:rPr>
        <w:t>6.1%</w:t>
      </w:r>
    </w:p>
    <w:p>
      <w:pPr>
        <w:spacing w:after="0" w:line="629" w:lineRule="exact"/>
        <w:rPr>
          <w:sz w:val="20"/>
          <w:szCs w:val="20"/>
          <w:color w:val="auto"/>
        </w:rPr>
      </w:pPr>
    </w:p>
    <w:p>
      <w:pPr>
        <w:sectPr>
          <w:pgSz w:w="11900" w:h="16838" w:orient="portrait"/>
          <w:cols w:equalWidth="0" w:num="2">
            <w:col w:w="6973" w:space="720"/>
            <w:col w:w="3727"/>
          </w:cols>
          <w:pgMar w:left="240" w:top="118" w:right="239" w:bottom="1440"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3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2019 (Remainder)</w:t>
            </w:r>
          </w:p>
        </w:tc>
        <w:tc>
          <w:tcPr>
            <w:tcW w:w="4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3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2021</w:t>
            </w:r>
          </w:p>
        </w:tc>
        <w:tc>
          <w:tcPr>
            <w:tcW w:w="3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646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3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2023</w:t>
            </w:r>
          </w:p>
        </w:tc>
        <w:tc>
          <w:tcPr>
            <w:tcW w:w="3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3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 lease payments</w:t>
            </w:r>
          </w:p>
        </w:tc>
        <w:tc>
          <w:tcPr>
            <w:tcW w:w="38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3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660"/>
              <w:spacing w:after="0"/>
              <w:rPr>
                <w:sz w:val="20"/>
                <w:szCs w:val="20"/>
                <w:color w:val="auto"/>
              </w:rPr>
            </w:pPr>
            <w:r>
              <w:rPr>
                <w:rFonts w:ascii="Arial" w:cs="Arial" w:eastAsia="Arial" w:hAnsi="Arial"/>
                <w:sz w:val="18"/>
                <w:szCs w:val="18"/>
                <w:color w:val="auto"/>
              </w:rPr>
              <w:t>Total</w:t>
            </w:r>
          </w:p>
        </w:tc>
        <w:tc>
          <w:tcPr>
            <w:tcW w:w="4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2,820</w:t>
            </w: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800" w:type="dxa"/>
            <w:vAlign w:val="bottom"/>
            <w:vMerge w:val="restart"/>
          </w:tcPr>
          <w:p>
            <w:pPr>
              <w:jc w:val="right"/>
              <w:ind w:right="1810"/>
              <w:spacing w:after="0"/>
              <w:rPr>
                <w:sz w:val="20"/>
                <w:szCs w:val="20"/>
                <w:color w:val="auto"/>
              </w:rPr>
            </w:pPr>
            <w:r>
              <w:rPr>
                <w:rFonts w:ascii="Arial" w:cs="Arial" w:eastAsia="Arial" w:hAnsi="Arial"/>
                <w:sz w:val="18"/>
                <w:szCs w:val="18"/>
                <w:color w:val="auto"/>
              </w:rPr>
              <w:t>11</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8. Shareholders' Equity</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8"/>
              </w:rPr>
              <w:t>Six months ended June 30,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57,940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47,620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57,857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47,472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Proceeds from employee stock purchase plan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58,002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58,002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47,758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Retained earnings (accumulated deficit)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(7,824)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9,367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(5,475)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9,160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repurchased</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dividends, $0.07 per share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6"/>
              </w:rPr>
              <w:t>Impact on retained earnings for change in revenue recognition policy</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(2,098)</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(4,447)</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(4,009)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48,036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54,787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48,036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54,787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share-based incentive plans offering stock options are offered under the Company’s 2007 Equity Incentive Plan (the “2007 Plan”), which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As of June 30, 2019, there were 569,585 options outstanding under the 2007 Plan. As of June 30, 2019, the 2007 Plan had 925,509 authorized unissued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six months ended June 30,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of shares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624,256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(54,671)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June 30, 2019</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569,585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Options exercisable at end of June 30, 2019</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527,352</w:t>
            </w:r>
          </w:p>
        </w:tc>
        <w:tc>
          <w:tcPr>
            <w:tcW w:w="120" w:type="dxa"/>
            <w:vAlign w:val="bottom"/>
          </w:tcPr>
          <w:p>
            <w:pPr>
              <w:spacing w:after="0"/>
              <w:rPr>
                <w:sz w:val="17"/>
                <w:szCs w:val="17"/>
                <w:color w:val="auto"/>
              </w:rPr>
            </w:pPr>
          </w:p>
        </w:tc>
        <w:tc>
          <w:tcPr>
            <w:tcW w:w="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2019, the total remaining unrecognized compensation cost related to non-vested stock options, net of forfeitures, was approximately $139, which will be recognized over a weighted average period of 0.8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w w:val="96"/>
              </w:rPr>
              <w:t>Share-based compensation expense has been recorded as follows:</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gridSpan w:val="6"/>
          </w:tcPr>
          <w:p>
            <w:pPr>
              <w:ind w:left="60"/>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Six months ended June 30,</w:t>
            </w:r>
          </w:p>
        </w:tc>
        <w:tc>
          <w:tcPr>
            <w:tcW w:w="580" w:type="dxa"/>
            <w:vAlign w:val="bottom"/>
          </w:tcPr>
          <w:p>
            <w:pPr>
              <w:spacing w:after="0"/>
              <w:rPr>
                <w:sz w:val="24"/>
                <w:szCs w:val="24"/>
                <w:color w:val="auto"/>
              </w:rPr>
            </w:pPr>
          </w:p>
        </w:tc>
      </w:tr>
      <w:tr>
        <w:trPr>
          <w:trHeight w:val="210"/>
        </w:trPr>
        <w:tc>
          <w:tcPr>
            <w:tcW w:w="5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580" w:type="dxa"/>
            <w:vAlign w:val="bottom"/>
          </w:tcPr>
          <w:p>
            <w:pPr>
              <w:spacing w:after="0"/>
              <w:rPr>
                <w:sz w:val="19"/>
                <w:szCs w:val="19"/>
                <w:color w:val="auto"/>
              </w:rPr>
            </w:pPr>
          </w:p>
        </w:tc>
      </w:tr>
      <w:tr>
        <w:trPr>
          <w:trHeight w:val="20"/>
        </w:trPr>
        <w:tc>
          <w:tcPr>
            <w:tcW w:w="5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1400" w:type="dxa"/>
            <w:vAlign w:val="bottom"/>
            <w:gridSpan w:val="2"/>
          </w:tcPr>
          <w:p>
            <w:pPr>
              <w:jc w:val="right"/>
              <w:ind w:right="69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June 30, 2019 and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2019</w:t>
            </w: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5,845</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4,101</w:t>
            </w:r>
          </w:p>
        </w:tc>
      </w:tr>
      <w:tr>
        <w:trPr>
          <w:trHeight w:val="20"/>
        </w:trPr>
        <w:tc>
          <w:tcPr>
            <w:tcW w:w="6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9,946</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9,946</w:t>
            </w:r>
          </w:p>
        </w:tc>
      </w:tr>
      <w:tr>
        <w:trPr>
          <w:trHeight w:val="20"/>
        </w:trPr>
        <w:tc>
          <w:tcPr>
            <w:tcW w:w="6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2,881</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r>
      <w:tr>
        <w:trPr>
          <w:trHeight w:val="20"/>
        </w:trPr>
        <w:tc>
          <w:tcPr>
            <w:tcW w:w="6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4,715</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4,715</w:t>
            </w:r>
          </w:p>
        </w:tc>
      </w:tr>
      <w:tr>
        <w:trPr>
          <w:trHeight w:val="20"/>
        </w:trPr>
        <w:tc>
          <w:tcPr>
            <w:tcW w:w="6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Income tax expense for the three and six months ended 2019 represents income tax expense recorded for jurisdictions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5, 2019, the Honorable Edmond E. Chang of the Northern District of Illinois issued a preliminary injunction order in the ongoing litigation in that district between the Company and Shure Incorporated, Case No. 11-cv-3087. In that litigation, ClearOne asserts that Shure’s MXA910 Ceiling Array Microphone, which competes with ClearOne’s beamforming microphone array products, infringes patents related to those products. The August 5 order held that ClearOne had "met its burden of demonstrating entitlement to the extraordinary relief of a preliminary injunction" on U.S. Patent No. 9,813,806. The Court held that "Shure is likely infringing the ’806 Patent and has not raised a substantial question of the patent’s validity.” The injunction order prohibits Shure from “manufacturing, marketing, and selling the MXA910 to be used in its drop-ceiling mounting configuration, including marketing and selling the MXA910 in a way that encourages or allows integrators to install it in a drop-ceiling mounting configuration." .</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2018.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2019, we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digital-signal-processing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 The Company was awarded a Sound &amp; Video Contractor magazine “Best of Show Award” for BMA CT, showcased at InfoComm conference in Orlando, Florida in June 2019.</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also introduced COLLABORATE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Space to our growing family of collaboration solutions. It’s a suite that unifies messaging, calls and meetings and will energize workflows and increase productivity for everyone involved in the enterprise. Designed as a persistent, user-friendly collaboration suite, COLLABORATE Space contains many powerful UCC capabilities, as well as the seamless ability to make calls outside the network.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w:t>
      </w:r>
    </w:p>
    <w:p>
      <w:pPr>
        <w:spacing w:after="0" w:line="18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During the first six months of 2019, we continued our serious litigation efforts to stop infringement of our strategic patents. We also continued our programs to cut costs and to speed up product development that we believe will enable us to get back to a growth path.</w:t>
      </w:r>
    </w:p>
    <w:p>
      <w:pPr>
        <w:spacing w:after="0" w:line="170" w:lineRule="exact"/>
        <w:rPr>
          <w:sz w:val="20"/>
          <w:szCs w:val="20"/>
          <w:color w:val="auto"/>
        </w:rPr>
      </w:pPr>
    </w:p>
    <w:p>
      <w:pPr>
        <w:jc w:val="both"/>
        <w:ind w:left="20"/>
        <w:spacing w:after="0" w:line="276" w:lineRule="auto"/>
        <w:rPr>
          <w:sz w:val="20"/>
          <w:szCs w:val="20"/>
          <w:color w:val="auto"/>
        </w:rPr>
      </w:pPr>
      <w:r>
        <w:rPr>
          <w:rFonts w:ascii="Arial" w:cs="Arial" w:eastAsia="Arial" w:hAnsi="Arial"/>
          <w:sz w:val="17"/>
          <w:szCs w:val="17"/>
          <w:color w:val="auto"/>
        </w:rPr>
        <w:t>Overall revenue declined in the second quarter of 2019 when compared to the second quarter of 2018, with declines seen in all product categories except video. We believe the on-going infringement of ClearOne’s patents is the major cause of our revenue decline in the audio conferencing and microphones categories. Our gross profit margin decreased marginally to 46% during the second quarter of 2019 from 47% for the second quarter of 2018. Net loss decreased marginally from $2.2 million in the second quarter of 2018 to $2.1 million in the second quarter of 2019. The decrease in net loss in 2019 was primarily due to reduced operating expenses offset by reduced gross profit and tax benefit.</w:t>
      </w:r>
    </w:p>
    <w:p>
      <w:pPr>
        <w:spacing w:after="0" w:line="173" w:lineRule="exact"/>
        <w:rPr>
          <w:sz w:val="20"/>
          <w:szCs w:val="20"/>
          <w:color w:val="auto"/>
        </w:rPr>
      </w:pPr>
    </w:p>
    <w:p>
      <w:pPr>
        <w:jc w:val="both"/>
        <w:ind w:left="20"/>
        <w:spacing w:after="0" w:line="271" w:lineRule="auto"/>
        <w:rPr>
          <w:sz w:val="20"/>
          <w:szCs w:val="20"/>
          <w:color w:val="auto"/>
        </w:rPr>
      </w:pPr>
      <w:r>
        <w:rPr>
          <w:rFonts w:ascii="Arial" w:cs="Arial" w:eastAsia="Arial" w:hAnsi="Arial"/>
          <w:sz w:val="17"/>
          <w:szCs w:val="17"/>
          <w:color w:val="auto"/>
        </w:rPr>
        <w:t>Overall revenue declined in the first six months of 2019 when compared to same period in 2018, with declines seen in all product categories, except video. We believe the on-going infringement of ClearOne’s patents is the major cause of our revenue decline in the audio conferencing and microphones categories. We are inappropriately being forced to compete against our own patented technology. We believe the revenue decline in video products was caused partially by increased competition in the space as well as due to reduced attention from our partners caused by the alternatives made available through infringement of our patents. Our gross profit margin decreased to 44% during the first six months of 2019 from 52% during the same six months in 2018. Gross profit margin decreased primarily due to increased material costs and reduction of higher margin professional audio conferencing products in the revenue mix. Net loss during the first six months of 2019 increased to $4.4 million from $4.0 million during the same period in 2018. The increase in net loss in 2019 was primarily due to reduced tax benefit and gross profit partially offset by reduced operating expenses.</w:t>
      </w:r>
    </w:p>
    <w:p>
      <w:pPr>
        <w:spacing w:after="0" w:line="179"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We believe the recent decision by the U.S. District Court in August granting our request for a preliminary injunction to prevent our competitor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our competitor from further infringing our Graham patent (U.S. Patent No.9,813,806) pending a full trial. Although there can be no assurance of any outcome of a full trial, we believe this ruling will help pave way for CleaOne’s recovery from the immense harm inflicted by our competitor's infringement of our valuable patents.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93"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Revenue from our video products are critical to our long-term growth. We face intense competition in this market from well-established market leaders as well as emerging players rich with marketing funds. We expect our strategy of combining Spontania, our cloud-based video conferencing product, Collaborate, our appliance-based media collaboration product, our high-quality professional cameras, and our high-end audio conferencing technology will generate high growth in the near future. We believe we are also well positioned to capitalize on the continuing migration away from the traditional hardware-based video conferencing systems to software-based video conferencing applications.</w:t>
      </w:r>
    </w:p>
    <w:p>
      <w:pPr>
        <w:spacing w:after="0" w:line="188"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derive a major portion of our revenue (approximately 47% for the year ended December 31, 2018)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detailed discussion of our results of operations follows below.</w:t>
      </w:r>
    </w:p>
    <w:p>
      <w:pPr>
        <w:sectPr>
          <w:pgSz w:w="11900" w:h="16838" w:orient="portrait"/>
          <w:cols w:equalWidth="0" w:num="1">
            <w:col w:w="11440"/>
          </w:cols>
          <w:pgMar w:left="220" w:top="118"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(dollars in thousands) for the three and six months ended June 30, 2019 (“2019-Q2”) ("2019-H1") and 2018 (“2018-Q2”) ("2018-H1"), respectively, together with the percentage of total revenue which each such item represents: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43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Change 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Change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vs 2018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vs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14,260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7,082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5,643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7,349</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4,214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5,628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3,030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(4,495)</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(5,341)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revenue decreased to $6.4 million in 2019-Q2 compared to $7.0 million in 2018-Q2. The highest decline was seen in the audio conferencing category with a 20% decline followed by microphones with a marginal 1% decline. Revenue from video products grew by 16% on the back of growth in sales of videoconferencing appliances, cameras and cloud-based videoconferencing services. The decline in the audio conferencing category was due to a decline in all subcategories including professional installed audio conferencing, personal conferencing and tabletop conferencing. The decline in microphones category was due to a decline in beamforming microphones offset by increase in revenue from wireless mics. The on-going infringement of ClearOne’s patents is the major cause of our revenue decline in audio conferencing and microphones categories. The share of audio conferencing products in our product mix decreased from 52% in 2018-Q2 to 45% in 2019-Q2. The share of microphones increased from 32% to 35%. Share of video products in the revenue mix increased from 16% to 20%. During 2019-Q2 revenue declined in the USA, Canada, Australia, Japan, China and Northern Europe offset by revenue increases in the Middle East, India, South Asia, South Korea and Central Europe and Southern Europe. Asia Pacific, including the Middle East, increased by 6%, Europe and Africa declined by 8% and the Americas declined by 15%.</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revenue decreased to $12.7 million in 2019-H1 compared to $14.3 million in 2018-H1. The highest decline was seen in audio conferencing category with 23% decline followed by microphones with 5% decline. Revenue from video products grew by 14% on the back of growth in sales of videoconferencing appliances, cameras, cloud-based videoconferencing services and network media streaming products. The decline in audio conferencing category was due to a decline in all subcategories including professional installed audio conferencing, personal conferencing and tabletop conferencing. The decline in microphones category was due to a decline in beamforming microphones and ceiling microphones offset by increase in revenue from wireless mics. The on-going infringement of ClearOne’s patents is the major cause of our revenue decline in audio conferencing and microphones categories. The share of audio conferencing products in our product mix decreased from 51% in 2018-H1 to 44% in 2019-H1. The share of microphones increased from 32% to 34%. Share of video products in the revenue mix increased from 17% to 22%. During 2019-H1 revenue declined in all regions except the Middle East, India, South Asia and Central Europe and Southern Europe. The decline was more pronounced in Canada, Australia, Japan and Northern Europe. Asia Pacific, including the Middle East declined by 2%, Europe and Africa declined by 14% and Americas declined by 14%.</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although there can be no assurance, that we will return to a growth path if we are able to successfully implement our strategic initiatives focused on product innovation, cost reduction and defense of our intellectual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gross profit for 2019-Q2 was approximately $2.9 million or 46% compared to approximately $3.3 million, or 47%, for 2018-Q2.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gross profit margin decreased to 44% during 2019-H1 from 52% during 2018-H1. Gross profit margin decreased primarily due to increased material costs and reduction of higher margin professional audio conferencing products in the revenue mix.</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$2.0 million of wireless microphone-related finished goods and assemblies, $1.6 million of Converge Pro 2 products and about $1.7 million of raw materials that will be used for manufacturing professional audio conferencing products. Any business changes that are adverse to these product lines could potentially impact our ability to sell these long-term inventory in addition to our current inventory.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include sales and marketing (“S&amp;M”) expenses, research and product development (“R&amp;D”) expenses and general and administrative (“G&amp;A”) expenses. Total operating expenses were $5.0 million for 2019-Q2 compared to $6.2 million for 2018-Q2. Total operating expenses were $10.1 million for 2019-H1 compared to $12.8 million for 2018-H1. The following contains a more detailed discussion of expenses related to sales and marketing, research and product development, general and administrative, and other items.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S&amp;M expenses for 2019-Q2 decreased to $2.3 million from $2.8 million for 2018-Q2. The decrease was mainly due to decreases in employee related costs including benefits, allocations of overhead expenses and advertising costs partially offset by increase in marketing expenses related to tradeshows.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S&amp;M expenses for 2019-H1 decreased to $4.2 million from $5.6 million for 2018-H1. The decrease was mainly due to decreases in employee related costs including benefits, demonstration inventory costs, and advertising costs partially offset by increase in marketing expenses related to tradeshows and training programs.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 related costs, outside services, expensed materials, depreciation, and an allocation of overhead expenses.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were approximately $1.3 million for 2019-Q2, as compared to $1.9 million for 2018-Q2. The decrease was primarily due to reductions in employee related costs, project related costs and allocations of overhead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were approximately $2.9 million for 2019-H1, as compared to $4.0 million for 2018-H1. The decrease was primarily due to reductions in employee related costs, project related costs, allocations of overhead expenses and legal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administrative costs, including costs related to finance and human resources.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G&amp;A expenses remained almost the same at $1.5 million in 2019-Q2 and 2018-Q2. G&amp;A expenses for 2019-H1 decreased marginally to $3.0 million compared to $3.2 million in 2018-H1.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includes interest income, interest expense, and foreign currency changes. It remained almost the same in 2019-Q2 and 2018-Q2.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increased marginally in 2019-H1 compared to 2018-H1.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2019-H1, we did not recognize any benefit from the losses incurred due to setting up of full valuation allowance. Income tax expense for 2019-Q2 and 2019-H1 represents income tax expense recorded for jurisdictions outside the United States. During 2018-H1 we accrued income taxes at the forecasted effective tax benefit rate of 26.8%.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our cash and cash equivalents were approximately $2.4 million compared to $11.2 million as of December 31, 2018. Our working capital was $20.4 million and $28.4 million as of June 30, 2019 and December 31, 2018, respectively.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was approximately $1.4 million in 2019-H1, a decrease of cash used of approximately $0.5 million from $1.9 million of cash used in operating activities in 2018-H1. The decrease in cash used was primarily due to an increase in non-cash charges of $1.2 million partially offset by increase in cash outflows due to change in operating assets and liabilities of $0.3 million and an increase in net loss by $0.5 million.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by investing activities was $7.5 million for 2019-H1 compared to net cash flows provided by investing activities of $1.1 million during the 2018-H1, an increase in cash used of $8.6 million. The increase was primarily due to an increase in net purchases of marketable securities of approximately $8.8 million partially offset by decrease in capitalized patent defense costs by $0.2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 discernible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value will result from the defense and a successful outcome of the legal action is probable. When we capitalize patent defense costs we amortize the costs over the remaining estimated useful life of the patent, which is 15 to 17 years. During 2019-Q2 we spent $1.1 million of legal costs related to the defense of our patents and capitalized the entire amount.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spent about $10.8 million from 2016 through June 30, 2019 towards this litigation and may be required to spend more to continue our legal defense. We believe the recent decision by the U.S. District Court in August granting our request for a preliminary injunction to prevent our competitor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our competitor from further infringing our Graham patent (U.S. Patent No.9,813,806) pending a full trial. We believe this ruling will help pave way for ClearOne’s recovery from the immense harm inflicted by our competitor's infringement of our valuable patents.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been actively engaged in preserving cash by suspending our dividend program, allowing our share repurchase program to expire and implementing company-wide cost reduction measures. In addition, we expect to generate additional cash as our inventory levels are brought down to historical levels. We also believe that the measures taken by us will yield higher revenues in the future. We believe all of these and effective management of working capital will provide the liquidity needed to meet our short-term and long-term operating requirements and finance our growth plans. We also believe that our strong portfolio of intellectual property and our solid brand equity in the market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we had open purchase orders of approximately $1.5 million, primarily related to inventory purchases.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2019, we had inventory totaling $20.0 million, of which non-current inventory accounted for $7.7 million. This compares to total inventories of $22.2 million and non-current inventory of $9.0 million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unaudited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Except with respect to our revenue recognition practices included in Note 1. “Business Description, Basis of Presentation and Significant Accounting Policies” under Item 1 of this Form 10-Q, there have been no changes to the critical accounting policies as explained in our Annual Report on Form 10-K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consolidated financial statements included under Item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June 30, 2019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were not effective at a reasonable assurance level as of June 30, 2019 due to the material weakness in internal control over financial reporting as described below.</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identified a material weakness in the operating effectiveness of internal control over financial reporting relating to the accurate and timely reporting of its financial results and disclosures and its testing and assessment of the design and effectiveness of internal controls over financial reporting in a timely manner.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address the material weakness, management is working with our third-party internal controls consultant to assist with the implementation of a remediation plan which will supplement the existing controls. The remediation plan will include an assessment of personnel levels and responsibilities, additional training of financial reporting personnel and ability to handle new requirements and projects on a timely basis with respect to the preparation of the consolidated financial statements and public company reporting requirements and timelines. The material weakness will be fully remediated when, in the opinion of management, the control processes have been operating for a sufficient period of time to provide reasonable assurance as to their effectiveness. The remediation and ultimate resolution of the material weakness will be reviewed with the Audit Committee of the Board of Directors.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noted above, there has been no change in the Company's internal control over financial reporting as of June 30, 2019, that has materially affected, or is reasonably likely to materially affect, the Company's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On February 15, 2019, the Company filed a petition for inter partes review of Shure’s U.S. Patent No. 9,565,493 (“’493 Patent”), arguing that all claims of the ’493 Patent should be cancelled in light of several prior art references, including ClearOne’s U.S. Patent No. 9,813,806 (the “’806 Patent”). Shure has opposed the petition, and a decision by the Patent Trial and Appeal Board whether to institute inter partes review is expected by August 20, 2019.</w:t>
      </w:r>
    </w:p>
    <w:p>
      <w:pPr>
        <w:spacing w:after="0" w:line="147"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On July 18, 2019, Shure, Inc. filed a lawsuit against the Company in the U.S. Court for the District of Delaware. The lawsuit alleges ClearOne’s BMA CT product, launched in February of 2019, infringes Shure’s '493 Patent. Furthermore, Shure alleged in the lawsuit that ClearOne engaged in unfair competition, tortious interference, deceptive trade practices and false advertising. Shure is seeking monetary damages and multiple injunctive reliefs. The Company believes that the lawsuit is a baseless retaliatory action by Shure and intends to vigorously defend it.</w:t>
      </w:r>
    </w:p>
    <w:p>
      <w:pPr>
        <w:spacing w:after="0" w:line="187"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On August 5, 2019, the Honorable Edmond E. Chang of the Northern District of Illinois issued a preliminary injunction order in the ongoing litigation in that district between the Company and Shure Incorporated, Case No. 11-cv-3087. In that litigation, ClearOne asserts that Shure’s MXA910 Ceiling Array Microphone, which competes with ClearOne’s beamforming microphone array products, infringes patents related to those products. The August 5 order held that ClearOne had "met its burden of demonstrating entitlement to the extraordinary relief of a preliminary injunction" on U.S. Patent No. 9,813,806. The Court held that "Shure is likely infringing the ’806 Patent and has not raised a substantial question of the patent’s validity.” The injunction order prohibits Shure from “manufacturing, marketing, and selling the MXA910 to be used in its drop-ceiling mounting configuration, including marketing and selling the MXA910 in a way that encourages or allows integrators to install it in a drop-ceiling mounting configuration."</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2018.</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Title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6205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88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Section 302</w:t>
              </w:r>
            </w:hyperlink>
          </w:p>
        </w:tc>
        <w:tc>
          <w:tcPr>
            <w:tcW w:w="4060" w:type="dxa"/>
            <w:vAlign w:val="bottom"/>
            <w:tcBorders>
              <w:bottom w:val="single" w:sz="8" w:color="0000EE"/>
            </w:tcBorders>
          </w:tcPr>
          <w:p>
            <w:pPr>
              <w:ind w:left="20"/>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Certification of Chief Executive Officer (filed herewith)</w:t>
              </w:r>
            </w:hyperlink>
          </w:p>
        </w:tc>
        <w:tc>
          <w:tcPr>
            <w:tcW w:w="5480" w:type="dxa"/>
            <w:vAlign w:val="bottom"/>
            <w:gridSpan w:val="2"/>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88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Section 302</w:t>
              </w:r>
            </w:hyperlink>
          </w:p>
        </w:tc>
        <w:tc>
          <w:tcPr>
            <w:tcW w:w="4260" w:type="dxa"/>
            <w:vAlign w:val="bottom"/>
            <w:tcBorders>
              <w:bottom w:val="single" w:sz="8" w:color="0000EE"/>
            </w:tcBorders>
            <w:gridSpan w:val="2"/>
          </w:tcPr>
          <w:p>
            <w:pPr>
              <w:ind w:left="20"/>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Certification of Principal Financial Officer (filed herewith)</w:t>
              </w:r>
            </w:hyperlink>
          </w:p>
        </w:tc>
        <w:tc>
          <w:tcPr>
            <w:tcW w:w="5280" w:type="dxa"/>
            <w:vAlign w:val="bottom"/>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88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Section 906</w:t>
              </w:r>
            </w:hyperlink>
          </w:p>
        </w:tc>
        <w:tc>
          <w:tcPr>
            <w:tcW w:w="4060" w:type="dxa"/>
            <w:vAlign w:val="bottom"/>
            <w:tcBorders>
              <w:bottom w:val="single" w:sz="8" w:color="0000EE"/>
            </w:tcBorders>
          </w:tcPr>
          <w:p>
            <w:pPr>
              <w:ind w:left="20"/>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Certification of Chief Executive Officer (filed herewith)</w:t>
              </w:r>
            </w:hyperlink>
          </w:p>
        </w:tc>
        <w:tc>
          <w:tcPr>
            <w:tcW w:w="5480" w:type="dxa"/>
            <w:vAlign w:val="bottom"/>
            <w:gridSpan w:val="2"/>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88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Section 906</w:t>
              </w:r>
            </w:hyperlink>
          </w:p>
        </w:tc>
        <w:tc>
          <w:tcPr>
            <w:tcW w:w="4260" w:type="dxa"/>
            <w:vAlign w:val="bottom"/>
            <w:tcBorders>
              <w:bottom w:val="single" w:sz="8" w:color="0000EE"/>
            </w:tcBorders>
            <w:gridSpan w:val="2"/>
          </w:tcPr>
          <w:p>
            <w:pPr>
              <w:ind w:left="20"/>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Certification of Principal Financial Officer (filed herewith)</w:t>
              </w:r>
            </w:hyperlink>
          </w:p>
        </w:tc>
        <w:tc>
          <w:tcPr>
            <w:tcW w:w="5280" w:type="dxa"/>
            <w:vAlign w:val="bottom"/>
          </w:tcPr>
          <w:p>
            <w:pPr>
              <w:spacing w:after="0"/>
              <w:rPr>
                <w:sz w:val="24"/>
                <w:szCs w:val="24"/>
                <w:color w:val="auto"/>
              </w:rPr>
            </w:pPr>
          </w:p>
        </w:tc>
      </w:tr>
      <w:tr>
        <w:trPr>
          <w:trHeight w:val="453"/>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gridSpan w:val="4"/>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gridSpan w:val="4"/>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2"/>
        </w:trPr>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ind w:left="37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August 14, 2019</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August 14, 2019</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2"/>
        </w:trPr>
        <w:tc>
          <w:tcPr>
            <w:tcW w:w="6180" w:type="dxa"/>
            <w:vAlign w:val="bottom"/>
          </w:tcPr>
          <w:p>
            <w:pPr>
              <w:ind w:left="5620"/>
              <w:spacing w:after="0"/>
              <w:rPr>
                <w:sz w:val="20"/>
                <w:szCs w:val="20"/>
                <w:color w:val="auto"/>
              </w:rPr>
            </w:pPr>
            <w:r>
              <w:rPr>
                <w:rFonts w:ascii="Arial" w:cs="Arial" w:eastAsia="Arial" w:hAnsi="Arial"/>
                <w:sz w:val="18"/>
                <w:szCs w:val="18"/>
                <w:color w:val="auto"/>
              </w:rPr>
              <w:t>23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August 14, 2019</w:t>
            </w:r>
          </w:p>
        </w:tc>
        <w:tc>
          <w:tcPr>
            <w:tcW w:w="2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August 14, 2019</w:t>
            </w:r>
          </w:p>
        </w:tc>
        <w:tc>
          <w:tcPr>
            <w:tcW w:w="2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June 30, 2019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August 14, 2019</w:t>
            </w:r>
          </w:p>
        </w:tc>
        <w:tc>
          <w:tcPr>
            <w:tcW w:w="2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2019,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August 14, 2019</w:t>
            </w:r>
          </w:p>
        </w:tc>
        <w:tc>
          <w:tcPr>
            <w:tcW w:w="2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2019-12-28T07:00:52Z</dcterms:created>
  <dcterms:modified xsi:type="dcterms:W3CDTF">2019-12-28T07:00:52Z</dcterms:modified>
</cp:coreProperties>
</file>