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Proxy Statement Pursuant to Section 14(a) of the Securities Exchange Act of 1934</w:t>
      </w:r>
    </w:p>
    <w:p>
      <w:pPr>
        <w:spacing w:after="0" w:line="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w:t>
      </w:r>
    </w:p>
    <w:p>
      <w:pPr>
        <w:spacing w:after="0" w:line="372"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Filed by the Registrant</w:t>
      </w:r>
      <w:r>
        <w:rPr>
          <w:sz w:val="20"/>
          <w:szCs w:val="20"/>
          <w:color w:val="auto"/>
        </w:rPr>
        <w:tab/>
      </w:r>
      <w:r>
        <w:rPr>
          <w:rFonts w:ascii="Courier New" w:cs="Courier New" w:eastAsia="Courier New" w:hAnsi="Courier New"/>
          <w:sz w:val="16"/>
          <w:szCs w:val="16"/>
          <w:color w:val="auto"/>
        </w:rPr>
        <w:t>[X]</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 ] Check the appropriate box:</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Preliminary Proxy Statement</w:t>
      </w:r>
    </w:p>
    <w:p>
      <w:pPr>
        <w:spacing w:after="0" w:line="31" w:lineRule="exact"/>
        <w:rPr>
          <w:sz w:val="24"/>
          <w:szCs w:val="24"/>
          <w:color w:val="auto"/>
        </w:rPr>
      </w:pPr>
    </w:p>
    <w:p>
      <w:pPr>
        <w:ind w:left="420" w:right="3359" w:hanging="412"/>
        <w:spacing w:after="0" w:line="238" w:lineRule="auto"/>
        <w:tabs>
          <w:tab w:leader="none" w:pos="20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Confidential, for Use of the Commission Only (as permitted by Rule 14a-6(e)(2))</w:t>
      </w:r>
    </w:p>
    <w:p>
      <w:pPr>
        <w:spacing w:after="0"/>
        <w:rPr>
          <w:sz w:val="20"/>
          <w:szCs w:val="20"/>
          <w:color w:val="auto"/>
        </w:rPr>
      </w:pPr>
      <w:r>
        <w:rPr>
          <w:rFonts w:ascii="Courier New" w:cs="Courier New" w:eastAsia="Courier New" w:hAnsi="Courier New"/>
          <w:sz w:val="18"/>
          <w:szCs w:val="18"/>
          <w:color w:val="auto"/>
        </w:rPr>
        <w:t>[ ] Definitive Proxy Statement</w:t>
      </w:r>
    </w:p>
    <w:p>
      <w:pPr>
        <w:spacing w:after="0" w:line="238" w:lineRule="auto"/>
        <w:rPr>
          <w:sz w:val="20"/>
          <w:szCs w:val="20"/>
          <w:color w:val="auto"/>
        </w:rPr>
      </w:pPr>
      <w:r>
        <w:rPr>
          <w:rFonts w:ascii="Courier New" w:cs="Courier New" w:eastAsia="Courier New" w:hAnsi="Courier New"/>
          <w:sz w:val="18"/>
          <w:szCs w:val="18"/>
          <w:color w:val="auto"/>
        </w:rPr>
        <w:t>[ ] Definitive Additional Materials</w:t>
      </w:r>
    </w:p>
    <w:p>
      <w:pPr>
        <w:spacing w:after="0"/>
        <w:rPr>
          <w:sz w:val="20"/>
          <w:szCs w:val="20"/>
          <w:color w:val="auto"/>
        </w:rPr>
      </w:pPr>
      <w:r>
        <w:rPr>
          <w:rFonts w:ascii="Courier New" w:cs="Courier New" w:eastAsia="Courier New" w:hAnsi="Courier New"/>
          <w:sz w:val="18"/>
          <w:szCs w:val="18"/>
          <w:color w:val="auto"/>
        </w:rPr>
        <w:t>[ ] Soliciting Material Pursuant toss.240.14a-11(c) orss.240.14a-12</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(Name of Registrant as Specified in Its Charter)</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3"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(Name of Person(s) Filing Proxy Statement if other than Registrant)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No fee required.</w:t>
      </w:r>
    </w:p>
    <w:p>
      <w:pPr>
        <w:spacing w:after="0" w:line="3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 0-11.</w:t>
      </w:r>
    </w:p>
    <w:p>
      <w:pPr>
        <w:spacing w:after="0" w:line="169"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jc w:val="both"/>
        <w:ind w:left="1580" w:right="1779" w:hanging="729"/>
        <w:spacing w:after="0" w:line="344" w:lineRule="auto"/>
        <w:tabs>
          <w:tab w:leader="none" w:pos="1580"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30"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580" w:hanging="729"/>
        <w:spacing w:after="0"/>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 Fee paid previously with preliminary materials.</w:t>
      </w:r>
    </w:p>
    <w:p>
      <w:pPr>
        <w:spacing w:after="0" w:line="31" w:lineRule="exact"/>
        <w:rPr>
          <w:sz w:val="24"/>
          <w:szCs w:val="24"/>
          <w:color w:val="auto"/>
        </w:rPr>
      </w:pPr>
    </w:p>
    <w:p>
      <w:pPr>
        <w:jc w:val="both"/>
        <w:ind w:right="1779" w:firstLine="8"/>
        <w:spacing w:after="0" w:line="262"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90"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8"/>
          <w:szCs w:val="18"/>
          <w:color w:val="auto"/>
        </w:rPr>
      </w:pPr>
    </w:p>
    <w:p>
      <w:pPr>
        <w:ind w:left="1580" w:hanging="729"/>
        <w:spacing w:after="0"/>
        <w:tabs>
          <w:tab w:leader="none" w:pos="15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1"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18" w:right="1440" w:bottom="708"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40" w:right="1440" w:bottom="1440" w:gutter="0" w:footer="0" w:header="0"/>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NOTICE OF ANNUAL MEETING OF SHAREHOLDERS</w:t>
      </w:r>
    </w:p>
    <w:p>
      <w:pPr>
        <w:spacing w:after="0" w:line="1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October 10,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w:t>
      </w:r>
    </w:p>
    <w:p>
      <w:pPr>
        <w:spacing w:after="0" w:line="201"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NOTICE IS HEREBY GIVEN that the Annual Meeting of Shareholders of Gentner Communications Corporation (the "Company"), a Utah Corporation, will be held on November 14, 2001, at 3:00 P.M. MST, at the Company's corporate offices located at 1825 Research Way, Salt Lake City, Utah 84119 for the following purposes:</w:t>
      </w:r>
    </w:p>
    <w:p>
      <w:pPr>
        <w:spacing w:after="0" w:line="90"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six members of the Company's Board of Directors;</w:t>
      </w:r>
    </w:p>
    <w:p>
      <w:pPr>
        <w:spacing w:after="0" w:line="201" w:lineRule="exact"/>
        <w:rPr>
          <w:rFonts w:ascii="Courier New" w:cs="Courier New" w:eastAsia="Courier New" w:hAnsi="Courier New"/>
          <w:sz w:val="18"/>
          <w:szCs w:val="18"/>
          <w:color w:val="auto"/>
        </w:rPr>
      </w:pPr>
    </w:p>
    <w:p>
      <w:pPr>
        <w:jc w:val="both"/>
        <w:ind w:left="1700" w:right="1779" w:hanging="849"/>
        <w:spacing w:after="0" w:line="292"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the Articles of Incorporation of the Company to change the name of the Company from "Gentner Communications Corporation" to "ClearOne Communications Inc.;"</w:t>
      </w:r>
    </w:p>
    <w:p>
      <w:pPr>
        <w:spacing w:after="0" w:line="66" w:lineRule="exact"/>
        <w:rPr>
          <w:rFonts w:ascii="Courier New" w:cs="Courier New" w:eastAsia="Courier New" w:hAnsi="Courier New"/>
          <w:sz w:val="18"/>
          <w:szCs w:val="18"/>
          <w:color w:val="auto"/>
        </w:rPr>
      </w:pPr>
    </w:p>
    <w:p>
      <w:pPr>
        <w:jc w:val="both"/>
        <w:ind w:left="1700" w:right="1779" w:hanging="849"/>
        <w:spacing w:after="0" w:line="292"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an amendment to the Company's 1998 Stock Option Plan to increase the number of shares of Common Stock reserved for issuance thereunder by 800,000;</w:t>
      </w:r>
    </w:p>
    <w:p>
      <w:pPr>
        <w:spacing w:after="0" w:line="66" w:lineRule="exact"/>
        <w:rPr>
          <w:rFonts w:ascii="Courier New" w:cs="Courier New" w:eastAsia="Courier New" w:hAnsi="Courier New"/>
          <w:sz w:val="18"/>
          <w:szCs w:val="18"/>
          <w:color w:val="auto"/>
        </w:rPr>
      </w:pPr>
    </w:p>
    <w:p>
      <w:pPr>
        <w:ind w:left="1700" w:right="1779" w:hanging="849"/>
        <w:spacing w:after="0" w:line="347"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ratify the appointment of the Company's independent auditors; and</w:t>
      </w:r>
    </w:p>
    <w:p>
      <w:pPr>
        <w:spacing w:after="0" w:line="18" w:lineRule="exact"/>
        <w:rPr>
          <w:rFonts w:ascii="Courier New" w:cs="Courier New" w:eastAsia="Courier New" w:hAnsi="Courier New"/>
          <w:sz w:val="18"/>
          <w:szCs w:val="18"/>
          <w:color w:val="auto"/>
        </w:rPr>
      </w:pPr>
    </w:p>
    <w:p>
      <w:pPr>
        <w:ind w:left="1700" w:right="1779" w:hanging="849"/>
        <w:spacing w:after="0" w:line="347" w:lineRule="auto"/>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 thereof.</w:t>
      </w:r>
    </w:p>
    <w:p>
      <w:pPr>
        <w:spacing w:after="0" w:line="18" w:lineRule="exact"/>
        <w:rPr>
          <w:sz w:val="20"/>
          <w:szCs w:val="20"/>
          <w:color w:val="auto"/>
        </w:rPr>
      </w:pPr>
    </w:p>
    <w:p>
      <w:pPr>
        <w:jc w:val="both"/>
        <w:ind w:right="1779" w:firstLine="843"/>
        <w:spacing w:after="0" w:line="274" w:lineRule="auto"/>
        <w:rPr>
          <w:sz w:val="20"/>
          <w:szCs w:val="20"/>
          <w:color w:val="auto"/>
        </w:rPr>
      </w:pPr>
      <w:r>
        <w:rPr>
          <w:rFonts w:ascii="Courier New" w:cs="Courier New" w:eastAsia="Courier New" w:hAnsi="Courier New"/>
          <w:sz w:val="18"/>
          <w:szCs w:val="18"/>
          <w:color w:val="auto"/>
        </w:rPr>
        <w:t>The foregoing items of business are more fully described in the Proxy Statement accompanying this Notice. The Board of Directors recommends that an affirmative vote be cast in favor of all nominees and for each of the proposals listed in the proxy card.</w:t>
      </w:r>
    </w:p>
    <w:p>
      <w:pPr>
        <w:spacing w:after="0" w:line="82" w:lineRule="exact"/>
        <w:rPr>
          <w:sz w:val="20"/>
          <w:szCs w:val="20"/>
          <w:color w:val="auto"/>
        </w:rPr>
      </w:pPr>
    </w:p>
    <w:p>
      <w:pPr>
        <w:jc w:val="both"/>
        <w:ind w:right="1779" w:firstLine="843"/>
        <w:spacing w:after="0" w:line="292" w:lineRule="auto"/>
        <w:rPr>
          <w:sz w:val="20"/>
          <w:szCs w:val="20"/>
          <w:color w:val="auto"/>
        </w:rPr>
      </w:pPr>
      <w:r>
        <w:rPr>
          <w:rFonts w:ascii="Courier New" w:cs="Courier New" w:eastAsia="Courier New" w:hAnsi="Courier New"/>
          <w:sz w:val="18"/>
          <w:szCs w:val="18"/>
          <w:color w:val="auto"/>
        </w:rPr>
        <w:t>Only the shareholders of record at the close of business on October 1, 2001 are entitled to notice of and to vote at the meeting and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096" w:right="1440" w:bottom="1440" w:gutter="0" w:footer="0" w:header="0"/>
        </w:sectPr>
      </w:pPr>
    </w:p>
    <w:bookmarkStart w:id="3" w:name="page4"/>
    <w:bookmarkEnd w:id="3"/>
    <w:p>
      <w:pPr>
        <w:jc w:val="both"/>
        <w:ind w:right="1779" w:firstLine="843"/>
        <w:spacing w:after="0" w:line="260" w:lineRule="auto"/>
        <w:rPr>
          <w:sz w:val="20"/>
          <w:szCs w:val="20"/>
          <w:color w:val="auto"/>
        </w:rPr>
      </w:pPr>
      <w:r>
        <w:rPr>
          <w:rFonts w:ascii="Courier New" w:cs="Courier New" w:eastAsia="Courier New" w:hAnsi="Courier New"/>
          <w:sz w:val="18"/>
          <w:szCs w:val="18"/>
          <w:color w:val="auto"/>
        </w:rPr>
        <w:t>All shareholders are cordially invited to attend the meeting in person. However, to ensure your representation at the meeting, you are urged to mark, sign, date and return the enclosed proxy as promptly as possible in the postage-prepaid envelope enclosed for that purpose. Any shareholder attending the meeting may vote in person even if such shareholder has previously returned a proxy.</w:t>
      </w:r>
    </w:p>
    <w:p>
      <w:pPr>
        <w:spacing w:after="0" w:line="9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FOR THE BOARD OF DIRECTORS</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Frances M. Flood</w:t>
      </w:r>
    </w:p>
    <w:p>
      <w:pPr>
        <w:spacing w:after="0" w:line="31"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Frances M. Flood, President and</w:t>
      </w:r>
    </w:p>
    <w:p>
      <w:pPr>
        <w:ind w:left="328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893" w:right="1440" w:bottom="1440" w:gutter="0" w:footer="0" w:header="0"/>
        </w:sectPr>
      </w:pPr>
    </w:p>
    <w:bookmarkStart w:id="4" w:name="page5"/>
    <w:bookmarkEnd w:id="4"/>
    <w:p>
      <w:pPr>
        <w:jc w:val="center"/>
        <w:ind w:right="177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PROXY STATEMENT FOR ANNUAL MEETING OF SHAREHOLDERS</w:t>
      </w:r>
    </w:p>
    <w:p>
      <w:pPr>
        <w:spacing w:after="0" w:line="169" w:lineRule="exact"/>
        <w:rPr>
          <w:sz w:val="20"/>
          <w:szCs w:val="20"/>
          <w:color w:val="auto"/>
        </w:rPr>
      </w:pPr>
    </w:p>
    <w:p>
      <w:pPr>
        <w:jc w:val="both"/>
        <w:ind w:right="1779" w:firstLine="843"/>
        <w:spacing w:after="0" w:line="253" w:lineRule="auto"/>
        <w:rPr>
          <w:sz w:val="20"/>
          <w:szCs w:val="20"/>
          <w:color w:val="auto"/>
        </w:rPr>
      </w:pPr>
      <w:r>
        <w:rPr>
          <w:rFonts w:ascii="Courier New" w:cs="Courier New" w:eastAsia="Courier New" w:hAnsi="Courier New"/>
          <w:sz w:val="18"/>
          <w:szCs w:val="18"/>
          <w:color w:val="auto"/>
        </w:rPr>
        <w:t>The enclosed Proxy is solicited on behalf of the Board of Directors of Gentner Communications Corporation (the "Company") for use at the Company's Annual Meeting of Shareholders ("Annual Meeting") to be held November 14, 2001 at 3:00 P.M. MST, or at any postponement or adjournment thereof, for the purposes set forth herein and in the accompanying Notice of Annual Meeting of Shareholders. The Annual Meeting will be held at the above date and time at the Company's offices located at 1825 Research Way, Salt Lake City, Utah 84119. The telephone number at that address is (801) 975-7200.</w:t>
      </w:r>
    </w:p>
    <w:p>
      <w:pPr>
        <w:spacing w:after="0" w:line="104" w:lineRule="exact"/>
        <w:rPr>
          <w:sz w:val="20"/>
          <w:szCs w:val="20"/>
          <w:color w:val="auto"/>
        </w:rPr>
      </w:pPr>
    </w:p>
    <w:p>
      <w:pPr>
        <w:jc w:val="both"/>
        <w:ind w:right="1779" w:firstLine="843"/>
        <w:spacing w:after="0" w:line="347" w:lineRule="auto"/>
        <w:rPr>
          <w:sz w:val="20"/>
          <w:szCs w:val="20"/>
          <w:color w:val="auto"/>
        </w:rPr>
      </w:pPr>
      <w:r>
        <w:rPr>
          <w:rFonts w:ascii="Courier New" w:cs="Courier New" w:eastAsia="Courier New" w:hAnsi="Courier New"/>
          <w:sz w:val="18"/>
          <w:szCs w:val="18"/>
          <w:color w:val="auto"/>
        </w:rPr>
        <w:t>These proxy solicitation materials were first mailed on or about October 10, 2001 to all shareholders entitled to vote at the Annual Meeting.</w:t>
      </w:r>
    </w:p>
    <w:p>
      <w:pPr>
        <w:spacing w:after="0" w:line="1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INFORMATION CONCERNING SOLICITATION AND VOTING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Record Date and Shares Outstanding</w:t>
      </w:r>
    </w:p>
    <w:p>
      <w:pPr>
        <w:spacing w:after="0" w:line="201"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Shareholders of record at the close of business on October 1, 2001 (the "Record Date") are entitled to notice of, and to vote at, the Annual Meeting. On the Record Date, _,___,___ shares of Common Stock were issued and outstanding. Each shareholder will be entitled to one vote for each share of Common Stock held on the record date.</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of Proxies</w:t>
      </w:r>
    </w:p>
    <w:p>
      <w:pPr>
        <w:spacing w:after="0" w:line="201" w:lineRule="exact"/>
        <w:rPr>
          <w:sz w:val="20"/>
          <w:szCs w:val="20"/>
          <w:color w:val="auto"/>
        </w:rPr>
      </w:pPr>
    </w:p>
    <w:p>
      <w:pPr>
        <w:jc w:val="both"/>
        <w:ind w:right="1779" w:firstLine="843"/>
        <w:spacing w:after="0" w:line="260" w:lineRule="auto"/>
        <w:rPr>
          <w:sz w:val="20"/>
          <w:szCs w:val="20"/>
          <w:color w:val="auto"/>
        </w:rPr>
      </w:pPr>
      <w:r>
        <w:rPr>
          <w:rFonts w:ascii="Courier New" w:cs="Courier New" w:eastAsia="Courier New" w:hAnsi="Courier New"/>
          <w:sz w:val="18"/>
          <w:szCs w:val="18"/>
          <w:color w:val="auto"/>
        </w:rPr>
        <w:t>By completing and returning the accompanying proxy, the shareholder authorizes Frances M. Flood, President and CEO, and James A. Valeo, Vice President and General Counsel, as designated on the face of the proxy, to vote all shares for the shareholder. All proxies that are properly signed and dated will be voted as the shareholder directs. If no direction is given, executed proxies will be voted FOR each of the nominees and listed proposals.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Revocability of Proxies</w:t>
      </w:r>
    </w:p>
    <w:p>
      <w:pPr>
        <w:spacing w:after="0" w:line="201" w:lineRule="exact"/>
        <w:rPr>
          <w:sz w:val="20"/>
          <w:szCs w:val="20"/>
          <w:color w:val="auto"/>
        </w:rPr>
      </w:pPr>
    </w:p>
    <w:p>
      <w:pPr>
        <w:jc w:val="both"/>
        <w:ind w:right="1779" w:firstLine="843"/>
        <w:spacing w:after="0" w:line="318" w:lineRule="auto"/>
        <w:rPr>
          <w:sz w:val="20"/>
          <w:szCs w:val="20"/>
          <w:color w:val="auto"/>
        </w:rPr>
      </w:pPr>
      <w:r>
        <w:rPr>
          <w:rFonts w:ascii="Courier New" w:cs="Courier New" w:eastAsia="Courier New" w:hAnsi="Courier New"/>
          <w:sz w:val="16"/>
          <w:szCs w:val="16"/>
          <w:color w:val="auto"/>
        </w:rPr>
        <w:t>Any proxy given pursuant to this solicitation may be revoked by the person giving it at any time before its use by delivering to James A. Valeo, Secretary of the Company, a written notice of revocation, a duly executed proxy bearing a later date or by attending the Annual Meeting and voting in person.</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Solicitation</w:t>
      </w:r>
    </w:p>
    <w:p>
      <w:pPr>
        <w:spacing w:after="0" w:line="201" w:lineRule="exact"/>
        <w:rPr>
          <w:sz w:val="20"/>
          <w:szCs w:val="20"/>
          <w:color w:val="auto"/>
        </w:rPr>
      </w:pPr>
    </w:p>
    <w:p>
      <w:pPr>
        <w:jc w:val="both"/>
        <w:ind w:right="1779" w:firstLine="843"/>
        <w:spacing w:after="0" w:line="298" w:lineRule="auto"/>
        <w:rPr>
          <w:sz w:val="20"/>
          <w:szCs w:val="20"/>
          <w:color w:val="auto"/>
        </w:rPr>
      </w:pPr>
      <w:r>
        <w:rPr>
          <w:rFonts w:ascii="Courier New" w:cs="Courier New" w:eastAsia="Courier New" w:hAnsi="Courier New"/>
          <w:sz w:val="16"/>
          <w:szCs w:val="16"/>
          <w:color w:val="auto"/>
        </w:rPr>
        <w:t>The cost of this solicitation will be borne by the Company. In addition, the Company may reimburse brokerage firms and other persons representing beneficial owners of shares for their expenses in forwarding solicitation material to such beneficial owners. Proxies may also be solicited by certain of the Company's directors, officers, and regular employees, without additional compensation, personally or by telephone, facsimile, or telegram.</w:t>
      </w:r>
    </w:p>
    <w:p>
      <w:pPr>
        <w:spacing w:after="0" w:line="27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893"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Deadline for Receipt of Shareholder Proposals</w:t>
      </w:r>
    </w:p>
    <w:p>
      <w:pPr>
        <w:spacing w:after="0" w:line="201" w:lineRule="exact"/>
        <w:rPr>
          <w:sz w:val="20"/>
          <w:szCs w:val="20"/>
          <w:color w:val="auto"/>
        </w:rPr>
      </w:pPr>
    </w:p>
    <w:p>
      <w:pPr>
        <w:jc w:val="both"/>
        <w:ind w:right="1779" w:firstLine="843"/>
        <w:spacing w:after="0" w:line="285" w:lineRule="auto"/>
        <w:rPr>
          <w:sz w:val="20"/>
          <w:szCs w:val="20"/>
          <w:color w:val="auto"/>
        </w:rPr>
      </w:pPr>
      <w:r>
        <w:rPr>
          <w:rFonts w:ascii="Courier New" w:cs="Courier New" w:eastAsia="Courier New" w:hAnsi="Courier New"/>
          <w:sz w:val="16"/>
          <w:szCs w:val="16"/>
          <w:color w:val="auto"/>
        </w:rPr>
        <w:t>The Company currently anticipates the Annual Meeting in 2002 will be held on or about November 14, 2002. Any shareholder desiring to submit a proposal for inclusion in the Company's proxy statement and form of proxy for the Company's 2002 Annual Meeting of Shareholders should transmit such proposal to the Secretary of the Company on or before June 10, 2002. For any other proposal that a shareholder wishes to have considered at the Company's 2002 Annual Meeting, the shareholder must notify the Company of the proposal on or before August 26, 2002. Proposals for which the Company receives notice after that time will be considered untimely, and the persons serving as proxies will have discretionary authority to vote on such matter at the meeting.</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Required for Approval</w:t>
      </w:r>
    </w:p>
    <w:p>
      <w:pPr>
        <w:spacing w:after="0" w:line="201" w:lineRule="exact"/>
        <w:rPr>
          <w:sz w:val="20"/>
          <w:szCs w:val="20"/>
          <w:color w:val="auto"/>
        </w:rPr>
      </w:pPr>
    </w:p>
    <w:p>
      <w:pPr>
        <w:jc w:val="both"/>
        <w:ind w:right="1779" w:firstLine="843"/>
        <w:spacing w:after="0" w:line="248" w:lineRule="auto"/>
        <w:rPr>
          <w:sz w:val="20"/>
          <w:szCs w:val="20"/>
          <w:color w:val="auto"/>
        </w:rPr>
      </w:pPr>
      <w:r>
        <w:rPr>
          <w:rFonts w:ascii="Courier New" w:cs="Courier New" w:eastAsia="Courier New" w:hAnsi="Courier New"/>
          <w:sz w:val="18"/>
          <w:szCs w:val="18"/>
          <w:color w:val="auto"/>
        </w:rPr>
        <w:t>A quorum of the shares of the Company must be present at the Annual Meeting in order for the shareholders to take official action. Under Utah law and the Articles of Incorporation and Bylaws of the Company, a quorum will exist if a majority of the shares issued by the Company and entitled to vote on a matter at the Annual Meeting are present, in person or by proxy. Abstentions and broker non-votes will be considered present at the Annual Meeting and will be counted for purposes of determining whether a quorum exists, but abstentions and broker non-votes will not be counted for purposes of determining the vote on any matter currently proposed for action at the Annual Meeting. The election of directors will be determined by plurality vote. The Board of Directors recommends that an affirmative vote be cast in favor of all nominees and for each of the proposals listed in the proxy card.</w:t>
      </w:r>
    </w:p>
    <w:p>
      <w:pPr>
        <w:spacing w:after="0" w:line="1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 OWNERSHIP OF CERTAIN</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BENEFICIAL OWNERS AND MANAGEMENT</w:t>
      </w:r>
    </w:p>
    <w:p>
      <w:pPr>
        <w:spacing w:after="0" w:line="169" w:lineRule="exact"/>
        <w:rPr>
          <w:sz w:val="20"/>
          <w:szCs w:val="20"/>
          <w:color w:val="auto"/>
        </w:rPr>
      </w:pPr>
    </w:p>
    <w:p>
      <w:pPr>
        <w:jc w:val="both"/>
        <w:ind w:right="1779" w:firstLine="843"/>
        <w:spacing w:after="0" w:line="247" w:lineRule="auto"/>
        <w:rPr>
          <w:sz w:val="20"/>
          <w:szCs w:val="20"/>
          <w:color w:val="auto"/>
        </w:rPr>
      </w:pPr>
      <w:r>
        <w:rPr>
          <w:rFonts w:ascii="Courier New" w:cs="Courier New" w:eastAsia="Courier New" w:hAnsi="Courier New"/>
          <w:sz w:val="18"/>
          <w:szCs w:val="18"/>
          <w:color w:val="auto"/>
        </w:rPr>
        <w:t>The following table sets forth certain information regarding ownership of the Common Stock of the Company as of September 1, 2001 by (i) each person known to the Company to be the beneficial owner of more than 5% of the outstanding Common Stock of the Company, (ii) each director of the Company,</w:t>
      </w:r>
    </w:p>
    <w:p>
      <w:pPr>
        <w:spacing w:after="0" w:line="3" w:lineRule="exact"/>
        <w:rPr>
          <w:sz w:val="20"/>
          <w:szCs w:val="20"/>
          <w:color w:val="auto"/>
        </w:rPr>
      </w:pPr>
    </w:p>
    <w:p>
      <w:pPr>
        <w:jc w:val="both"/>
        <w:ind w:right="1779" w:firstLine="8"/>
        <w:spacing w:after="0" w:line="250" w:lineRule="auto"/>
        <w:tabs>
          <w:tab w:leader="none" w:pos="63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Chief Executive Officer and each other executive officer of the Company whose salary and bonus for the year ended June 30, 2001 exceeded $100,000, and (iv) all executive officers and directors of the Company as a group. Each person has sole investment and voting power with respect to the shares indicated, subject to community property laws where applicable, except as otherwise indicated below. The address for each beneficial owner is in care of the Company, 1825 Research Way, Salt Lake City, Utah 84119.</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893" w:right="1440" w:bottom="1440" w:gutter="0" w:footer="0" w:header="0"/>
        </w:sectPr>
      </w:pPr>
    </w:p>
    <w:bookmarkStart w:id="6" w:name="page7"/>
    <w:bookmarkEnd w:id="6"/>
    <w:tbl>
      <w:tblPr>
        <w:tblLayout w:type="fixed"/>
        <w:tblInd w:w="212" w:type="dxa"/>
        <w:tblCellMar>
          <w:top w:w="0" w:type="dxa"/>
          <w:left w:w="0" w:type="dxa"/>
          <w:bottom w:w="0" w:type="dxa"/>
          <w:right w:w="0" w:type="dxa"/>
        </w:tblCellMar>
      </w:tblPr>
      <w:tr>
        <w:trPr>
          <w:trHeight w:val="204"/>
        </w:trPr>
        <w:tc>
          <w:tcPr>
            <w:tcW w:w="3580" w:type="dxa"/>
            <w:vAlign w:val="bottom"/>
            <w:vMerge w:val="restart"/>
          </w:tcPr>
          <w:p>
            <w:pPr>
              <w:spacing w:after="0"/>
              <w:rPr>
                <w:sz w:val="20"/>
                <w:szCs w:val="20"/>
                <w:color w:val="auto"/>
              </w:rPr>
            </w:pPr>
            <w:r>
              <w:rPr>
                <w:rFonts w:ascii="Courier New" w:cs="Courier New" w:eastAsia="Courier New" w:hAnsi="Courier New"/>
                <w:sz w:val="18"/>
                <w:szCs w:val="18"/>
                <w:color w:val="auto"/>
              </w:rPr>
              <w:t>Names of Beneficial Owners</w:t>
            </w:r>
          </w:p>
        </w:tc>
        <w:tc>
          <w:tcPr>
            <w:tcW w:w="2900" w:type="dxa"/>
            <w:vAlign w:val="bottom"/>
          </w:tcPr>
          <w:p>
            <w:pPr>
              <w:jc w:val="right"/>
              <w:ind w:right="1012"/>
              <w:spacing w:after="0"/>
              <w:rPr>
                <w:sz w:val="20"/>
                <w:szCs w:val="20"/>
                <w:color w:val="auto"/>
              </w:rPr>
            </w:pPr>
            <w:r>
              <w:rPr>
                <w:rFonts w:ascii="Courier New" w:cs="Courier New" w:eastAsia="Courier New" w:hAnsi="Courier New"/>
                <w:sz w:val="18"/>
                <w:szCs w:val="18"/>
                <w:color w:val="auto"/>
              </w:rPr>
              <w:t>Amount of</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Percentage</w:t>
            </w: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2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Beneficial Ownership(1)</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5"/>
              </w:rPr>
              <w:t>of Class(2)</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90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Edward Dallin Bagley</w:t>
            </w:r>
          </w:p>
        </w:tc>
        <w:tc>
          <w:tcPr>
            <w:tcW w:w="290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1,738,668(3)</w:t>
            </w:r>
          </w:p>
        </w:tc>
        <w:tc>
          <w:tcPr>
            <w:tcW w:w="1420" w:type="dxa"/>
            <w:vAlign w:val="bottom"/>
          </w:tcPr>
          <w:p>
            <w:pPr>
              <w:ind w:left="580"/>
              <w:spacing w:after="0"/>
              <w:rPr>
                <w:sz w:val="20"/>
                <w:szCs w:val="20"/>
                <w:color w:val="auto"/>
              </w:rPr>
            </w:pPr>
            <w:r>
              <w:rPr>
                <w:rFonts w:ascii="Courier New" w:cs="Courier New" w:eastAsia="Courier New" w:hAnsi="Courier New"/>
                <w:sz w:val="18"/>
                <w:szCs w:val="18"/>
                <w:color w:val="auto"/>
              </w:rPr>
              <w:t>20.2%</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Frances M. Flood</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296,913(4)</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3.4%</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Susie Strohm</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169,729(5)</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2.0%</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Brad R. Baldwin</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102,666(6)</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1.2%</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 Hewitson</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70,224(7)</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0.8%</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Tracy Bathurst</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39,730(8)</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0.5%</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J. Wiener</w:t>
            </w:r>
          </w:p>
        </w:tc>
        <w:tc>
          <w:tcPr>
            <w:tcW w:w="290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18,500(9)</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0.2%</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Randall J. Wichinski</w:t>
            </w:r>
          </w:p>
        </w:tc>
        <w:tc>
          <w:tcPr>
            <w:tcW w:w="2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18,200(10)</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0.2%</w:t>
            </w:r>
          </w:p>
        </w:tc>
        <w:tc>
          <w:tcPr>
            <w:tcW w:w="0" w:type="dxa"/>
            <w:vAlign w:val="bottom"/>
          </w:tcPr>
          <w:p>
            <w:pPr>
              <w:spacing w:after="0"/>
              <w:rPr>
                <w:sz w:val="1"/>
                <w:szCs w:val="1"/>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Eugene W. Kuntz, Jr.</w:t>
            </w:r>
          </w:p>
        </w:tc>
        <w:tc>
          <w:tcPr>
            <w:tcW w:w="290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15,813(11)</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0.2%</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Harry Spielberg</w:t>
            </w:r>
          </w:p>
        </w:tc>
        <w:tc>
          <w:tcPr>
            <w:tcW w:w="29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5,000(12)</w:t>
            </w:r>
          </w:p>
        </w:tc>
        <w:tc>
          <w:tcPr>
            <w:tcW w:w="1420" w:type="dxa"/>
            <w:vAlign w:val="bottom"/>
          </w:tcPr>
          <w:p>
            <w:pPr>
              <w:ind w:left="580"/>
              <w:spacing w:after="0"/>
              <w:rPr>
                <w:sz w:val="20"/>
                <w:szCs w:val="20"/>
                <w:color w:val="auto"/>
              </w:rPr>
            </w:pPr>
            <w:r>
              <w:rPr>
                <w:rFonts w:ascii="Courier New" w:cs="Courier New" w:eastAsia="Courier New" w:hAnsi="Courier New"/>
                <w:sz w:val="18"/>
                <w:szCs w:val="18"/>
                <w:color w:val="auto"/>
              </w:rPr>
              <w:t>0.1%</w:t>
            </w:r>
          </w:p>
        </w:tc>
        <w:tc>
          <w:tcPr>
            <w:tcW w:w="0" w:type="dxa"/>
            <w:vAlign w:val="bottom"/>
          </w:tcPr>
          <w:p>
            <w:pPr>
              <w:spacing w:after="0"/>
              <w:rPr>
                <w:sz w:val="1"/>
                <w:szCs w:val="1"/>
                <w:color w:val="auto"/>
              </w:rPr>
            </w:pPr>
          </w:p>
        </w:tc>
      </w:tr>
      <w:tr>
        <w:trPr>
          <w:trHeight w:val="311"/>
        </w:trPr>
        <w:tc>
          <w:tcPr>
            <w:tcW w:w="3580" w:type="dxa"/>
            <w:vAlign w:val="bottom"/>
          </w:tcPr>
          <w:p>
            <w:pPr>
              <w:spacing w:after="0"/>
              <w:rPr>
                <w:sz w:val="20"/>
                <w:szCs w:val="20"/>
                <w:color w:val="auto"/>
              </w:rPr>
            </w:pPr>
            <w:r>
              <w:rPr>
                <w:rFonts w:ascii="Courier New" w:cs="Courier New" w:eastAsia="Courier New" w:hAnsi="Courier New"/>
                <w:sz w:val="18"/>
                <w:szCs w:val="18"/>
                <w:color w:val="auto"/>
              </w:rPr>
              <w:t>Directors and Executive Officers</w:t>
            </w:r>
          </w:p>
        </w:tc>
        <w:tc>
          <w:tcPr>
            <w:tcW w:w="290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2,500,513(3-13)</w:t>
            </w:r>
          </w:p>
        </w:tc>
        <w:tc>
          <w:tcPr>
            <w:tcW w:w="142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29.0%</w:t>
            </w:r>
          </w:p>
        </w:tc>
        <w:tc>
          <w:tcPr>
            <w:tcW w:w="0" w:type="dxa"/>
            <w:vAlign w:val="bottom"/>
          </w:tcPr>
          <w:p>
            <w:pPr>
              <w:spacing w:after="0"/>
              <w:rPr>
                <w:sz w:val="1"/>
                <w:szCs w:val="1"/>
                <w:color w:val="auto"/>
              </w:rPr>
            </w:pPr>
          </w:p>
        </w:tc>
      </w:tr>
      <w:tr>
        <w:trPr>
          <w:trHeight w:val="296"/>
        </w:trPr>
        <w:tc>
          <w:tcPr>
            <w:tcW w:w="3580" w:type="dxa"/>
            <w:vAlign w:val="bottom"/>
          </w:tcPr>
          <w:p>
            <w:pPr>
              <w:spacing w:after="0"/>
              <w:rPr>
                <w:sz w:val="20"/>
                <w:szCs w:val="20"/>
                <w:color w:val="auto"/>
              </w:rPr>
            </w:pPr>
            <w:r>
              <w:rPr>
                <w:rFonts w:ascii="Courier New" w:cs="Courier New" w:eastAsia="Courier New" w:hAnsi="Courier New"/>
                <w:sz w:val="18"/>
                <w:szCs w:val="18"/>
                <w:color w:val="auto"/>
              </w:rPr>
              <w:t>as a Group (11 people)</w:t>
            </w:r>
          </w:p>
        </w:tc>
        <w:tc>
          <w:tcPr>
            <w:tcW w:w="290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left="412" w:right="1779" w:hanging="412"/>
        <w:spacing w:after="0" w:line="265"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each shareholder, the calculation of percentage of beneficial ownership is based on 8,612,978 shares of Common Stock outstanding as of September 1, 2001 and shares of Common Stock subject to options held by the shareholder that are currently exercisable or exercisable within 60 days of September 1, 2001.</w:t>
      </w:r>
    </w:p>
    <w:p>
      <w:pPr>
        <w:spacing w:after="0" w:line="90" w:lineRule="exact"/>
        <w:rPr>
          <w:sz w:val="20"/>
          <w:szCs w:val="20"/>
          <w:color w:val="auto"/>
        </w:rPr>
      </w:pPr>
    </w:p>
    <w:p>
      <w:pPr>
        <w:jc w:val="both"/>
        <w:ind w:left="412" w:right="1779" w:hanging="412"/>
        <w:spacing w:after="0" w:line="274" w:lineRule="auto"/>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ownership for any person is calculated assuming that all the stock that could be acquired by that person within 60 days by option exercise or otherwise, is in fact outstanding and that no other stockholder has exercised a similar right to acquire additional shares.</w:t>
      </w:r>
    </w:p>
    <w:p>
      <w:pPr>
        <w:spacing w:after="0" w:line="200" w:lineRule="exact"/>
        <w:rPr>
          <w:sz w:val="20"/>
          <w:szCs w:val="20"/>
          <w:color w:val="auto"/>
        </w:rPr>
      </w:pPr>
    </w:p>
    <w:p>
      <w:pPr>
        <w:spacing w:after="0" w:line="28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1297" w:right="1440" w:bottom="1440" w:gutter="0" w:footer="0" w:header="0"/>
        </w:sectPr>
      </w:pPr>
    </w:p>
    <w:bookmarkStart w:id="7" w:name="page8"/>
    <w:bookmarkEnd w:id="7"/>
    <w:p>
      <w:pPr>
        <w:jc w:val="both"/>
        <w:ind w:left="412" w:right="1779" w:hanging="412"/>
        <w:spacing w:after="0" w:line="252" w:lineRule="auto"/>
        <w:tabs>
          <w:tab w:leader="none" w:pos="41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1,321,285 shares owned directly; options to purchase 5,000 shares that are exercisable within 60 days; 100,000 shares owned by a corporation controlled by Mr. Bagley; 50 shares owned by Mr. Bagley's wife as custodian for one of Mr. Bagley's daughters; and 312,333 shares held in the Bagley Family Revocable Trust, of which Mr. Bagley is co-trustee. Excludes: 50 shares owned by another of Mr. Bagley's daughters who is not a member of his household. Mr. Bagley disclaims beneficial ownership of such 50 shares and fifty percent of the shares owned by the Bagley Family Revocable Trust.</w:t>
      </w:r>
    </w:p>
    <w:p>
      <w:pPr>
        <w:spacing w:after="0" w:line="99" w:lineRule="exact"/>
        <w:rPr>
          <w:sz w:val="20"/>
          <w:szCs w:val="20"/>
          <w:color w:val="auto"/>
        </w:rPr>
      </w:pPr>
    </w:p>
    <w:p>
      <w:pPr>
        <w:ind w:left="412" w:right="1779" w:hanging="412"/>
        <w:spacing w:after="0" w:line="347" w:lineRule="auto"/>
        <w:tabs>
          <w:tab w:leader="none" w:pos="41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CEO and Director. Includes: 54,579 shares owned directly; options to purchase 242,334 shares that are exercisable within 60 days.</w:t>
      </w:r>
    </w:p>
    <w:p>
      <w:pPr>
        <w:spacing w:after="0" w:line="18" w:lineRule="exact"/>
        <w:rPr>
          <w:sz w:val="20"/>
          <w:szCs w:val="20"/>
          <w:color w:val="auto"/>
        </w:rPr>
      </w:pPr>
    </w:p>
    <w:p>
      <w:pPr>
        <w:ind w:left="412" w:right="1779" w:hanging="412"/>
        <w:spacing w:after="0" w:line="347" w:lineRule="auto"/>
        <w:tabs>
          <w:tab w:leader="none" w:pos="41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Includes: 31,265 shares owned directly; options to purchase 138,464 shares that are exercisable within 60 days.</w:t>
      </w:r>
    </w:p>
    <w:p>
      <w:pPr>
        <w:spacing w:after="0" w:line="18" w:lineRule="exact"/>
        <w:rPr>
          <w:sz w:val="20"/>
          <w:szCs w:val="20"/>
          <w:color w:val="auto"/>
        </w:rPr>
      </w:pPr>
    </w:p>
    <w:p>
      <w:pPr>
        <w:jc w:val="both"/>
        <w:ind w:left="412" w:right="1779" w:hanging="412"/>
        <w:spacing w:after="0" w:line="292" w:lineRule="auto"/>
        <w:tabs>
          <w:tab w:leader="none" w:pos="41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67,666 shares owned directly; options to purchase 30,000 shares that are exercisable within 60 days; and 5,000 shares owned by Mr. Baldwin's wife.</w:t>
      </w:r>
    </w:p>
    <w:p>
      <w:pPr>
        <w:spacing w:after="0" w:line="66" w:lineRule="exact"/>
        <w:rPr>
          <w:sz w:val="20"/>
          <w:szCs w:val="20"/>
          <w:color w:val="auto"/>
        </w:rPr>
      </w:pPr>
    </w:p>
    <w:p>
      <w:pPr>
        <w:ind w:left="412" w:right="1779" w:hanging="412"/>
        <w:spacing w:after="0" w:line="347" w:lineRule="auto"/>
        <w:tabs>
          <w:tab w:leader="none" w:pos="41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Includes: 6,724 shares owned directly; options to purchase 63,500 shares that are exercisable within 60 days.</w:t>
      </w:r>
    </w:p>
    <w:p>
      <w:pPr>
        <w:spacing w:after="0" w:line="18" w:lineRule="exact"/>
        <w:rPr>
          <w:sz w:val="20"/>
          <w:szCs w:val="20"/>
          <w:color w:val="auto"/>
        </w:rPr>
      </w:pPr>
    </w:p>
    <w:p>
      <w:pPr>
        <w:ind w:left="412" w:right="1779" w:hanging="412"/>
        <w:spacing w:after="0" w:line="347" w:lineRule="auto"/>
        <w:tabs>
          <w:tab w:leader="none" w:pos="41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Includes: 730 shares owned directly; options to purchase 39,000 shares that are exercisable within 60 days.</w:t>
      </w:r>
    </w:p>
    <w:p>
      <w:pPr>
        <w:spacing w:after="0" w:line="18" w:lineRule="exact"/>
        <w:rPr>
          <w:sz w:val="20"/>
          <w:szCs w:val="20"/>
          <w:color w:val="auto"/>
        </w:rPr>
      </w:pPr>
    </w:p>
    <w:p>
      <w:pPr>
        <w:ind w:left="412" w:right="1779" w:hanging="412"/>
        <w:spacing w:after="0" w:line="347" w:lineRule="auto"/>
        <w:tabs>
          <w:tab w:leader="none" w:pos="4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6,000 shares owned directly; options to purchase 12,500 shares that are exercisable within 60 days.</w:t>
      </w:r>
    </w:p>
    <w:p>
      <w:pPr>
        <w:spacing w:after="0" w:line="18" w:lineRule="exact"/>
        <w:rPr>
          <w:sz w:val="20"/>
          <w:szCs w:val="20"/>
          <w:color w:val="auto"/>
        </w:rPr>
      </w:pPr>
    </w:p>
    <w:p>
      <w:pPr>
        <w:ind w:left="412" w:right="1779" w:hanging="412"/>
        <w:spacing w:after="0" w:line="347"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CFO and Director. Includes: 5,700 shares owned directly; options to purchase 12,500 shares that are exercisable within 60 days.</w:t>
      </w:r>
    </w:p>
    <w:p>
      <w:pPr>
        <w:spacing w:after="0" w:line="18" w:lineRule="exact"/>
        <w:rPr>
          <w:rFonts w:ascii="Courier New" w:cs="Courier New" w:eastAsia="Courier New" w:hAnsi="Courier New"/>
          <w:sz w:val="18"/>
          <w:szCs w:val="18"/>
          <w:color w:val="auto"/>
        </w:rPr>
      </w:pPr>
    </w:p>
    <w:p>
      <w:pPr>
        <w:ind w:left="412" w:right="1779" w:hanging="412"/>
        <w:spacing w:after="0" w:line="347"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Includes: 813 shares owned directly; options to purchase 15,000 shares that are exercisable within 60 days.</w:t>
      </w:r>
    </w:p>
    <w:p>
      <w:pPr>
        <w:spacing w:after="0" w:line="18" w:lineRule="exact"/>
        <w:rPr>
          <w:rFonts w:ascii="Courier New" w:cs="Courier New" w:eastAsia="Courier New" w:hAnsi="Courier New"/>
          <w:sz w:val="18"/>
          <w:szCs w:val="18"/>
          <w:color w:val="auto"/>
        </w:rPr>
      </w:pPr>
    </w:p>
    <w:p>
      <w:pPr>
        <w:ind w:left="412" w:right="1779" w:hanging="412"/>
        <w:spacing w:after="0" w:line="347"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Director. Includes: 0 shares owned directly; options to purchase 5,000 shares that are exercisable within 60 days.</w:t>
      </w:r>
    </w:p>
    <w:p>
      <w:pPr>
        <w:spacing w:after="0" w:line="18" w:lineRule="exact"/>
        <w:rPr>
          <w:rFonts w:ascii="Courier New" w:cs="Courier New" w:eastAsia="Courier New" w:hAnsi="Courier New"/>
          <w:sz w:val="18"/>
          <w:szCs w:val="18"/>
          <w:color w:val="auto"/>
        </w:rPr>
      </w:pPr>
    </w:p>
    <w:p>
      <w:pPr>
        <w:jc w:val="both"/>
        <w:ind w:left="412" w:right="1779" w:hanging="412"/>
        <w:spacing w:after="0" w:line="292"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An additional 70 shares owned directly by one additional officer; and options to purchase 25,000 shares that are exercisable within 60 days by this officer.</w:t>
      </w:r>
    </w:p>
    <w:p>
      <w:pPr>
        <w:spacing w:after="0" w:line="66"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691" w:right="1440" w:bottom="1440" w:gutter="0" w:footer="0" w:header="0"/>
        </w:sectPr>
      </w:pPr>
    </w:p>
    <w:bookmarkStart w:id="8" w:name="page9"/>
    <w:bookmarkEnd w:id="8"/>
    <w:p>
      <w:pPr>
        <w:ind w:left="2320"/>
        <w:spacing w:after="0"/>
        <w:rPr>
          <w:sz w:val="20"/>
          <w:szCs w:val="20"/>
          <w:color w:val="auto"/>
        </w:rPr>
      </w:pPr>
      <w:r>
        <w:rPr>
          <w:rFonts w:ascii="Courier New" w:cs="Courier New" w:eastAsia="Courier New" w:hAnsi="Courier New"/>
          <w:sz w:val="18"/>
          <w:szCs w:val="18"/>
          <w:color w:val="auto"/>
        </w:rPr>
        <w:t>PROPOSAL ONE -- ELECTION OF DIRECTORS</w:t>
      </w:r>
    </w:p>
    <w:p>
      <w:pPr>
        <w:spacing w:after="0" w:line="201" w:lineRule="exact"/>
        <w:rPr>
          <w:sz w:val="20"/>
          <w:szCs w:val="20"/>
          <w:color w:val="auto"/>
        </w:rPr>
      </w:pPr>
    </w:p>
    <w:p>
      <w:pPr>
        <w:jc w:val="both"/>
        <w:ind w:right="1779" w:firstLine="843"/>
        <w:spacing w:after="0" w:line="253" w:lineRule="auto"/>
        <w:rPr>
          <w:sz w:val="20"/>
          <w:szCs w:val="20"/>
          <w:color w:val="auto"/>
        </w:rPr>
      </w:pPr>
      <w:r>
        <w:rPr>
          <w:rFonts w:ascii="Courier New" w:cs="Courier New" w:eastAsia="Courier New" w:hAnsi="Courier New"/>
          <w:sz w:val="18"/>
          <w:szCs w:val="18"/>
          <w:color w:val="auto"/>
        </w:rPr>
        <w:t>The Company currently has six directors. Six are nominated for re-election at the Annual Meeting to serve until the next Annual Meeting of Shareholders or until their respective successors are duly elected and qualified. Unless otherwise instructed, the proxies will be voted for the election of the six nominees named below. In the event any nominee is unable to serve, the proxies will be voted for a substitute nominee, if any, to be designated by the Board of Directors. The Board of Directors has no reason to believe any nominee will be unavailable.</w:t>
      </w:r>
    </w:p>
    <w:p>
      <w:pPr>
        <w:spacing w:after="0" w:line="104"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BOARD OF DIRECTORS UNANIMOUSLY RECOMMENDS A VOTE FOR ELECTION OF THE NOMINEES NAMED ABOVE TO THE BOARD OF DIRECTORS.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individuals are currently directors of the Company:</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480" w:type="dxa"/>
            <w:vAlign w:val="bottom"/>
          </w:tcPr>
          <w:p>
            <w:pPr>
              <w:ind w:left="740"/>
              <w:spacing w:after="0"/>
              <w:rPr>
                <w:sz w:val="20"/>
                <w:szCs w:val="20"/>
                <w:color w:val="auto"/>
              </w:rPr>
            </w:pPr>
            <w:r>
              <w:rPr>
                <w:rFonts w:ascii="Courier New" w:cs="Courier New" w:eastAsia="Courier New" w:hAnsi="Courier New"/>
                <w:sz w:val="18"/>
                <w:szCs w:val="18"/>
                <w:color w:val="auto"/>
              </w:rPr>
              <w:t>Name</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Age</w:t>
            </w:r>
          </w:p>
        </w:tc>
        <w:tc>
          <w:tcPr>
            <w:tcW w:w="3160" w:type="dxa"/>
            <w:vAlign w:val="bottom"/>
          </w:tcPr>
          <w:p>
            <w:pPr>
              <w:ind w:left="200"/>
              <w:spacing w:after="0"/>
              <w:rPr>
                <w:sz w:val="20"/>
                <w:szCs w:val="20"/>
                <w:color w:val="auto"/>
              </w:rPr>
            </w:pPr>
            <w:r>
              <w:rPr>
                <w:rFonts w:ascii="Courier New" w:cs="Courier New" w:eastAsia="Courier New" w:hAnsi="Courier New"/>
                <w:sz w:val="18"/>
                <w:szCs w:val="18"/>
                <w:color w:val="auto"/>
              </w:rPr>
              <w:t>Principal Occupation</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Since</w:t>
            </w:r>
          </w:p>
        </w:tc>
      </w:tr>
      <w:tr>
        <w:trPr>
          <w:trHeight w:val="296"/>
        </w:trPr>
        <w:tc>
          <w:tcPr>
            <w:tcW w:w="2480" w:type="dxa"/>
            <w:vAlign w:val="bottom"/>
          </w:tcPr>
          <w:p>
            <w:pPr>
              <w:ind w:left="740"/>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316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Edward Dallin Bagley</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63</w:t>
            </w: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Attorney</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1994</w:t>
            </w: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Brad R. Baldwin</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46</w:t>
            </w: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Attorney and Commercial</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1988</w:t>
            </w:r>
          </w:p>
        </w:tc>
      </w:tr>
      <w:tr>
        <w:trPr>
          <w:trHeight w:val="296"/>
        </w:trPr>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Real Estate Agent</w:t>
            </w:r>
          </w:p>
        </w:tc>
        <w:tc>
          <w:tcPr>
            <w:tcW w:w="620" w:type="dxa"/>
            <w:vAlign w:val="bottom"/>
          </w:tcPr>
          <w:p>
            <w:pPr>
              <w:spacing w:after="0"/>
              <w:rPr>
                <w:sz w:val="24"/>
                <w:szCs w:val="24"/>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45</w:t>
            </w: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Chairman of the Board of</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1998</w:t>
            </w: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Directors, Chief</w:t>
            </w:r>
          </w:p>
        </w:tc>
        <w:tc>
          <w:tcPr>
            <w:tcW w:w="62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Executive Officer and</w:t>
            </w:r>
          </w:p>
        </w:tc>
        <w:tc>
          <w:tcPr>
            <w:tcW w:w="620" w:type="dxa"/>
            <w:vAlign w:val="bottom"/>
          </w:tcPr>
          <w:p>
            <w:pPr>
              <w:spacing w:after="0"/>
              <w:rPr>
                <w:sz w:val="17"/>
                <w:szCs w:val="17"/>
                <w:color w:val="auto"/>
              </w:rPr>
            </w:pPr>
          </w:p>
        </w:tc>
      </w:tr>
      <w:tr>
        <w:trPr>
          <w:trHeight w:val="296"/>
        </w:trPr>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President</w:t>
            </w:r>
          </w:p>
        </w:tc>
        <w:tc>
          <w:tcPr>
            <w:tcW w:w="620" w:type="dxa"/>
            <w:vAlign w:val="bottom"/>
          </w:tcPr>
          <w:p>
            <w:pPr>
              <w:spacing w:after="0"/>
              <w:rPr>
                <w:sz w:val="24"/>
                <w:szCs w:val="24"/>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Harry Spielberg</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50</w:t>
            </w: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Director of Cosentini</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Information Technologies'</w:t>
            </w:r>
          </w:p>
        </w:tc>
        <w:tc>
          <w:tcPr>
            <w:tcW w:w="620" w:type="dxa"/>
            <w:vAlign w:val="bottom"/>
          </w:tcPr>
          <w:p>
            <w:pPr>
              <w:spacing w:after="0"/>
              <w:rPr>
                <w:sz w:val="17"/>
                <w:szCs w:val="17"/>
                <w:color w:val="auto"/>
              </w:rPr>
            </w:pPr>
          </w:p>
        </w:tc>
      </w:tr>
      <w:tr>
        <w:trPr>
          <w:trHeight w:val="296"/>
        </w:trPr>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Audiovisual Group</w:t>
            </w:r>
          </w:p>
        </w:tc>
        <w:tc>
          <w:tcPr>
            <w:tcW w:w="620" w:type="dxa"/>
            <w:vAlign w:val="bottom"/>
          </w:tcPr>
          <w:p>
            <w:pPr>
              <w:spacing w:after="0"/>
              <w:rPr>
                <w:sz w:val="24"/>
                <w:szCs w:val="24"/>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Randall J. Wichinski</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w:t>
            </w: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Vice President and Chief</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r>
      <w:tr>
        <w:trPr>
          <w:trHeight w:val="296"/>
        </w:trPr>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Financial Officer</w:t>
            </w:r>
          </w:p>
        </w:tc>
        <w:tc>
          <w:tcPr>
            <w:tcW w:w="620" w:type="dxa"/>
            <w:vAlign w:val="bottom"/>
          </w:tcPr>
          <w:p>
            <w:pPr>
              <w:spacing w:after="0"/>
              <w:rPr>
                <w:sz w:val="24"/>
                <w:szCs w:val="24"/>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David Wiener</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43</w:t>
            </w: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President and CEO of</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2000</w:t>
            </w:r>
          </w:p>
        </w:tc>
      </w:tr>
      <w:tr>
        <w:trPr>
          <w:trHeight w:val="203"/>
        </w:trPr>
        <w:tc>
          <w:tcPr>
            <w:tcW w:w="2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SoundTube Entertainment,</w:t>
            </w:r>
          </w:p>
        </w:tc>
        <w:tc>
          <w:tcPr>
            <w:tcW w:w="620" w:type="dxa"/>
            <w:vAlign w:val="bottom"/>
          </w:tcPr>
          <w:p>
            <w:pPr>
              <w:spacing w:after="0"/>
              <w:rPr>
                <w:sz w:val="17"/>
                <w:szCs w:val="17"/>
                <w:color w:val="auto"/>
              </w:rPr>
            </w:pPr>
          </w:p>
        </w:tc>
      </w:tr>
      <w:tr>
        <w:trPr>
          <w:trHeight w:val="296"/>
        </w:trPr>
        <w:tc>
          <w:tcPr>
            <w:tcW w:w="2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160" w:type="dxa"/>
            <w:vAlign w:val="bottom"/>
          </w:tcPr>
          <w:p>
            <w:pPr>
              <w:ind w:left="420"/>
              <w:spacing w:after="0"/>
              <w:rPr>
                <w:sz w:val="20"/>
                <w:szCs w:val="20"/>
                <w:color w:val="auto"/>
              </w:rPr>
            </w:pPr>
            <w:r>
              <w:rPr>
                <w:rFonts w:ascii="Courier New" w:cs="Courier New" w:eastAsia="Courier New" w:hAnsi="Courier New"/>
                <w:sz w:val="18"/>
                <w:szCs w:val="18"/>
                <w:color w:val="auto"/>
              </w:rPr>
              <w:t>Inc.</w:t>
            </w:r>
          </w:p>
        </w:tc>
        <w:tc>
          <w:tcPr>
            <w:tcW w:w="620" w:type="dxa"/>
            <w:vAlign w:val="bottom"/>
          </w:tcPr>
          <w:p>
            <w:pPr>
              <w:spacing w:after="0"/>
              <w:rPr>
                <w:sz w:val="24"/>
                <w:szCs w:val="24"/>
                <w:color w:val="auto"/>
              </w:rPr>
            </w:pPr>
          </w:p>
        </w:tc>
      </w:tr>
    </w:tbl>
    <w:p>
      <w:pPr>
        <w:spacing w:after="0" w:line="109" w:lineRule="exact"/>
        <w:rPr>
          <w:sz w:val="20"/>
          <w:szCs w:val="20"/>
          <w:color w:val="auto"/>
        </w:rPr>
      </w:pPr>
    </w:p>
    <w:p>
      <w:pPr>
        <w:jc w:val="both"/>
        <w:ind w:right="1779" w:firstLine="843"/>
        <w:spacing w:after="0" w:line="306" w:lineRule="auto"/>
        <w:rPr>
          <w:sz w:val="20"/>
          <w:szCs w:val="20"/>
          <w:color w:val="auto"/>
        </w:rPr>
      </w:pPr>
      <w:r>
        <w:rPr>
          <w:rFonts w:ascii="Courier New" w:cs="Courier New" w:eastAsia="Courier New" w:hAnsi="Courier New"/>
          <w:sz w:val="16"/>
          <w:szCs w:val="16"/>
          <w:color w:val="auto"/>
        </w:rPr>
        <w:t>Edward Dallin Bagley has been a Director of the Company since April 1994. Previously, Mr. Bagley served as a Director of the Company from April 1987 to July 1991. Mr. Bagley began practicing law in 1965. Mr. Bagley is currently a director of Tunex International, NESCO, Inc., and Buyers Online.com. Mr. Bagley received a Juris Doctorate in 1965 from the University of Utah College of Law.</w:t>
      </w:r>
    </w:p>
    <w:p>
      <w:pPr>
        <w:spacing w:after="0" w:line="26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893" w:right="1440" w:bottom="1440" w:gutter="0" w:footer="0" w:header="0"/>
        </w:sectPr>
      </w:pPr>
    </w:p>
    <w:bookmarkStart w:id="9" w:name="page10"/>
    <w:bookmarkEnd w:id="9"/>
    <w:p>
      <w:pPr>
        <w:jc w:val="both"/>
        <w:ind w:right="1779" w:firstLine="843"/>
        <w:spacing w:after="0" w:line="256" w:lineRule="auto"/>
        <w:rPr>
          <w:sz w:val="20"/>
          <w:szCs w:val="20"/>
          <w:color w:val="auto"/>
        </w:rPr>
      </w:pPr>
      <w:r>
        <w:rPr>
          <w:rFonts w:ascii="Courier New" w:cs="Courier New" w:eastAsia="Courier New" w:hAnsi="Courier New"/>
          <w:sz w:val="18"/>
          <w:szCs w:val="18"/>
          <w:color w:val="auto"/>
        </w:rPr>
        <w:t>Brad R. Baldwin has been a Director of the Company since 1988. Mr. Baldwin currently is an attorney licensed in Utah and is engaged in the commercial real estate business with Colliers Commerce CRG in Salt Lake City. From October 1, 1994 to January 30, 2000, Mr. Baldwin served as President and Chief Executive Officer of Bank One, Utah, a commercial bank headquartered in Salt Lake City, Utah. Mr. Baldwin received a Juris Doctorate in 1980 from the University of Washington.</w:t>
      </w:r>
    </w:p>
    <w:p>
      <w:pPr>
        <w:spacing w:after="0" w:line="98" w:lineRule="exact"/>
        <w:rPr>
          <w:sz w:val="20"/>
          <w:szCs w:val="20"/>
          <w:color w:val="auto"/>
        </w:rPr>
      </w:pPr>
    </w:p>
    <w:p>
      <w:pPr>
        <w:jc w:val="both"/>
        <w:ind w:right="1779" w:firstLine="843"/>
        <w:spacing w:after="0" w:line="285" w:lineRule="auto"/>
        <w:rPr>
          <w:sz w:val="20"/>
          <w:szCs w:val="20"/>
          <w:color w:val="auto"/>
        </w:rPr>
      </w:pPr>
      <w:r>
        <w:rPr>
          <w:rFonts w:ascii="Courier New" w:cs="Courier New" w:eastAsia="Courier New" w:hAnsi="Courier New"/>
          <w:sz w:val="16"/>
          <w:szCs w:val="16"/>
          <w:color w:val="auto"/>
        </w:rPr>
        <w:t>Frances M. Flood has been a Director of the Company since June of 1998. Ms. Flood joined the Company in October 1996 as Vice-President of Sales and Marketing. She was named President in December 1997, Chief Executive Officer in June 1998 and Chairman of the Board in November 2000. Prior to joining the Company, Ms. Flood was Area Director of Sales and Marketing for Ernst &amp; Young, LLP, an international accounting and consulting firm. Ms. Flood has over twenty-five years experience in sales, marketing, change management, international business and finance. Ms. Flood is currently a director of Mining Services International and SoundTube Entertainment, Inc. Ms. Flood graduated from Thomas Edison State College with a B.S./B.A. degree in Banking and Finance.</w:t>
      </w:r>
    </w:p>
    <w:p>
      <w:pPr>
        <w:spacing w:after="0" w:line="76" w:lineRule="exact"/>
        <w:rPr>
          <w:sz w:val="20"/>
          <w:szCs w:val="20"/>
          <w:color w:val="auto"/>
        </w:rPr>
      </w:pPr>
    </w:p>
    <w:p>
      <w:pPr>
        <w:jc w:val="both"/>
        <w:ind w:right="1779" w:firstLine="843"/>
        <w:spacing w:after="0" w:line="256" w:lineRule="auto"/>
        <w:rPr>
          <w:sz w:val="20"/>
          <w:szCs w:val="20"/>
          <w:color w:val="auto"/>
        </w:rPr>
      </w:pPr>
      <w:r>
        <w:rPr>
          <w:rFonts w:ascii="Courier New" w:cs="Courier New" w:eastAsia="Courier New" w:hAnsi="Courier New"/>
          <w:sz w:val="18"/>
          <w:szCs w:val="18"/>
          <w:color w:val="auto"/>
        </w:rPr>
        <w:t>Harry Spielberg has been a Director of the Company since January 2001. Since January 1996, Mr. Spielberg has been the Director of Cosentini Information Technologies' Audiovisual Group, a division of the consulting engineering firm, Cosentini Associates. Previously, Mr. Spielberg served as Vice President, Engineering for Media Facilities Corp. and Barsky &amp; Associates. Mr. Spielberg received a Bachelor of Art degree in Psychology from the State University of New York.</w:t>
      </w:r>
    </w:p>
    <w:p>
      <w:pPr>
        <w:spacing w:after="0" w:line="98" w:lineRule="exact"/>
        <w:rPr>
          <w:sz w:val="20"/>
          <w:szCs w:val="20"/>
          <w:color w:val="auto"/>
        </w:rPr>
      </w:pPr>
    </w:p>
    <w:p>
      <w:pPr>
        <w:jc w:val="both"/>
        <w:ind w:right="1779" w:firstLine="843"/>
        <w:spacing w:after="0" w:line="253" w:lineRule="auto"/>
        <w:rPr>
          <w:sz w:val="20"/>
          <w:szCs w:val="20"/>
          <w:color w:val="auto"/>
        </w:rPr>
      </w:pPr>
      <w:r>
        <w:rPr>
          <w:rFonts w:ascii="Courier New" w:cs="Courier New" w:eastAsia="Courier New" w:hAnsi="Courier New"/>
          <w:sz w:val="18"/>
          <w:szCs w:val="18"/>
          <w:color w:val="auto"/>
        </w:rPr>
        <w:t>Randall J. Wichinski has been a Director of the Company since June 1999. Since August 2001, Mr. Wichinski has been Vice President and Chief Financial Officer of the Company. Prior to joining the Company, he served as the Senior Tax Officer of Ohio National Financial Services. From April 1983 to March 1999, Mr. Wichinski was employed at Ernst &amp; Young LLP, an international accounting and consulting firm, serving as a Tax Partner for ten years. He received a bachelor's degree in 1977 and a Masters of Business Administration degree in 1982 from the University of Wisconsin-Madison.</w:t>
      </w:r>
    </w:p>
    <w:p>
      <w:pPr>
        <w:spacing w:after="0" w:line="104" w:lineRule="exact"/>
        <w:rPr>
          <w:sz w:val="20"/>
          <w:szCs w:val="20"/>
          <w:color w:val="auto"/>
        </w:rPr>
      </w:pPr>
    </w:p>
    <w:p>
      <w:pPr>
        <w:jc w:val="both"/>
        <w:ind w:right="1779" w:firstLine="843"/>
        <w:spacing w:after="0" w:line="256" w:lineRule="auto"/>
        <w:rPr>
          <w:sz w:val="20"/>
          <w:szCs w:val="20"/>
          <w:color w:val="auto"/>
        </w:rPr>
      </w:pPr>
      <w:r>
        <w:rPr>
          <w:rFonts w:ascii="Courier New" w:cs="Courier New" w:eastAsia="Courier New" w:hAnsi="Courier New"/>
          <w:sz w:val="18"/>
          <w:szCs w:val="18"/>
          <w:color w:val="auto"/>
        </w:rPr>
        <w:t>David Wiener has been a Director of the Company since January 2000. Mr. Wiener has served as President and CEO of SoundTube Entertainment, Inc., a manufacturer of innovative commercial and consumer audio speakers, since January 1995. SoundTube Entertainment is a division of David Wiener Ventures, a product, fashion and image development company founded by Mr. Wiener in 1982. Mr. Wiener received his bachelor's degree in engineering, aerodynamics and art from Hampshire College in Amherst, Massachusetts.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Compensation</w:t>
      </w:r>
    </w:p>
    <w:p>
      <w:pPr>
        <w:spacing w:after="0" w:line="201" w:lineRule="exact"/>
        <w:rPr>
          <w:sz w:val="20"/>
          <w:szCs w:val="20"/>
          <w:color w:val="auto"/>
        </w:rPr>
      </w:pPr>
    </w:p>
    <w:p>
      <w:pPr>
        <w:jc w:val="both"/>
        <w:ind w:right="1779" w:firstLine="843"/>
        <w:spacing w:after="0" w:line="347" w:lineRule="auto"/>
        <w:rPr>
          <w:sz w:val="20"/>
          <w:szCs w:val="20"/>
          <w:color w:val="auto"/>
        </w:rPr>
      </w:pPr>
      <w:r>
        <w:rPr>
          <w:rFonts w:ascii="Courier New" w:cs="Courier New" w:eastAsia="Courier New" w:hAnsi="Courier New"/>
          <w:sz w:val="18"/>
          <w:szCs w:val="18"/>
          <w:color w:val="auto"/>
        </w:rPr>
        <w:t>All directors serve until their successors are elected and have qualified. The Company pays each director $650 per month for services provided</w:t>
      </w: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691" w:right="1440" w:bottom="1440" w:gutter="0" w:footer="0" w:header="0"/>
        </w:sectPr>
      </w:pPr>
    </w:p>
    <w:bookmarkStart w:id="10" w:name="page11"/>
    <w:bookmarkEnd w:id="10"/>
    <w:p>
      <w:pPr>
        <w:jc w:val="both"/>
        <w:ind w:right="1779"/>
        <w:spacing w:after="0" w:line="347" w:lineRule="auto"/>
        <w:rPr>
          <w:sz w:val="20"/>
          <w:szCs w:val="20"/>
          <w:color w:val="auto"/>
        </w:rPr>
      </w:pPr>
      <w:r>
        <w:rPr>
          <w:rFonts w:ascii="Courier New" w:cs="Courier New" w:eastAsia="Courier New" w:hAnsi="Courier New"/>
          <w:sz w:val="18"/>
          <w:szCs w:val="18"/>
          <w:color w:val="auto"/>
        </w:rPr>
        <w:t>as a director. Directors who are also employees of the Company receive no additional compensation for serving on the Board of Directors.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 of Directors</w:t>
      </w:r>
    </w:p>
    <w:p>
      <w:pPr>
        <w:spacing w:after="0" w:line="201" w:lineRule="exact"/>
        <w:rPr>
          <w:sz w:val="20"/>
          <w:szCs w:val="20"/>
          <w:color w:val="auto"/>
        </w:rPr>
      </w:pPr>
    </w:p>
    <w:p>
      <w:pPr>
        <w:jc w:val="both"/>
        <w:ind w:right="1779" w:firstLine="843"/>
        <w:spacing w:after="0" w:line="278" w:lineRule="auto"/>
        <w:rPr>
          <w:sz w:val="20"/>
          <w:szCs w:val="20"/>
          <w:color w:val="auto"/>
        </w:rPr>
      </w:pPr>
      <w:r>
        <w:rPr>
          <w:rFonts w:ascii="Courier New" w:cs="Courier New" w:eastAsia="Courier New" w:hAnsi="Courier New"/>
          <w:sz w:val="16"/>
          <w:szCs w:val="16"/>
          <w:color w:val="auto"/>
        </w:rPr>
        <w:t>The Board of Directors has two committees: the Audit and Compensation Committees. The Audit Committee is currently composed of Mr. Edward Dallin Bagley, Mr. Brad R. Baldwin, Mr. Harry Spielberg and Mr. David Wiener. The Compensation Committee is currently composed of Mr. Edward Dallin Bagley, Mr. Brad R. Baldwin, Mr. Harry Spielberg and Mr. David Wiener. The Audit Committee is authorized to review proposals of the Company's auditors regarding annual audits and quarterly reviews, recommend the engagement or discharge of the Company's auditors, review recommendations of such auditors concerning accounting principles and the adequacy of internal controls and accounting procedures and practices, to review the scope of the annual audit and quarterly reviews, to approve or disapprove each professional service or type of service other than standard auditing services to be provided by the auditors, and to review and discuss the audited financial statements with the auditors. The Compensation Committee makes recommendations to the Board of Directors regarding remuneration of the executive officers and directors of the Company and administers the incentive plans for directors, officers and key employees.</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of the Board of Directors and Committees</w:t>
      </w:r>
    </w:p>
    <w:p>
      <w:pPr>
        <w:spacing w:after="0" w:line="201"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The Board of Directors held six meetings during the last fiscal year. The Audit Committee held four formal meetings during the last fiscal year. The Compensation Committee held four formal meetings during the last fiscal year. During the last fiscal year no incumbent director attended fewer than 75 percent of all meetings.</w:t>
      </w:r>
    </w:p>
    <w:p>
      <w:pPr>
        <w:spacing w:after="0" w:line="9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Report of the Audit Committee</w:t>
      </w:r>
    </w:p>
    <w:p>
      <w:pPr>
        <w:spacing w:after="0" w:line="201" w:lineRule="exact"/>
        <w:rPr>
          <w:sz w:val="20"/>
          <w:szCs w:val="20"/>
          <w:color w:val="auto"/>
        </w:rPr>
      </w:pPr>
    </w:p>
    <w:p>
      <w:pPr>
        <w:jc w:val="both"/>
        <w:ind w:right="1779" w:firstLine="843"/>
        <w:spacing w:after="0" w:line="253" w:lineRule="auto"/>
        <w:rPr>
          <w:sz w:val="20"/>
          <w:szCs w:val="20"/>
          <w:color w:val="auto"/>
        </w:rPr>
      </w:pPr>
      <w:r>
        <w:rPr>
          <w:rFonts w:ascii="Courier New" w:cs="Courier New" w:eastAsia="Courier New" w:hAnsi="Courier New"/>
          <w:sz w:val="18"/>
          <w:szCs w:val="18"/>
          <w:color w:val="auto"/>
        </w:rPr>
        <w:t>The Audit Committee oversees the Company's financial reporting process on behalf of the Board of Directors. Management has the primary responsibility for the financial statements and the reporting process including the systems of internal controls. In fulfilling its oversight responsibilities, the Committee reviewed the audited financial statements in the Annual Report with management including a discussion of the quality, not just the acceptability, of the accounting principles, the reasonableness of significant judgments, and the clarity of disclosures in the financial statements.</w:t>
      </w:r>
    </w:p>
    <w:p>
      <w:pPr>
        <w:spacing w:after="0" w:line="104" w:lineRule="exact"/>
        <w:rPr>
          <w:sz w:val="20"/>
          <w:szCs w:val="20"/>
          <w:color w:val="auto"/>
        </w:rPr>
      </w:pPr>
    </w:p>
    <w:p>
      <w:pPr>
        <w:jc w:val="both"/>
        <w:ind w:right="1779" w:firstLine="843"/>
        <w:spacing w:after="0" w:line="293" w:lineRule="auto"/>
        <w:rPr>
          <w:sz w:val="20"/>
          <w:szCs w:val="20"/>
          <w:color w:val="auto"/>
        </w:rPr>
      </w:pPr>
      <w:r>
        <w:rPr>
          <w:rFonts w:ascii="Courier New" w:cs="Courier New" w:eastAsia="Courier New" w:hAnsi="Courier New"/>
          <w:sz w:val="16"/>
          <w:szCs w:val="16"/>
          <w:color w:val="auto"/>
        </w:rPr>
        <w:t>The Committee reviewed with the independent auditors, who are responsible for expressing an opinion on the conformity of those audited financial statements with generally accepted accounting principles, their judgments as to the quality, not just the acceptability, of the Company's accounting principles and such other matters as are required to be discussed with the Committee under generally accepted auditing standards. In addition, the Committee has discussed with the independent auditors the auditors' independence</w:t>
      </w:r>
    </w:p>
    <w:p>
      <w:pPr>
        <w:spacing w:after="0" w:line="2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691" w:right="1440" w:bottom="1440" w:gutter="0" w:footer="0" w:header="0"/>
        </w:sectPr>
      </w:pPr>
    </w:p>
    <w:bookmarkStart w:id="11" w:name="page12"/>
    <w:bookmarkEnd w:id="11"/>
    <w:p>
      <w:pPr>
        <w:jc w:val="both"/>
        <w:ind w:right="1779"/>
        <w:spacing w:after="0" w:line="292" w:lineRule="auto"/>
        <w:rPr>
          <w:sz w:val="20"/>
          <w:szCs w:val="20"/>
          <w:color w:val="auto"/>
        </w:rPr>
      </w:pPr>
      <w:r>
        <w:rPr>
          <w:rFonts w:ascii="Courier New" w:cs="Courier New" w:eastAsia="Courier New" w:hAnsi="Courier New"/>
          <w:sz w:val="18"/>
          <w:szCs w:val="18"/>
          <w:color w:val="auto"/>
        </w:rPr>
        <w:t>from management and the Company including the matters in the written disclosures required by the Independence Standards Board and considered the compatibility of nonaudit services with the auditors' independence.</w:t>
      </w:r>
    </w:p>
    <w:p>
      <w:pPr>
        <w:spacing w:after="0" w:line="66"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The Committee discussed with the Company's independent auditors the overall scope and plans for their audits. The Committee meets with the independent auditors, with and without management present, to discuss the results of their examinations, their evaluations of the Company's internal controls, and the overall quality of the Company's financial reporting.</w:t>
      </w:r>
    </w:p>
    <w:p>
      <w:pPr>
        <w:spacing w:after="0" w:line="90" w:lineRule="exact"/>
        <w:rPr>
          <w:sz w:val="20"/>
          <w:szCs w:val="20"/>
          <w:color w:val="auto"/>
        </w:rPr>
      </w:pPr>
    </w:p>
    <w:p>
      <w:pPr>
        <w:jc w:val="both"/>
        <w:ind w:right="1779" w:firstLine="843"/>
        <w:spacing w:after="0" w:line="298" w:lineRule="auto"/>
        <w:rPr>
          <w:sz w:val="20"/>
          <w:szCs w:val="20"/>
          <w:color w:val="auto"/>
        </w:rPr>
      </w:pPr>
      <w:r>
        <w:rPr>
          <w:rFonts w:ascii="Courier New" w:cs="Courier New" w:eastAsia="Courier New" w:hAnsi="Courier New"/>
          <w:sz w:val="16"/>
          <w:szCs w:val="16"/>
          <w:color w:val="auto"/>
        </w:rPr>
        <w:t>In reliance on the reviews and discussions referred to above, the Committee recommended to the Board of Directors (and the Board has approved) that the audited financial statements be included in the Annual Report on Form 10-K for the year ended June 30, 2001 for filing with the Securities and Exchange Commission. The Committee and the Board have also recommended, subject to shareholder approval, the selection of the Company's independent auditors.</w:t>
      </w:r>
    </w:p>
    <w:p>
      <w:pPr>
        <w:spacing w:after="0" w:line="68" w:lineRule="exact"/>
        <w:rPr>
          <w:sz w:val="20"/>
          <w:szCs w:val="20"/>
          <w:color w:val="auto"/>
        </w:rPr>
      </w:pPr>
    </w:p>
    <w:p>
      <w:pPr>
        <w:jc w:val="both"/>
        <w:ind w:right="1779" w:firstLine="843"/>
        <w:spacing w:after="0" w:line="256" w:lineRule="auto"/>
        <w:rPr>
          <w:sz w:val="20"/>
          <w:szCs w:val="20"/>
          <w:color w:val="auto"/>
        </w:rPr>
      </w:pPr>
      <w:r>
        <w:rPr>
          <w:rFonts w:ascii="Courier New" w:cs="Courier New" w:eastAsia="Courier New" w:hAnsi="Courier New"/>
          <w:sz w:val="18"/>
          <w:szCs w:val="18"/>
          <w:color w:val="auto"/>
        </w:rPr>
        <w:t>With one exception, each member of the Audit Committee is an independent director as defined in Rule 4200(a)(14) of the National Association of Securities Dealers listing standards. The Board determined that David Wiener is not independent because Frances Flood, President, CEO and Chairman of the Board of the Company is also a member of the Board of Directors of SoundTube Entertainment, Inc. David Wiener is President, CEO and a Director of SoundTube Entertainment, Inc.</w:t>
      </w:r>
    </w:p>
    <w:p>
      <w:pPr>
        <w:spacing w:after="0" w:line="98" w:lineRule="exact"/>
        <w:rPr>
          <w:sz w:val="20"/>
          <w:szCs w:val="20"/>
          <w:color w:val="auto"/>
        </w:rPr>
      </w:pPr>
    </w:p>
    <w:p>
      <w:pPr>
        <w:jc w:val="both"/>
        <w:ind w:right="1779" w:firstLine="843"/>
        <w:spacing w:after="0" w:line="347" w:lineRule="auto"/>
        <w:rPr>
          <w:sz w:val="20"/>
          <w:szCs w:val="20"/>
          <w:color w:val="auto"/>
        </w:rPr>
      </w:pPr>
      <w:r>
        <w:rPr>
          <w:rFonts w:ascii="Courier New" w:cs="Courier New" w:eastAsia="Courier New" w:hAnsi="Courier New"/>
          <w:sz w:val="18"/>
          <w:szCs w:val="18"/>
          <w:color w:val="auto"/>
        </w:rPr>
        <w:t>Finally, the Audit Committee has previously adopted a written Charter that is included as Appendix A to this Proxy Statement.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Respectfully submitted by the members of the Audit Committee.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Dallin Bagley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 R. Baldwin</w:t>
      </w:r>
    </w:p>
    <w:p>
      <w:pPr>
        <w:spacing w:after="0" w:line="238" w:lineRule="auto"/>
        <w:rPr>
          <w:sz w:val="20"/>
          <w:szCs w:val="20"/>
          <w:color w:val="auto"/>
        </w:rPr>
      </w:pPr>
      <w:r>
        <w:rPr>
          <w:rFonts w:ascii="Courier New" w:cs="Courier New" w:eastAsia="Courier New" w:hAnsi="Courier New"/>
          <w:sz w:val="18"/>
          <w:szCs w:val="18"/>
          <w:color w:val="auto"/>
        </w:rPr>
        <w:t>Harry Spielberg</w:t>
      </w:r>
    </w:p>
    <w:p>
      <w:pPr>
        <w:spacing w:after="0"/>
        <w:rPr>
          <w:sz w:val="20"/>
          <w:szCs w:val="20"/>
          <w:color w:val="auto"/>
        </w:rPr>
      </w:pPr>
      <w:r>
        <w:rPr>
          <w:rFonts w:ascii="Courier New" w:cs="Courier New" w:eastAsia="Courier New" w:hAnsi="Courier New"/>
          <w:sz w:val="18"/>
          <w:szCs w:val="18"/>
          <w:color w:val="auto"/>
        </w:rPr>
        <w:t>David Wiener</w:t>
      </w:r>
    </w:p>
    <w:p>
      <w:pPr>
        <w:spacing w:after="0" w:line="169" w:lineRule="exact"/>
        <w:rPr>
          <w:sz w:val="20"/>
          <w:szCs w:val="20"/>
          <w:color w:val="auto"/>
        </w:rPr>
      </w:pPr>
    </w:p>
    <w:p>
      <w:pPr>
        <w:spacing w:after="0"/>
        <w:tabs>
          <w:tab w:leader="none" w:pos="940" w:val="left"/>
          <w:tab w:leader="none" w:pos="1360" w:val="left"/>
          <w:tab w:leader="none" w:pos="2300" w:val="left"/>
          <w:tab w:leader="none" w:pos="2720" w:val="left"/>
        </w:tabs>
        <w:rPr>
          <w:sz w:val="20"/>
          <w:szCs w:val="20"/>
          <w:color w:val="auto"/>
        </w:rPr>
      </w:pPr>
      <w:r>
        <w:rPr>
          <w:rFonts w:ascii="Courier New" w:cs="Courier New" w:eastAsia="Courier New" w:hAnsi="Courier New"/>
          <w:sz w:val="18"/>
          <w:szCs w:val="18"/>
          <w:color w:val="auto"/>
        </w:rPr>
        <w:t>Filling</w:t>
        <w:tab/>
        <w:t>of</w:t>
        <w:tab/>
        <w:t>Vacancy</w:t>
        <w:tab/>
        <w:t>on</w:t>
        <w:tab/>
        <w:t>Board</w:t>
      </w:r>
    </w:p>
    <w:p>
      <w:pPr>
        <w:spacing w:after="0" w:line="201" w:lineRule="exact"/>
        <w:rPr>
          <w:sz w:val="20"/>
          <w:szCs w:val="20"/>
          <w:color w:val="auto"/>
        </w:rPr>
      </w:pPr>
    </w:p>
    <w:p>
      <w:pPr>
        <w:jc w:val="both"/>
        <w:ind w:right="1779" w:firstLine="843"/>
        <w:spacing w:after="0" w:line="250" w:lineRule="auto"/>
        <w:rPr>
          <w:sz w:val="20"/>
          <w:szCs w:val="20"/>
          <w:color w:val="auto"/>
        </w:rPr>
      </w:pPr>
      <w:r>
        <w:rPr>
          <w:rFonts w:ascii="Courier New" w:cs="Courier New" w:eastAsia="Courier New" w:hAnsi="Courier New"/>
          <w:sz w:val="18"/>
          <w:szCs w:val="18"/>
          <w:color w:val="auto"/>
        </w:rPr>
        <w:t>The Board of Directors of the Company is considering enlarging the Board of Directors to include one additional member and filling the vacancy created by such action prior to the Annual Meeting. The bylaws of the Company provide that the Company may have up to nine directors on the Board, with the size of the Board determined by resolution of the Board. The Company currently has six directors as described above in Proposal One. The bylaws of the Company require that any director appointed by the Board to fill such a vacancy must be approved by the shareholders of the Company at its next annual meeting. The bylaws also provide that directors are elected and approved by a plurality vote of the shareholders.</w:t>
      </w:r>
    </w:p>
    <w:p>
      <w:pPr>
        <w:spacing w:after="0" w:line="104" w:lineRule="exact"/>
        <w:rPr>
          <w:sz w:val="20"/>
          <w:szCs w:val="20"/>
          <w:color w:val="auto"/>
        </w:rPr>
      </w:pPr>
    </w:p>
    <w:p>
      <w:pPr>
        <w:jc w:val="both"/>
        <w:ind w:right="1779" w:firstLine="843"/>
        <w:spacing w:after="0" w:line="250" w:lineRule="auto"/>
        <w:rPr>
          <w:sz w:val="20"/>
          <w:szCs w:val="20"/>
          <w:color w:val="auto"/>
        </w:rPr>
      </w:pPr>
      <w:r>
        <w:rPr>
          <w:rFonts w:ascii="Courier New" w:cs="Courier New" w:eastAsia="Courier New" w:hAnsi="Courier New"/>
          <w:sz w:val="18"/>
          <w:szCs w:val="18"/>
          <w:color w:val="auto"/>
        </w:rPr>
        <w:t>Under the Securities and Exchange Commission rules applicable to this proxy statement, the Company cannot solicit proxies to vote for a director's position if a nominee for that position is not named in the proxy statement. Accordingly, because the Board has not, as of the date of this proxy statement, determined to enlarge the Board, the Company is not soliciting proxies for votes regarding any such possible seventh Board member. In the event that prior to the Annual Meeting the Board does enlarge the Board and appoints another director to fill the vacancy, that newly appointed director will be submitted to the shareholders present in person at the Annual Meeting for approval by a plurality vote.</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69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Executive Officers</w:t>
      </w:r>
    </w:p>
    <w:p>
      <w:pPr>
        <w:spacing w:after="0" w:line="201" w:lineRule="exact"/>
        <w:rPr>
          <w:sz w:val="20"/>
          <w:szCs w:val="20"/>
          <w:color w:val="auto"/>
        </w:rPr>
      </w:pPr>
    </w:p>
    <w:p>
      <w:pPr>
        <w:jc w:val="both"/>
        <w:ind w:right="1779" w:firstLine="843"/>
        <w:spacing w:after="0" w:line="292" w:lineRule="auto"/>
        <w:rPr>
          <w:sz w:val="20"/>
          <w:szCs w:val="20"/>
          <w:color w:val="auto"/>
        </w:rPr>
      </w:pPr>
      <w:r>
        <w:rPr>
          <w:rFonts w:ascii="Courier New" w:cs="Courier New" w:eastAsia="Courier New" w:hAnsi="Courier New"/>
          <w:sz w:val="18"/>
          <w:szCs w:val="18"/>
          <w:color w:val="auto"/>
        </w:rPr>
        <w:t>Officers are elected to serve, subject to the discretion of the Board of Directors, until their successors are appointed. The executive officers of the Company are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ind w:left="1060"/>
              <w:spacing w:after="0"/>
              <w:rPr>
                <w:sz w:val="20"/>
                <w:szCs w:val="20"/>
                <w:color w:val="auto"/>
              </w:rPr>
            </w:pPr>
            <w:r>
              <w:rPr>
                <w:rFonts w:ascii="Courier New" w:cs="Courier New" w:eastAsia="Courier New" w:hAnsi="Courier New"/>
                <w:sz w:val="18"/>
                <w:szCs w:val="18"/>
                <w:color w:val="auto"/>
              </w:rPr>
              <w:t>Name</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Age</w:t>
            </w:r>
          </w:p>
        </w:tc>
        <w:tc>
          <w:tcPr>
            <w:tcW w:w="4900" w:type="dxa"/>
            <w:vAlign w:val="bottom"/>
          </w:tcPr>
          <w:p>
            <w:pPr>
              <w:ind w:left="480"/>
              <w:spacing w:after="0"/>
              <w:rPr>
                <w:sz w:val="20"/>
                <w:szCs w:val="20"/>
                <w:color w:val="auto"/>
              </w:rPr>
            </w:pPr>
            <w:r>
              <w:rPr>
                <w:rFonts w:ascii="Courier New" w:cs="Courier New" w:eastAsia="Courier New" w:hAnsi="Courier New"/>
                <w:sz w:val="18"/>
                <w:szCs w:val="18"/>
                <w:color w:val="auto"/>
              </w:rPr>
              <w:t>Position</w:t>
            </w:r>
          </w:p>
        </w:tc>
        <w:tc>
          <w:tcPr>
            <w:tcW w:w="0" w:type="dxa"/>
            <w:vAlign w:val="bottom"/>
          </w:tcPr>
          <w:p>
            <w:pPr>
              <w:spacing w:after="0"/>
              <w:rPr>
                <w:sz w:val="1"/>
                <w:szCs w:val="1"/>
                <w:color w:val="auto"/>
              </w:rPr>
            </w:pPr>
          </w:p>
        </w:tc>
      </w:tr>
      <w:tr>
        <w:trPr>
          <w:trHeight w:val="296"/>
        </w:trPr>
        <w:tc>
          <w:tcPr>
            <w:tcW w:w="2440" w:type="dxa"/>
            <w:vAlign w:val="bottom"/>
          </w:tcPr>
          <w:p>
            <w:pPr>
              <w:ind w:left="1060"/>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w:t>
            </w:r>
          </w:p>
        </w:tc>
        <w:tc>
          <w:tcPr>
            <w:tcW w:w="490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244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1100" w:type="dxa"/>
            <w:vAlign w:val="bottom"/>
          </w:tcPr>
          <w:p>
            <w:pPr>
              <w:ind w:left="300"/>
              <w:spacing w:after="0"/>
              <w:rPr>
                <w:sz w:val="20"/>
                <w:szCs w:val="20"/>
                <w:color w:val="auto"/>
              </w:rPr>
            </w:pPr>
            <w:r>
              <w:rPr>
                <w:rFonts w:ascii="Courier New" w:cs="Courier New" w:eastAsia="Courier New" w:hAnsi="Courier New"/>
                <w:sz w:val="18"/>
                <w:szCs w:val="18"/>
                <w:color w:val="auto"/>
              </w:rPr>
              <w:t>45</w:t>
            </w:r>
          </w:p>
        </w:tc>
        <w:tc>
          <w:tcPr>
            <w:tcW w:w="4900" w:type="dxa"/>
            <w:vAlign w:val="bottom"/>
          </w:tcPr>
          <w:p>
            <w:pPr>
              <w:ind w:left="480"/>
              <w:spacing w:after="0"/>
              <w:rPr>
                <w:sz w:val="20"/>
                <w:szCs w:val="20"/>
                <w:color w:val="auto"/>
              </w:rPr>
            </w:pPr>
            <w:r>
              <w:rPr>
                <w:rFonts w:ascii="Courier New" w:cs="Courier New" w:eastAsia="Courier New" w:hAnsi="Courier New"/>
                <w:sz w:val="18"/>
                <w:szCs w:val="18"/>
                <w:color w:val="auto"/>
              </w:rPr>
              <w:t>President and Chief Executive Officer</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Tracy Bathurst</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37</w:t>
            </w:r>
          </w:p>
        </w:tc>
        <w:tc>
          <w:tcPr>
            <w:tcW w:w="4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Vice President of Technology - Research</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Curtis Hewitson</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37</w:t>
            </w:r>
          </w:p>
        </w:tc>
        <w:tc>
          <w:tcPr>
            <w:tcW w:w="4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Vice President of Human Resources</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Eugene W. Kuntz, Jr.</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38</w:t>
            </w:r>
          </w:p>
        </w:tc>
        <w:tc>
          <w:tcPr>
            <w:tcW w:w="4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Vice President of Technology - Development</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Susie S. Strohm</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41</w:t>
            </w:r>
          </w:p>
        </w:tc>
        <w:tc>
          <w:tcPr>
            <w:tcW w:w="4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Vice President of Finance and Controller</w:t>
            </w:r>
          </w:p>
        </w:tc>
        <w:tc>
          <w:tcPr>
            <w:tcW w:w="0" w:type="dxa"/>
            <w:vAlign w:val="bottom"/>
          </w:tcPr>
          <w:p>
            <w:pPr>
              <w:spacing w:after="0"/>
              <w:rPr>
                <w:sz w:val="1"/>
                <w:szCs w:val="1"/>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A. Valeo</w:t>
            </w:r>
          </w:p>
        </w:tc>
        <w:tc>
          <w:tcPr>
            <w:tcW w:w="11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40</w:t>
            </w:r>
          </w:p>
        </w:tc>
        <w:tc>
          <w:tcPr>
            <w:tcW w:w="4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Vice President of Strategic Operations and</w:t>
            </w:r>
          </w:p>
        </w:tc>
        <w:tc>
          <w:tcPr>
            <w:tcW w:w="0" w:type="dxa"/>
            <w:vAlign w:val="bottom"/>
          </w:tcPr>
          <w:p>
            <w:pPr>
              <w:spacing w:after="0"/>
              <w:rPr>
                <w:sz w:val="1"/>
                <w:szCs w:val="1"/>
                <w:color w:val="auto"/>
              </w:rPr>
            </w:pPr>
          </w:p>
        </w:tc>
      </w:tr>
      <w:tr>
        <w:trPr>
          <w:trHeight w:val="203"/>
        </w:trPr>
        <w:tc>
          <w:tcPr>
            <w:tcW w:w="2440" w:type="dxa"/>
            <w:vAlign w:val="bottom"/>
            <w:vMerge w:val="restart"/>
          </w:tcPr>
          <w:p>
            <w:pPr>
              <w:spacing w:after="0"/>
              <w:rPr>
                <w:sz w:val="20"/>
                <w:szCs w:val="20"/>
                <w:color w:val="auto"/>
              </w:rPr>
            </w:pPr>
            <w:r>
              <w:rPr>
                <w:rFonts w:ascii="Courier New" w:cs="Courier New" w:eastAsia="Courier New" w:hAnsi="Courier New"/>
                <w:sz w:val="18"/>
                <w:szCs w:val="18"/>
                <w:color w:val="auto"/>
              </w:rPr>
              <w:t>Randall J. Wichinski</w:t>
            </w:r>
          </w:p>
        </w:tc>
        <w:tc>
          <w:tcPr>
            <w:tcW w:w="1100" w:type="dxa"/>
            <w:vAlign w:val="bottom"/>
            <w:vMerge w:val="restart"/>
          </w:tcPr>
          <w:p>
            <w:pPr>
              <w:ind w:left="300"/>
              <w:spacing w:after="0"/>
              <w:rPr>
                <w:sz w:val="20"/>
                <w:szCs w:val="20"/>
                <w:color w:val="auto"/>
              </w:rPr>
            </w:pPr>
            <w:r>
              <w:rPr>
                <w:rFonts w:ascii="Courier New" w:cs="Courier New" w:eastAsia="Courier New" w:hAnsi="Courier New"/>
                <w:sz w:val="18"/>
                <w:szCs w:val="18"/>
                <w:color w:val="auto"/>
              </w:rPr>
              <w:t>48</w:t>
            </w:r>
          </w:p>
        </w:tc>
        <w:tc>
          <w:tcPr>
            <w:tcW w:w="49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General Counsel</w:t>
            </w:r>
          </w:p>
        </w:tc>
        <w:tc>
          <w:tcPr>
            <w:tcW w:w="0" w:type="dxa"/>
            <w:vAlign w:val="bottom"/>
          </w:tcPr>
          <w:p>
            <w:pPr>
              <w:spacing w:after="0"/>
              <w:rPr>
                <w:sz w:val="1"/>
                <w:szCs w:val="1"/>
                <w:color w:val="auto"/>
              </w:rPr>
            </w:pPr>
          </w:p>
        </w:tc>
      </w:tr>
      <w:tr>
        <w:trPr>
          <w:trHeight w:val="296"/>
        </w:trPr>
        <w:tc>
          <w:tcPr>
            <w:tcW w:w="244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4900" w:type="dxa"/>
            <w:vAlign w:val="bottom"/>
          </w:tcPr>
          <w:p>
            <w:pPr>
              <w:ind w:left="480"/>
              <w:spacing w:after="0"/>
              <w:rPr>
                <w:sz w:val="20"/>
                <w:szCs w:val="20"/>
                <w:color w:val="auto"/>
              </w:rPr>
            </w:pPr>
            <w:r>
              <w:rPr>
                <w:rFonts w:ascii="Courier New" w:cs="Courier New" w:eastAsia="Courier New" w:hAnsi="Courier New"/>
                <w:sz w:val="18"/>
                <w:szCs w:val="18"/>
                <w:color w:val="auto"/>
                <w:w w:val="96"/>
              </w:rPr>
              <w:t>Vice President and Chief Financial Officer</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For the biography of Ms. Flood, see "Directors."</w:t>
      </w:r>
    </w:p>
    <w:p>
      <w:pPr>
        <w:spacing w:after="0" w:line="201" w:lineRule="exact"/>
        <w:rPr>
          <w:sz w:val="20"/>
          <w:szCs w:val="20"/>
          <w:color w:val="auto"/>
        </w:rPr>
      </w:pPr>
    </w:p>
    <w:p>
      <w:pPr>
        <w:jc w:val="both"/>
        <w:ind w:right="1779" w:firstLine="843"/>
        <w:spacing w:after="0" w:line="256" w:lineRule="auto"/>
        <w:rPr>
          <w:sz w:val="20"/>
          <w:szCs w:val="20"/>
          <w:color w:val="auto"/>
        </w:rPr>
      </w:pPr>
      <w:r>
        <w:rPr>
          <w:rFonts w:ascii="Courier New" w:cs="Courier New" w:eastAsia="Courier New" w:hAnsi="Courier New"/>
          <w:sz w:val="18"/>
          <w:szCs w:val="18"/>
          <w:color w:val="auto"/>
        </w:rPr>
        <w:t>Tracy Bathurst was named Vice President of Technology - Research in April 2000. He has been with Gentner since September 1988, serving in various roles in engineering and engineering management. He is responsible for technology development for the organization. Prior to joining the Company, Mr. Bathurst worked in the cable television and telecommunications industries for over five years. Mr. Bathurst holds a Bachelor of Science degree from Southern Utah University.</w:t>
      </w:r>
    </w:p>
    <w:p>
      <w:pPr>
        <w:spacing w:after="0" w:line="98" w:lineRule="exact"/>
        <w:rPr>
          <w:sz w:val="20"/>
          <w:szCs w:val="20"/>
          <w:color w:val="auto"/>
        </w:rPr>
      </w:pPr>
    </w:p>
    <w:p>
      <w:pPr>
        <w:jc w:val="both"/>
        <w:ind w:right="1779" w:firstLine="843"/>
        <w:spacing w:after="0" w:line="298" w:lineRule="auto"/>
        <w:rPr>
          <w:sz w:val="20"/>
          <w:szCs w:val="20"/>
          <w:color w:val="auto"/>
        </w:rPr>
      </w:pPr>
      <w:r>
        <w:rPr>
          <w:rFonts w:ascii="Courier New" w:cs="Courier New" w:eastAsia="Courier New" w:hAnsi="Courier New"/>
          <w:sz w:val="16"/>
          <w:szCs w:val="16"/>
          <w:color w:val="auto"/>
        </w:rPr>
        <w:t>Curtis Hewitson was named Vice President of Human Resources for Gentner Communications in November 1998. He has been with Gentner since December 1994 serving in Human Resources. He is responsible for all aspects of Human Resources and office administration. Prior to joining the Company, Mr. Hewitson worked in the telecommunications industry for nine years. In 1989, Mr. Hewitson received a Bachelor of Science degree from the University of Utah.</w:t>
      </w:r>
    </w:p>
    <w:p>
      <w:pPr>
        <w:spacing w:after="0" w:line="68" w:lineRule="exact"/>
        <w:rPr>
          <w:sz w:val="20"/>
          <w:szCs w:val="20"/>
          <w:color w:val="auto"/>
        </w:rPr>
      </w:pPr>
    </w:p>
    <w:p>
      <w:pPr>
        <w:jc w:val="both"/>
        <w:ind w:right="1779" w:firstLine="843"/>
        <w:spacing w:after="0" w:line="289" w:lineRule="auto"/>
        <w:rPr>
          <w:sz w:val="20"/>
          <w:szCs w:val="20"/>
          <w:color w:val="auto"/>
        </w:rPr>
      </w:pPr>
      <w:r>
        <w:rPr>
          <w:rFonts w:ascii="Courier New" w:cs="Courier New" w:eastAsia="Courier New" w:hAnsi="Courier New"/>
          <w:sz w:val="16"/>
          <w:szCs w:val="16"/>
          <w:color w:val="auto"/>
        </w:rPr>
        <w:t>Eugene W. Kuntz, Jr. has been with Gentner Communications since November 1999. Mr. Kuntz was named Vice President of Technology - Development in January</w:t>
      </w:r>
    </w:p>
    <w:p>
      <w:pPr>
        <w:spacing w:after="0" w:line="1" w:lineRule="exact"/>
        <w:rPr>
          <w:sz w:val="20"/>
          <w:szCs w:val="20"/>
          <w:color w:val="auto"/>
        </w:rPr>
      </w:pPr>
    </w:p>
    <w:p>
      <w:pPr>
        <w:jc w:val="both"/>
        <w:ind w:right="1779"/>
        <w:spacing w:after="0" w:line="252" w:lineRule="auto"/>
        <w:rPr>
          <w:sz w:val="20"/>
          <w:szCs w:val="20"/>
          <w:color w:val="auto"/>
        </w:rPr>
      </w:pPr>
      <w:r>
        <w:rPr>
          <w:rFonts w:ascii="Courier New" w:cs="Courier New" w:eastAsia="Courier New" w:hAnsi="Courier New"/>
          <w:sz w:val="18"/>
          <w:szCs w:val="18"/>
          <w:color w:val="auto"/>
        </w:rPr>
        <w:t>2001. He is responsible for all engineering development projects and manufacturing activities for the organization. From 1987 to November 1999, Mr. Kuntz was a manager of research and development at Computer Sciences Corporation in Clearfield, Utah. Mr. Kuntz holds a Bachelor of Science degree in Electrical Engineering from Montana State University and a Masters of Business Administration degree from Utah State University.</w:t>
      </w:r>
    </w:p>
    <w:p>
      <w:pPr>
        <w:spacing w:after="0" w:line="101" w:lineRule="exact"/>
        <w:rPr>
          <w:sz w:val="20"/>
          <w:szCs w:val="20"/>
          <w:color w:val="auto"/>
        </w:rPr>
      </w:pPr>
    </w:p>
    <w:p>
      <w:pPr>
        <w:jc w:val="both"/>
        <w:ind w:right="1779" w:firstLine="843"/>
        <w:spacing w:after="0" w:line="298" w:lineRule="auto"/>
        <w:rPr>
          <w:sz w:val="20"/>
          <w:szCs w:val="20"/>
          <w:color w:val="auto"/>
        </w:rPr>
      </w:pPr>
      <w:r>
        <w:rPr>
          <w:rFonts w:ascii="Courier New" w:cs="Courier New" w:eastAsia="Courier New" w:hAnsi="Courier New"/>
          <w:sz w:val="16"/>
          <w:szCs w:val="16"/>
          <w:color w:val="auto"/>
        </w:rPr>
        <w:t>Susie S. Strohm became Vice President of Finance in 1997 and was named CFO during 1998, a post she held until August 2001. In August 2001, Ms. Strohm became the Company's controller and continues as its Vice President of Finance. In February 1996, Ms. Strohm joined the Company as its Controller. She is responsible for all the Company's accounting, financial and tax planning, financial and management reporting, and Securities and Exchange Commission</w:t>
      </w:r>
    </w:p>
    <w:p>
      <w:pPr>
        <w:spacing w:after="0" w:line="27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096" w:right="1440" w:bottom="1440" w:gutter="0" w:footer="0" w:header="0"/>
        </w:sectPr>
      </w:pPr>
    </w:p>
    <w:bookmarkStart w:id="13" w:name="page14"/>
    <w:bookmarkEnd w:id="13"/>
    <w:p>
      <w:pPr>
        <w:jc w:val="both"/>
        <w:ind w:right="1780"/>
        <w:spacing w:after="0" w:line="318" w:lineRule="auto"/>
        <w:rPr>
          <w:sz w:val="20"/>
          <w:szCs w:val="20"/>
          <w:color w:val="auto"/>
        </w:rPr>
      </w:pPr>
      <w:r>
        <w:rPr>
          <w:rFonts w:ascii="Courier New" w:cs="Courier New" w:eastAsia="Courier New" w:hAnsi="Courier New"/>
          <w:sz w:val="16"/>
          <w:szCs w:val="16"/>
          <w:color w:val="auto"/>
        </w:rPr>
        <w:t>filings. Prior to joining the Company, Ms. Strohm was the Controller for Newspaper Agency Corporation in Salt Lake City, Utah. She graduated from the University of Utah with a Bachelor of Science degree in Accounting, and received her Masters of Business Administration degree from Westminster College.</w:t>
      </w:r>
    </w:p>
    <w:p>
      <w:pPr>
        <w:spacing w:after="0" w:line="52" w:lineRule="exact"/>
        <w:rPr>
          <w:sz w:val="20"/>
          <w:szCs w:val="20"/>
          <w:color w:val="auto"/>
        </w:rPr>
      </w:pPr>
    </w:p>
    <w:p>
      <w:pPr>
        <w:jc w:val="both"/>
        <w:ind w:right="1780" w:firstLine="843"/>
        <w:spacing w:after="0" w:line="253" w:lineRule="auto"/>
        <w:rPr>
          <w:sz w:val="20"/>
          <w:szCs w:val="20"/>
          <w:color w:val="auto"/>
        </w:rPr>
      </w:pPr>
      <w:r>
        <w:rPr>
          <w:rFonts w:ascii="Courier New" w:cs="Courier New" w:eastAsia="Courier New" w:hAnsi="Courier New"/>
          <w:sz w:val="18"/>
          <w:szCs w:val="18"/>
          <w:color w:val="auto"/>
        </w:rPr>
        <w:t>James A. Valeo joined Gentner Communications as its Vice President of Strategic Operations and General Counsel in October 2000. Prior to joining the Company, from 1996 to 2000 he practiced law with the law firm of Jones Waldo Holbrook &amp; McDonough in Salt Lake City, Utah, focusing on mergers and acquisitions, corporate finance, and general corporate law. Earlier, Mr. Valeo worked for two law firms in Washington, D.C. Mr. Valeo received a Bachelor of Arts degree from New York University in 1982, and a Juris Doctorate degree from Boston University in 1986.</w:t>
      </w:r>
    </w:p>
    <w:p>
      <w:pPr>
        <w:spacing w:after="0" w:line="1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For the biography of Mr. Wichinski, see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Summary Compensation</w:t>
      </w:r>
    </w:p>
    <w:p>
      <w:pPr>
        <w:spacing w:after="0" w:line="201" w:lineRule="exact"/>
        <w:rPr>
          <w:sz w:val="20"/>
          <w:szCs w:val="20"/>
          <w:color w:val="auto"/>
        </w:rPr>
      </w:pPr>
    </w:p>
    <w:p>
      <w:pPr>
        <w:jc w:val="both"/>
        <w:ind w:right="1780" w:firstLine="843"/>
        <w:spacing w:after="0" w:line="265" w:lineRule="auto"/>
        <w:rPr>
          <w:sz w:val="20"/>
          <w:szCs w:val="20"/>
          <w:color w:val="auto"/>
        </w:rPr>
      </w:pPr>
      <w:r>
        <w:rPr>
          <w:rFonts w:ascii="Courier New" w:cs="Courier New" w:eastAsia="Courier New" w:hAnsi="Courier New"/>
          <w:sz w:val="18"/>
          <w:szCs w:val="18"/>
          <w:color w:val="auto"/>
        </w:rPr>
        <w:t>The following table sets forth, for each of the Company's last three fiscal years, the compensation of the Chief Executive Officer of the Company and the other previously named executive officers of the Company whose total salary and bonus for the year ended June 30, 2001 exceeded $100,000, for services rendered in all capacities to the Company during such fiscal years.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060" w:type="dxa"/>
            <w:vAlign w:val="bottom"/>
          </w:tcPr>
          <w:p>
            <w:pPr>
              <w:spacing w:after="0"/>
              <w:rPr>
                <w:sz w:val="24"/>
                <w:szCs w:val="24"/>
                <w:color w:val="auto"/>
              </w:rPr>
            </w:pPr>
          </w:p>
        </w:tc>
        <w:tc>
          <w:tcPr>
            <w:tcW w:w="4540" w:type="dxa"/>
            <w:vAlign w:val="bottom"/>
            <w:gridSpan w:val="4"/>
          </w:tcPr>
          <w:p>
            <w:pPr>
              <w:jc w:val="right"/>
              <w:ind w:right="912"/>
              <w:spacing w:after="0"/>
              <w:rPr>
                <w:sz w:val="20"/>
                <w:szCs w:val="20"/>
                <w:color w:val="auto"/>
              </w:rPr>
            </w:pPr>
            <w:r>
              <w:rPr>
                <w:rFonts w:ascii="Courier New" w:cs="Courier New" w:eastAsia="Courier New" w:hAnsi="Courier New"/>
                <w:sz w:val="18"/>
                <w:szCs w:val="18"/>
                <w:color w:val="auto"/>
              </w:rPr>
              <w:t>SUMMARY COMPENSATION TABLE</w:t>
            </w: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Annual Compensation</w:t>
            </w:r>
          </w:p>
        </w:tc>
        <w:tc>
          <w:tcPr>
            <w:tcW w:w="880" w:type="dxa"/>
            <w:vAlign w:val="bottom"/>
          </w:tcPr>
          <w:p>
            <w:pPr>
              <w:spacing w:after="0"/>
              <w:rPr>
                <w:sz w:val="24"/>
                <w:szCs w:val="24"/>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Long-Term</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Compensation</w:t>
            </w:r>
          </w:p>
        </w:tc>
        <w:tc>
          <w:tcPr>
            <w:tcW w:w="960" w:type="dxa"/>
            <w:vAlign w:val="bottom"/>
          </w:tcPr>
          <w:p>
            <w:pPr>
              <w:spacing w:after="0"/>
              <w:rPr>
                <w:sz w:val="24"/>
                <w:szCs w:val="2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Awards</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6"/>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Payouts</w:t>
            </w: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20" w:type="dxa"/>
            <w:vAlign w:val="bottom"/>
            <w:gridSpan w:val="4"/>
          </w:tcPr>
          <w:p>
            <w:pPr>
              <w:ind w:left="2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6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Securities</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3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Other</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Restric-</w:t>
            </w:r>
          </w:p>
        </w:tc>
        <w:tc>
          <w:tcPr>
            <w:tcW w:w="10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All</w:t>
            </w: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Under-</w:t>
            </w:r>
          </w:p>
        </w:tc>
        <w:tc>
          <w:tcPr>
            <w:tcW w:w="6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Annual</w:t>
            </w:r>
          </w:p>
        </w:tc>
        <w:tc>
          <w:tcPr>
            <w:tcW w:w="8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ted</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lying</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LTIP</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Other</w:t>
            </w:r>
          </w:p>
        </w:tc>
        <w:tc>
          <w:tcPr>
            <w:tcW w:w="0" w:type="dxa"/>
            <w:vAlign w:val="bottom"/>
          </w:tcPr>
          <w:p>
            <w:pPr>
              <w:spacing w:after="0"/>
              <w:rPr>
                <w:sz w:val="1"/>
                <w:szCs w:val="1"/>
                <w:color w:val="auto"/>
              </w:rPr>
            </w:pPr>
          </w:p>
        </w:tc>
      </w:tr>
      <w:tr>
        <w:trPr>
          <w:trHeight w:val="203"/>
        </w:trPr>
        <w:tc>
          <w:tcPr>
            <w:tcW w:w="206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Position</w:t>
            </w:r>
          </w:p>
        </w:tc>
        <w:tc>
          <w:tcPr>
            <w:tcW w:w="9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7"/>
              </w:rPr>
              <w:t>Year</w:t>
            </w:r>
          </w:p>
        </w:tc>
        <w:tc>
          <w:tcPr>
            <w:tcW w:w="110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rPr>
              <w:t>Salary</w:t>
            </w:r>
          </w:p>
        </w:tc>
        <w:tc>
          <w:tcPr>
            <w:tcW w:w="110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Bonus</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Compen-</w:t>
            </w:r>
          </w:p>
        </w:tc>
        <w:tc>
          <w:tcPr>
            <w:tcW w:w="8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Stock</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Options</w:t>
            </w:r>
          </w:p>
        </w:tc>
        <w:tc>
          <w:tcPr>
            <w:tcW w:w="640" w:type="dxa"/>
            <w:vAlign w:val="bottom"/>
            <w:vMerge w:val="continue"/>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Compen-</w:t>
            </w:r>
          </w:p>
        </w:tc>
        <w:tc>
          <w:tcPr>
            <w:tcW w:w="0" w:type="dxa"/>
            <w:vAlign w:val="bottom"/>
          </w:tcPr>
          <w:p>
            <w:pPr>
              <w:spacing w:after="0"/>
              <w:rPr>
                <w:sz w:val="1"/>
                <w:szCs w:val="1"/>
                <w:color w:val="auto"/>
              </w:rPr>
            </w:pPr>
          </w:p>
        </w:tc>
      </w:tr>
      <w:tr>
        <w:trPr>
          <w:trHeight w:val="203"/>
        </w:trPr>
        <w:tc>
          <w:tcPr>
            <w:tcW w:w="206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100" w:type="dxa"/>
            <w:vAlign w:val="bottom"/>
            <w:vMerge w:val="continue"/>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sation</w:t>
            </w:r>
          </w:p>
        </w:tc>
        <w:tc>
          <w:tcPr>
            <w:tcW w:w="8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Awards</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/SARS</w:t>
            </w:r>
          </w:p>
        </w:tc>
        <w:tc>
          <w:tcPr>
            <w:tcW w:w="16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Payoutssation(1)</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w:t>
            </w:r>
          </w:p>
        </w:tc>
        <w:tc>
          <w:tcPr>
            <w:tcW w:w="1100" w:type="dxa"/>
            <w:vAlign w:val="bottom"/>
          </w:tcPr>
          <w:p>
            <w:pPr>
              <w:jc w:val="right"/>
              <w:ind w:right="135"/>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0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514"/>
        </w:trPr>
        <w:tc>
          <w:tcPr>
            <w:tcW w:w="206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9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Fiscal</w:t>
            </w:r>
          </w:p>
        </w:tc>
        <w:tc>
          <w:tcPr>
            <w:tcW w:w="110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w w:val="99"/>
              </w:rPr>
              <w:t>$160,000</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$58,400</w:t>
            </w:r>
          </w:p>
        </w:tc>
        <w:tc>
          <w:tcPr>
            <w:tcW w:w="13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None</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None</w:t>
            </w:r>
          </w:p>
        </w:tc>
        <w:tc>
          <w:tcPr>
            <w:tcW w:w="10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None</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104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$2,056</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CEO &amp; President</w:t>
            </w:r>
          </w:p>
        </w:tc>
        <w:tc>
          <w:tcPr>
            <w:tcW w:w="9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2001</w:t>
            </w:r>
          </w:p>
        </w:tc>
        <w:tc>
          <w:tcPr>
            <w:tcW w:w="11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4"/>
                <w:szCs w:val="24"/>
                <w:color w:val="auto"/>
              </w:rPr>
            </w:pPr>
          </w:p>
        </w:tc>
        <w:tc>
          <w:tcPr>
            <w:tcW w:w="9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Fiscal</w:t>
            </w:r>
          </w:p>
        </w:tc>
        <w:tc>
          <w:tcPr>
            <w:tcW w:w="110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w w:val="99"/>
              </w:rPr>
              <w:t>$160,333</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$73,700</w:t>
            </w:r>
          </w:p>
        </w:tc>
        <w:tc>
          <w:tcPr>
            <w:tcW w:w="13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None</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None</w:t>
            </w:r>
          </w:p>
        </w:tc>
        <w:tc>
          <w:tcPr>
            <w:tcW w:w="10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50,000</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104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$1,802</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9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2000</w:t>
            </w:r>
          </w:p>
        </w:tc>
        <w:tc>
          <w:tcPr>
            <w:tcW w:w="11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4"/>
                <w:szCs w:val="24"/>
                <w:color w:val="auto"/>
              </w:rPr>
            </w:pPr>
          </w:p>
        </w:tc>
        <w:tc>
          <w:tcPr>
            <w:tcW w:w="9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Fiscal</w:t>
            </w:r>
          </w:p>
        </w:tc>
        <w:tc>
          <w:tcPr>
            <w:tcW w:w="110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w w:val="99"/>
              </w:rPr>
              <w:t>$104,912</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$66,064</w:t>
            </w:r>
          </w:p>
        </w:tc>
        <w:tc>
          <w:tcPr>
            <w:tcW w:w="13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None</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None</w:t>
            </w:r>
          </w:p>
        </w:tc>
        <w:tc>
          <w:tcPr>
            <w:tcW w:w="10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None</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104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$2,022</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4"/>
                <w:szCs w:val="24"/>
                <w:color w:val="auto"/>
              </w:rPr>
            </w:pPr>
          </w:p>
        </w:tc>
        <w:tc>
          <w:tcPr>
            <w:tcW w:w="9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1999</w:t>
            </w:r>
          </w:p>
        </w:tc>
        <w:tc>
          <w:tcPr>
            <w:tcW w:w="11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60" w:type="dxa"/>
            <w:vAlign w:val="bottom"/>
          </w:tcPr>
          <w:p>
            <w:pPr>
              <w:spacing w:after="0"/>
              <w:rPr>
                <w:sz w:val="20"/>
                <w:szCs w:val="20"/>
                <w:color w:val="auto"/>
              </w:rPr>
            </w:pPr>
            <w:r>
              <w:rPr>
                <w:rFonts w:ascii="Courier New" w:cs="Courier New" w:eastAsia="Courier New" w:hAnsi="Courier New"/>
                <w:sz w:val="18"/>
                <w:szCs w:val="18"/>
                <w:color w:val="auto"/>
              </w:rPr>
              <w:t>Tracy Bathurst</w:t>
            </w:r>
          </w:p>
        </w:tc>
        <w:tc>
          <w:tcPr>
            <w:tcW w:w="960" w:type="dxa"/>
            <w:vAlign w:val="bottom"/>
          </w:tcPr>
          <w:p>
            <w:pPr>
              <w:jc w:val="center"/>
              <w:ind w:left="112"/>
              <w:spacing w:after="0"/>
              <w:rPr>
                <w:sz w:val="20"/>
                <w:szCs w:val="20"/>
                <w:color w:val="auto"/>
              </w:rPr>
            </w:pPr>
            <w:r>
              <w:rPr>
                <w:rFonts w:ascii="Courier New" w:cs="Courier New" w:eastAsia="Courier New" w:hAnsi="Courier New"/>
                <w:sz w:val="18"/>
                <w:szCs w:val="18"/>
                <w:color w:val="auto"/>
                <w:w w:val="98"/>
              </w:rPr>
              <w:t>Fiscal</w:t>
            </w:r>
          </w:p>
        </w:tc>
        <w:tc>
          <w:tcPr>
            <w:tcW w:w="1100" w:type="dxa"/>
            <w:vAlign w:val="bottom"/>
            <w:vMerge w:val="restart"/>
          </w:tcPr>
          <w:p>
            <w:pPr>
              <w:jc w:val="right"/>
              <w:ind w:right="135"/>
              <w:spacing w:after="0"/>
              <w:rPr>
                <w:sz w:val="20"/>
                <w:szCs w:val="20"/>
                <w:color w:val="auto"/>
              </w:rPr>
            </w:pPr>
            <w:r>
              <w:rPr>
                <w:rFonts w:ascii="Courier New" w:cs="Courier New" w:eastAsia="Courier New" w:hAnsi="Courier New"/>
                <w:sz w:val="18"/>
                <w:szCs w:val="18"/>
                <w:color w:val="auto"/>
                <w:w w:val="99"/>
              </w:rPr>
              <w:t>$100,000</w:t>
            </w:r>
          </w:p>
        </w:tc>
        <w:tc>
          <w:tcPr>
            <w:tcW w:w="11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$18,500</w:t>
            </w:r>
          </w:p>
        </w:tc>
        <w:tc>
          <w:tcPr>
            <w:tcW w:w="138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None</w:t>
            </w:r>
          </w:p>
        </w:tc>
        <w:tc>
          <w:tcPr>
            <w:tcW w:w="88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None</w:t>
            </w:r>
          </w:p>
        </w:tc>
        <w:tc>
          <w:tcPr>
            <w:tcW w:w="10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None</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104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$1,850</w:t>
            </w:r>
          </w:p>
        </w:tc>
        <w:tc>
          <w:tcPr>
            <w:tcW w:w="0" w:type="dxa"/>
            <w:vAlign w:val="bottom"/>
          </w:tcPr>
          <w:p>
            <w:pPr>
              <w:spacing w:after="0"/>
              <w:rPr>
                <w:sz w:val="1"/>
                <w:szCs w:val="1"/>
                <w:color w:val="auto"/>
              </w:rPr>
            </w:pPr>
          </w:p>
        </w:tc>
      </w:tr>
      <w:tr>
        <w:trPr>
          <w:trHeight w:val="296"/>
        </w:trPr>
        <w:tc>
          <w:tcPr>
            <w:tcW w:w="2060" w:type="dxa"/>
            <w:vAlign w:val="bottom"/>
          </w:tcPr>
          <w:p>
            <w:pPr>
              <w:spacing w:after="0"/>
              <w:rPr>
                <w:sz w:val="20"/>
                <w:szCs w:val="20"/>
                <w:color w:val="auto"/>
              </w:rPr>
            </w:pPr>
            <w:r>
              <w:rPr>
                <w:rFonts w:ascii="Courier New" w:cs="Courier New" w:eastAsia="Courier New" w:hAnsi="Courier New"/>
                <w:sz w:val="18"/>
                <w:szCs w:val="18"/>
                <w:color w:val="auto"/>
              </w:rPr>
              <w:t>Vice President(2)</w:t>
            </w:r>
          </w:p>
        </w:tc>
        <w:tc>
          <w:tcPr>
            <w:tcW w:w="9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2001</w:t>
            </w:r>
          </w:p>
        </w:tc>
        <w:tc>
          <w:tcPr>
            <w:tcW w:w="1100" w:type="dxa"/>
            <w:vAlign w:val="bottom"/>
            <w:vMerge w:val="continue"/>
          </w:tcPr>
          <w:p>
            <w:pPr>
              <w:spacing w:after="0"/>
              <w:rPr>
                <w:sz w:val="24"/>
                <w:szCs w:val="24"/>
                <w:color w:val="auto"/>
              </w:rPr>
            </w:pPr>
          </w:p>
        </w:tc>
        <w:tc>
          <w:tcPr>
            <w:tcW w:w="110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88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2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83"/>
              </w:rPr>
              <w:t>14</w:t>
            </w: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20"/>
          </w:cols>
          <w:pgMar w:left="240" w:top="691" w:right="14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1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8"/>
              </w:rPr>
              <w:t>Fiscal</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$93,073</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$5,000</w:t>
            </w:r>
          </w:p>
        </w:tc>
        <w:tc>
          <w:tcPr>
            <w:tcW w:w="116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None</w:t>
            </w:r>
          </w:p>
        </w:tc>
        <w:tc>
          <w:tcPr>
            <w:tcW w:w="10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None</w:t>
            </w:r>
          </w:p>
        </w:tc>
        <w:tc>
          <w:tcPr>
            <w:tcW w:w="10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50,000</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$1,765</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4"/>
                <w:szCs w:val="24"/>
                <w:color w:val="auto"/>
              </w:rPr>
            </w:pPr>
          </w:p>
        </w:tc>
        <w:tc>
          <w:tcPr>
            <w:tcW w:w="11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2000</w:t>
            </w:r>
          </w:p>
        </w:tc>
        <w:tc>
          <w:tcPr>
            <w:tcW w:w="11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00" w:type="dxa"/>
            <w:vAlign w:val="bottom"/>
          </w:tcPr>
          <w:p>
            <w:pPr>
              <w:spacing w:after="0"/>
              <w:rPr>
                <w:sz w:val="20"/>
                <w:szCs w:val="20"/>
                <w:color w:val="auto"/>
              </w:rPr>
            </w:pPr>
            <w:r>
              <w:rPr>
                <w:rFonts w:ascii="Courier New" w:cs="Courier New" w:eastAsia="Courier New" w:hAnsi="Courier New"/>
                <w:sz w:val="18"/>
                <w:szCs w:val="18"/>
                <w:color w:val="auto"/>
              </w:rPr>
              <w:t>Curtis Hewitson</w:t>
            </w:r>
          </w:p>
        </w:tc>
        <w:tc>
          <w:tcPr>
            <w:tcW w:w="11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8"/>
              </w:rPr>
              <w:t>Fiscal</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$80,002</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$13,600</w:t>
            </w:r>
          </w:p>
        </w:tc>
        <w:tc>
          <w:tcPr>
            <w:tcW w:w="116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None</w:t>
            </w:r>
          </w:p>
        </w:tc>
        <w:tc>
          <w:tcPr>
            <w:tcW w:w="10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None</w:t>
            </w:r>
          </w:p>
        </w:tc>
        <w:tc>
          <w:tcPr>
            <w:tcW w:w="10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None</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$2,179</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Vice President</w:t>
            </w:r>
          </w:p>
        </w:tc>
        <w:tc>
          <w:tcPr>
            <w:tcW w:w="11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2001</w:t>
            </w:r>
          </w:p>
        </w:tc>
        <w:tc>
          <w:tcPr>
            <w:tcW w:w="11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00" w:type="dxa"/>
            <w:vAlign w:val="bottom"/>
          </w:tcPr>
          <w:p>
            <w:pPr>
              <w:spacing w:after="0"/>
              <w:rPr>
                <w:sz w:val="24"/>
                <w:szCs w:val="24"/>
                <w:color w:val="auto"/>
              </w:rPr>
            </w:pPr>
          </w:p>
        </w:tc>
        <w:tc>
          <w:tcPr>
            <w:tcW w:w="11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8"/>
              </w:rPr>
              <w:t>Fiscal</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$73,574</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$31,400</w:t>
            </w:r>
          </w:p>
        </w:tc>
        <w:tc>
          <w:tcPr>
            <w:tcW w:w="116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None</w:t>
            </w:r>
          </w:p>
        </w:tc>
        <w:tc>
          <w:tcPr>
            <w:tcW w:w="10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None</w:t>
            </w:r>
          </w:p>
        </w:tc>
        <w:tc>
          <w:tcPr>
            <w:tcW w:w="10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50,000</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$1,841</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4"/>
                <w:szCs w:val="24"/>
                <w:color w:val="auto"/>
              </w:rPr>
            </w:pPr>
          </w:p>
        </w:tc>
        <w:tc>
          <w:tcPr>
            <w:tcW w:w="11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2000</w:t>
            </w:r>
          </w:p>
        </w:tc>
        <w:tc>
          <w:tcPr>
            <w:tcW w:w="11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00" w:type="dxa"/>
            <w:vAlign w:val="bottom"/>
          </w:tcPr>
          <w:p>
            <w:pPr>
              <w:spacing w:after="0"/>
              <w:rPr>
                <w:sz w:val="24"/>
                <w:szCs w:val="24"/>
                <w:color w:val="auto"/>
              </w:rPr>
            </w:pPr>
          </w:p>
        </w:tc>
        <w:tc>
          <w:tcPr>
            <w:tcW w:w="11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8"/>
              </w:rPr>
              <w:t>Fiscal</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$60,000</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$10,278</w:t>
            </w:r>
          </w:p>
        </w:tc>
        <w:tc>
          <w:tcPr>
            <w:tcW w:w="116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None</w:t>
            </w:r>
          </w:p>
        </w:tc>
        <w:tc>
          <w:tcPr>
            <w:tcW w:w="10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None</w:t>
            </w:r>
          </w:p>
        </w:tc>
        <w:tc>
          <w:tcPr>
            <w:tcW w:w="10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None</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$1,800</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4"/>
                <w:szCs w:val="24"/>
                <w:color w:val="auto"/>
              </w:rPr>
            </w:pPr>
          </w:p>
        </w:tc>
        <w:tc>
          <w:tcPr>
            <w:tcW w:w="11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1999</w:t>
            </w:r>
          </w:p>
        </w:tc>
        <w:tc>
          <w:tcPr>
            <w:tcW w:w="11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020" w:type="dxa"/>
            <w:vAlign w:val="bottom"/>
            <w:gridSpan w:val="2"/>
          </w:tcPr>
          <w:p>
            <w:pPr>
              <w:spacing w:after="0"/>
              <w:rPr>
                <w:sz w:val="20"/>
                <w:szCs w:val="20"/>
                <w:color w:val="auto"/>
              </w:rPr>
            </w:pPr>
            <w:r>
              <w:rPr>
                <w:rFonts w:ascii="Courier New" w:cs="Courier New" w:eastAsia="Courier New" w:hAnsi="Courier New"/>
                <w:sz w:val="18"/>
                <w:szCs w:val="18"/>
                <w:color w:val="auto"/>
                <w:w w:val="99"/>
              </w:rPr>
              <w:t>Eugene W. Kuntz, Jr.  Fiscal</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$92,502</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$9,500</w:t>
            </w:r>
          </w:p>
        </w:tc>
        <w:tc>
          <w:tcPr>
            <w:tcW w:w="116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None</w:t>
            </w:r>
          </w:p>
        </w:tc>
        <w:tc>
          <w:tcPr>
            <w:tcW w:w="10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None</w:t>
            </w:r>
          </w:p>
        </w:tc>
        <w:tc>
          <w:tcPr>
            <w:tcW w:w="10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30,000</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$1,850</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Vice President(3)</w:t>
            </w:r>
          </w:p>
        </w:tc>
        <w:tc>
          <w:tcPr>
            <w:tcW w:w="11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2001</w:t>
            </w:r>
          </w:p>
        </w:tc>
        <w:tc>
          <w:tcPr>
            <w:tcW w:w="11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00" w:type="dxa"/>
            <w:vAlign w:val="bottom"/>
          </w:tcPr>
          <w:p>
            <w:pPr>
              <w:spacing w:after="0"/>
              <w:rPr>
                <w:sz w:val="20"/>
                <w:szCs w:val="20"/>
                <w:color w:val="auto"/>
              </w:rPr>
            </w:pPr>
            <w:r>
              <w:rPr>
                <w:rFonts w:ascii="Courier New" w:cs="Courier New" w:eastAsia="Courier New" w:hAnsi="Courier New"/>
                <w:sz w:val="18"/>
                <w:szCs w:val="18"/>
                <w:color w:val="auto"/>
              </w:rPr>
              <w:t>Susie Strohm</w:t>
            </w:r>
          </w:p>
        </w:tc>
        <w:tc>
          <w:tcPr>
            <w:tcW w:w="11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8"/>
              </w:rPr>
              <w:t>Fiscal</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9"/>
              </w:rPr>
              <w:t>$110,000</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$37,000</w:t>
            </w:r>
          </w:p>
        </w:tc>
        <w:tc>
          <w:tcPr>
            <w:tcW w:w="116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None</w:t>
            </w:r>
          </w:p>
        </w:tc>
        <w:tc>
          <w:tcPr>
            <w:tcW w:w="10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None</w:t>
            </w:r>
          </w:p>
        </w:tc>
        <w:tc>
          <w:tcPr>
            <w:tcW w:w="10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None</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$2,316</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0"/>
                <w:szCs w:val="20"/>
                <w:color w:val="auto"/>
              </w:rPr>
            </w:pPr>
            <w:r>
              <w:rPr>
                <w:rFonts w:ascii="Courier New" w:cs="Courier New" w:eastAsia="Courier New" w:hAnsi="Courier New"/>
                <w:sz w:val="18"/>
                <w:szCs w:val="18"/>
                <w:color w:val="auto"/>
              </w:rPr>
              <w:t>Vice President</w:t>
            </w:r>
          </w:p>
        </w:tc>
        <w:tc>
          <w:tcPr>
            <w:tcW w:w="11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2001</w:t>
            </w:r>
          </w:p>
        </w:tc>
        <w:tc>
          <w:tcPr>
            <w:tcW w:w="11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00" w:type="dxa"/>
            <w:vAlign w:val="bottom"/>
          </w:tcPr>
          <w:p>
            <w:pPr>
              <w:spacing w:after="0"/>
              <w:rPr>
                <w:sz w:val="24"/>
                <w:szCs w:val="24"/>
                <w:color w:val="auto"/>
              </w:rPr>
            </w:pPr>
          </w:p>
        </w:tc>
        <w:tc>
          <w:tcPr>
            <w:tcW w:w="11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8"/>
              </w:rPr>
              <w:t>Fiscal</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9"/>
              </w:rPr>
              <w:t>$100,167</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$55,538</w:t>
            </w:r>
          </w:p>
        </w:tc>
        <w:tc>
          <w:tcPr>
            <w:tcW w:w="116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None</w:t>
            </w:r>
          </w:p>
        </w:tc>
        <w:tc>
          <w:tcPr>
            <w:tcW w:w="10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None</w:t>
            </w:r>
          </w:p>
        </w:tc>
        <w:tc>
          <w:tcPr>
            <w:tcW w:w="10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50,000</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$1,976</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4"/>
                <w:szCs w:val="24"/>
                <w:color w:val="auto"/>
              </w:rPr>
            </w:pPr>
          </w:p>
        </w:tc>
        <w:tc>
          <w:tcPr>
            <w:tcW w:w="11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2000</w:t>
            </w:r>
          </w:p>
        </w:tc>
        <w:tc>
          <w:tcPr>
            <w:tcW w:w="11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900" w:type="dxa"/>
            <w:vAlign w:val="bottom"/>
          </w:tcPr>
          <w:p>
            <w:pPr>
              <w:spacing w:after="0"/>
              <w:rPr>
                <w:sz w:val="24"/>
                <w:szCs w:val="24"/>
                <w:color w:val="auto"/>
              </w:rPr>
            </w:pPr>
          </w:p>
        </w:tc>
        <w:tc>
          <w:tcPr>
            <w:tcW w:w="11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8"/>
              </w:rPr>
              <w:t>Fiscal</w:t>
            </w:r>
          </w:p>
        </w:tc>
        <w:tc>
          <w:tcPr>
            <w:tcW w:w="110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$72,716</w:t>
            </w:r>
          </w:p>
        </w:tc>
        <w:tc>
          <w:tcPr>
            <w:tcW w:w="120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$44,414</w:t>
            </w:r>
          </w:p>
        </w:tc>
        <w:tc>
          <w:tcPr>
            <w:tcW w:w="1160" w:type="dxa"/>
            <w:vAlign w:val="bottom"/>
            <w:vMerge w:val="restart"/>
          </w:tcPr>
          <w:p>
            <w:pPr>
              <w:ind w:left="280"/>
              <w:spacing w:after="0"/>
              <w:rPr>
                <w:sz w:val="20"/>
                <w:szCs w:val="20"/>
                <w:color w:val="auto"/>
              </w:rPr>
            </w:pPr>
            <w:r>
              <w:rPr>
                <w:rFonts w:ascii="Courier New" w:cs="Courier New" w:eastAsia="Courier New" w:hAnsi="Courier New"/>
                <w:sz w:val="18"/>
                <w:szCs w:val="18"/>
                <w:color w:val="auto"/>
              </w:rPr>
              <w:t>None</w:t>
            </w:r>
          </w:p>
        </w:tc>
        <w:tc>
          <w:tcPr>
            <w:tcW w:w="1000" w:type="dxa"/>
            <w:vAlign w:val="bottom"/>
            <w:vMerge w:val="restart"/>
          </w:tcPr>
          <w:p>
            <w:pPr>
              <w:ind w:left="380"/>
              <w:spacing w:after="0"/>
              <w:rPr>
                <w:sz w:val="20"/>
                <w:szCs w:val="20"/>
                <w:color w:val="auto"/>
              </w:rPr>
            </w:pPr>
            <w:r>
              <w:rPr>
                <w:rFonts w:ascii="Courier New" w:cs="Courier New" w:eastAsia="Courier New" w:hAnsi="Courier New"/>
                <w:sz w:val="18"/>
                <w:szCs w:val="18"/>
                <w:color w:val="auto"/>
              </w:rPr>
              <w:t>None</w:t>
            </w:r>
          </w:p>
        </w:tc>
        <w:tc>
          <w:tcPr>
            <w:tcW w:w="106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7"/>
              </w:rPr>
              <w:t>None</w:t>
            </w:r>
          </w:p>
        </w:tc>
        <w:tc>
          <w:tcPr>
            <w:tcW w:w="640" w:type="dxa"/>
            <w:vAlign w:val="bottom"/>
            <w:vMerge w:val="restart"/>
          </w:tcPr>
          <w:p>
            <w:pPr>
              <w:ind w:left="100"/>
              <w:spacing w:after="0"/>
              <w:rPr>
                <w:sz w:val="20"/>
                <w:szCs w:val="20"/>
                <w:color w:val="auto"/>
              </w:rPr>
            </w:pPr>
            <w:r>
              <w:rPr>
                <w:rFonts w:ascii="Courier New" w:cs="Courier New" w:eastAsia="Courier New" w:hAnsi="Courier New"/>
                <w:sz w:val="18"/>
                <w:szCs w:val="18"/>
                <w:color w:val="auto"/>
              </w:rPr>
              <w:t>None</w:t>
            </w:r>
          </w:p>
        </w:tc>
        <w:tc>
          <w:tcPr>
            <w:tcW w:w="74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$1,721</w:t>
            </w:r>
          </w:p>
        </w:tc>
        <w:tc>
          <w:tcPr>
            <w:tcW w:w="0" w:type="dxa"/>
            <w:vAlign w:val="bottom"/>
          </w:tcPr>
          <w:p>
            <w:pPr>
              <w:spacing w:after="0"/>
              <w:rPr>
                <w:sz w:val="1"/>
                <w:szCs w:val="1"/>
                <w:color w:val="auto"/>
              </w:rPr>
            </w:pPr>
          </w:p>
        </w:tc>
      </w:tr>
      <w:tr>
        <w:trPr>
          <w:trHeight w:val="296"/>
        </w:trPr>
        <w:tc>
          <w:tcPr>
            <w:tcW w:w="1900" w:type="dxa"/>
            <w:vAlign w:val="bottom"/>
          </w:tcPr>
          <w:p>
            <w:pPr>
              <w:spacing w:after="0"/>
              <w:rPr>
                <w:sz w:val="24"/>
                <w:szCs w:val="24"/>
                <w:color w:val="auto"/>
              </w:rPr>
            </w:pPr>
          </w:p>
        </w:tc>
        <w:tc>
          <w:tcPr>
            <w:tcW w:w="112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7"/>
              </w:rPr>
              <w:t>1999</w:t>
            </w:r>
          </w:p>
        </w:tc>
        <w:tc>
          <w:tcPr>
            <w:tcW w:w="110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64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900" w:type="dxa"/>
            <w:vAlign w:val="bottom"/>
          </w:tcPr>
          <w:p>
            <w:pPr>
              <w:spacing w:after="0"/>
              <w:rPr>
                <w:sz w:val="20"/>
                <w:szCs w:val="20"/>
                <w:color w:val="auto"/>
              </w:rPr>
            </w:pPr>
            <w:r>
              <w:rPr>
                <w:rFonts w:ascii="Courier New" w:cs="Courier New" w:eastAsia="Courier New" w:hAnsi="Courier New"/>
                <w:sz w:val="18"/>
                <w:szCs w:val="18"/>
                <w:color w:val="auto"/>
              </w:rPr>
              <w:t>1   This  amount</w:t>
            </w:r>
          </w:p>
        </w:tc>
        <w:tc>
          <w:tcPr>
            <w:tcW w:w="1120" w:type="dxa"/>
            <w:vAlign w:val="bottom"/>
          </w:tcPr>
          <w:p>
            <w:pPr>
              <w:ind w:left="100"/>
              <w:spacing w:after="0"/>
              <w:rPr>
                <w:sz w:val="20"/>
                <w:szCs w:val="20"/>
                <w:color w:val="auto"/>
              </w:rPr>
            </w:pPr>
            <w:r>
              <w:rPr>
                <w:rFonts w:ascii="Courier New" w:cs="Courier New" w:eastAsia="Courier New" w:hAnsi="Courier New"/>
                <w:sz w:val="18"/>
                <w:szCs w:val="18"/>
                <w:color w:val="auto"/>
              </w:rPr>
              <w:t>reflects</w:t>
            </w:r>
          </w:p>
        </w:tc>
        <w:tc>
          <w:tcPr>
            <w:tcW w:w="34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the   Company's   contributions</w:t>
            </w:r>
          </w:p>
        </w:tc>
        <w:tc>
          <w:tcPr>
            <w:tcW w:w="1000" w:type="dxa"/>
            <w:vAlign w:val="bottom"/>
          </w:tcPr>
          <w:p>
            <w:pPr>
              <w:ind w:left="160"/>
              <w:spacing w:after="0"/>
              <w:rPr>
                <w:sz w:val="20"/>
                <w:szCs w:val="20"/>
                <w:color w:val="auto"/>
              </w:rPr>
            </w:pPr>
            <w:r>
              <w:rPr>
                <w:rFonts w:ascii="Courier New" w:cs="Courier New" w:eastAsia="Courier New" w:hAnsi="Courier New"/>
                <w:sz w:val="18"/>
                <w:szCs w:val="18"/>
                <w:color w:val="auto"/>
              </w:rPr>
              <w:t>to  the</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deferred</w:t>
            </w: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20"/>
        <w:spacing w:after="0" w:line="238" w:lineRule="auto"/>
        <w:rPr>
          <w:sz w:val="20"/>
          <w:szCs w:val="20"/>
          <w:color w:val="auto"/>
        </w:rPr>
      </w:pPr>
      <w:r>
        <w:rPr>
          <w:rFonts w:ascii="Courier New" w:cs="Courier New" w:eastAsia="Courier New" w:hAnsi="Courier New"/>
          <w:sz w:val="18"/>
          <w:szCs w:val="18"/>
          <w:color w:val="auto"/>
        </w:rPr>
        <w:t>compensation (401(k)) plan.</w:t>
      </w: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Bathurst was not an executive officer until fiscal year 2000.</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   Mr. Kuntz was not an executive officer until fiscal year 2001.</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Stock Options/SARS</w:t>
      </w:r>
    </w:p>
    <w:p>
      <w:pPr>
        <w:spacing w:after="0" w:line="201" w:lineRule="exact"/>
        <w:rPr>
          <w:sz w:val="20"/>
          <w:szCs w:val="20"/>
          <w:color w:val="auto"/>
        </w:rPr>
      </w:pPr>
    </w:p>
    <w:p>
      <w:pPr>
        <w:jc w:val="both"/>
        <w:ind w:right="1779" w:firstLine="843"/>
        <w:spacing w:after="0" w:line="347" w:lineRule="auto"/>
        <w:rPr>
          <w:sz w:val="20"/>
          <w:szCs w:val="20"/>
          <w:color w:val="auto"/>
        </w:rPr>
      </w:pPr>
      <w:r>
        <w:rPr>
          <w:rFonts w:ascii="Courier New" w:cs="Courier New" w:eastAsia="Courier New" w:hAnsi="Courier New"/>
          <w:sz w:val="18"/>
          <w:szCs w:val="18"/>
          <w:color w:val="auto"/>
        </w:rPr>
        <w:t>The following table sets forth the stock option and SAR grants to the named executive officers for the last fiscal year:</w:t>
      </w:r>
    </w:p>
    <w:p>
      <w:pPr>
        <w:spacing w:after="0" w:line="18" w:lineRule="exact"/>
        <w:rPr>
          <w:sz w:val="20"/>
          <w:szCs w:val="20"/>
          <w:color w:val="auto"/>
        </w:rPr>
      </w:pPr>
    </w:p>
    <w:p>
      <w:pPr>
        <w:ind w:left="3280" w:right="2519" w:hanging="1052"/>
        <w:spacing w:after="0" w:line="347" w:lineRule="auto"/>
        <w:rPr>
          <w:sz w:val="20"/>
          <w:szCs w:val="20"/>
          <w:color w:val="auto"/>
        </w:rPr>
      </w:pPr>
      <w:r>
        <w:rPr>
          <w:rFonts w:ascii="Courier New" w:cs="Courier New" w:eastAsia="Courier New" w:hAnsi="Courier New"/>
          <w:sz w:val="18"/>
          <w:szCs w:val="18"/>
          <w:color w:val="auto"/>
        </w:rPr>
        <w:t>OPTION/SAR GRANTS IN FISCAL YEAR ENDED JUNE 30, 2001 (INDIVIDUAL GRANTS)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spacing w:after="0"/>
              <w:rPr>
                <w:sz w:val="17"/>
                <w:szCs w:val="17"/>
                <w:color w:val="auto"/>
              </w:rPr>
            </w:pPr>
          </w:p>
        </w:tc>
        <w:tc>
          <w:tcPr>
            <w:tcW w:w="1620" w:type="dxa"/>
            <w:vAlign w:val="bottom"/>
          </w:tcPr>
          <w:p>
            <w:pPr>
              <w:ind w:left="360"/>
              <w:spacing w:after="0"/>
              <w:rPr>
                <w:sz w:val="20"/>
                <w:szCs w:val="20"/>
                <w:color w:val="auto"/>
              </w:rPr>
            </w:pPr>
            <w:r>
              <w:rPr>
                <w:rFonts w:ascii="Courier New" w:cs="Courier New" w:eastAsia="Courier New" w:hAnsi="Courier New"/>
                <w:sz w:val="18"/>
                <w:szCs w:val="18"/>
                <w:color w:val="auto"/>
              </w:rPr>
              <w:t>Number of</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Percent</w:t>
            </w:r>
          </w:p>
        </w:tc>
        <w:tc>
          <w:tcPr>
            <w:tcW w:w="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of</w:t>
            </w:r>
          </w:p>
        </w:tc>
        <w:tc>
          <w:tcPr>
            <w:tcW w:w="14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Securities</w:t>
            </w:r>
          </w:p>
        </w:tc>
        <w:tc>
          <w:tcPr>
            <w:tcW w:w="1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Options</w:t>
            </w:r>
          </w:p>
        </w:tc>
        <w:tc>
          <w:tcPr>
            <w:tcW w:w="14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Exercise</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Underlying</w:t>
            </w:r>
          </w:p>
        </w:tc>
        <w:tc>
          <w:tcPr>
            <w:tcW w:w="18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/SARs Granted</w:t>
            </w:r>
          </w:p>
        </w:tc>
        <w:tc>
          <w:tcPr>
            <w:tcW w:w="1480" w:type="dxa"/>
            <w:vAlign w:val="bottom"/>
            <w:vMerge w:val="continue"/>
          </w:tcPr>
          <w:p>
            <w:pPr>
              <w:spacing w:after="0"/>
              <w:rPr>
                <w:sz w:val="17"/>
                <w:szCs w:val="17"/>
                <w:color w:val="auto"/>
              </w:rPr>
            </w:pPr>
          </w:p>
        </w:tc>
        <w:tc>
          <w:tcPr>
            <w:tcW w:w="1160" w:type="dxa"/>
            <w:vAlign w:val="bottom"/>
            <w:vMerge w:val="restart"/>
          </w:tcPr>
          <w:p>
            <w:pPr>
              <w:jc w:val="center"/>
              <w:ind w:left="12"/>
              <w:spacing w:after="0"/>
              <w:rPr>
                <w:sz w:val="20"/>
                <w:szCs w:val="20"/>
                <w:color w:val="auto"/>
              </w:rPr>
            </w:pPr>
            <w:r>
              <w:rPr>
                <w:rFonts w:ascii="Courier New" w:cs="Courier New" w:eastAsia="Courier New" w:hAnsi="Courier New"/>
                <w:sz w:val="18"/>
                <w:szCs w:val="18"/>
                <w:color w:val="auto"/>
                <w:w w:val="98"/>
              </w:rPr>
              <w:t>Expiration</w:t>
            </w:r>
          </w:p>
        </w:tc>
        <w:tc>
          <w:tcPr>
            <w:tcW w:w="0" w:type="dxa"/>
            <w:vAlign w:val="bottom"/>
          </w:tcPr>
          <w:p>
            <w:pPr>
              <w:spacing w:after="0"/>
              <w:rPr>
                <w:sz w:val="1"/>
                <w:szCs w:val="1"/>
                <w:color w:val="auto"/>
              </w:rPr>
            </w:pPr>
          </w:p>
        </w:tc>
      </w:tr>
      <w:tr>
        <w:trPr>
          <w:trHeight w:val="203"/>
        </w:trPr>
        <w:tc>
          <w:tcPr>
            <w:tcW w:w="228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Position</w:t>
            </w:r>
          </w:p>
        </w:tc>
        <w:tc>
          <w:tcPr>
            <w:tcW w:w="16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Options/SARs</w:t>
            </w:r>
          </w:p>
        </w:tc>
        <w:tc>
          <w:tcPr>
            <w:tcW w:w="18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to Employees</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or Base</w:t>
            </w: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vMerge w:val="continue"/>
          </w:tcPr>
          <w:p>
            <w:pPr>
              <w:spacing w:after="0"/>
              <w:rPr>
                <w:sz w:val="17"/>
                <w:szCs w:val="17"/>
                <w:color w:val="auto"/>
              </w:rPr>
            </w:pPr>
          </w:p>
        </w:tc>
        <w:tc>
          <w:tcPr>
            <w:tcW w:w="16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Granted (#)</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 Fiscal</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Year</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Price ($/Sh)</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Date</w:t>
            </w:r>
          </w:p>
        </w:tc>
        <w:tc>
          <w:tcPr>
            <w:tcW w:w="0" w:type="dxa"/>
            <w:vAlign w:val="bottom"/>
          </w:tcPr>
          <w:p>
            <w:pPr>
              <w:spacing w:after="0"/>
              <w:rPr>
                <w:sz w:val="1"/>
                <w:szCs w:val="1"/>
                <w:color w:val="auto"/>
              </w:rPr>
            </w:pPr>
          </w:p>
        </w:tc>
      </w:tr>
      <w:tr>
        <w:trPr>
          <w:trHeight w:val="296"/>
        </w:trPr>
        <w:tc>
          <w:tcPr>
            <w:tcW w:w="228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16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18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Eugene W. Kuntz, Jr.</w:t>
            </w:r>
          </w:p>
        </w:tc>
        <w:tc>
          <w:tcPr>
            <w:tcW w:w="1620" w:type="dxa"/>
            <w:vAlign w:val="bottom"/>
          </w:tcPr>
          <w:p>
            <w:pPr>
              <w:ind w:left="460"/>
              <w:spacing w:after="0"/>
              <w:rPr>
                <w:sz w:val="20"/>
                <w:szCs w:val="20"/>
                <w:color w:val="auto"/>
              </w:rPr>
            </w:pPr>
            <w:r>
              <w:rPr>
                <w:rFonts w:ascii="Courier New" w:cs="Courier New" w:eastAsia="Courier New" w:hAnsi="Courier New"/>
                <w:sz w:val="18"/>
                <w:szCs w:val="18"/>
                <w:color w:val="auto"/>
              </w:rPr>
              <w:t>30,000</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580" w:type="dxa"/>
            <w:vAlign w:val="bottom"/>
          </w:tcPr>
          <w:p>
            <w:pPr>
              <w:spacing w:after="0"/>
              <w:rPr>
                <w:sz w:val="24"/>
                <w:szCs w:val="24"/>
                <w:color w:val="auto"/>
              </w:rPr>
            </w:pPr>
          </w:p>
        </w:tc>
        <w:tc>
          <w:tcPr>
            <w:tcW w:w="14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$12.50</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12/01/2010</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both"/>
        <w:ind w:right="1779" w:firstLine="843"/>
        <w:spacing w:after="0" w:line="344" w:lineRule="auto"/>
        <w:rPr>
          <w:sz w:val="20"/>
          <w:szCs w:val="20"/>
          <w:color w:val="auto"/>
        </w:rPr>
      </w:pPr>
      <w:r>
        <w:rPr>
          <w:rFonts w:ascii="Courier New" w:cs="Courier New" w:eastAsia="Courier New" w:hAnsi="Courier New"/>
          <w:sz w:val="16"/>
          <w:szCs w:val="16"/>
          <w:color w:val="auto"/>
        </w:rPr>
        <w:t>These underlying options will vest in total ("cliff vest") at the end of six years from the date of grant. However, vesting of all or a portion of these options may be accelerated if certain targeted earnings per share goals are met.</w:t>
      </w:r>
    </w:p>
    <w:p>
      <w:pPr>
        <w:spacing w:after="0" w:line="200" w:lineRule="exact"/>
        <w:rPr>
          <w:sz w:val="20"/>
          <w:szCs w:val="20"/>
          <w:color w:val="auto"/>
        </w:rPr>
      </w:pPr>
    </w:p>
    <w:p>
      <w:pPr>
        <w:spacing w:after="0" w:line="23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89" w:right="1440" w:bottom="1440" w:gutter="0" w:footer="0" w:header="0"/>
        </w:sectPr>
      </w:pPr>
    </w:p>
    <w:bookmarkStart w:id="15" w:name="page16"/>
    <w:bookmarkEnd w:id="15"/>
    <w:p>
      <w:pPr>
        <w:ind w:left="860"/>
        <w:spacing w:after="0"/>
        <w:rPr>
          <w:sz w:val="20"/>
          <w:szCs w:val="20"/>
          <w:color w:val="auto"/>
        </w:rPr>
      </w:pPr>
      <w:r>
        <w:rPr>
          <w:rFonts w:ascii="Courier New" w:cs="Courier New" w:eastAsia="Courier New" w:hAnsi="Courier New"/>
          <w:sz w:val="18"/>
          <w:szCs w:val="18"/>
          <w:color w:val="auto"/>
        </w:rPr>
        <w:t>Aggregated Stock Option/SAR Exercises</w:t>
      </w:r>
    </w:p>
    <w:p>
      <w:pPr>
        <w:spacing w:after="0" w:line="201" w:lineRule="exact"/>
        <w:rPr>
          <w:sz w:val="20"/>
          <w:szCs w:val="20"/>
          <w:color w:val="auto"/>
        </w:rPr>
      </w:pPr>
    </w:p>
    <w:p>
      <w:pPr>
        <w:jc w:val="both"/>
        <w:ind w:right="1779" w:firstLine="843"/>
        <w:spacing w:after="0" w:line="292" w:lineRule="auto"/>
        <w:rPr>
          <w:sz w:val="20"/>
          <w:szCs w:val="20"/>
          <w:color w:val="auto"/>
        </w:rPr>
      </w:pPr>
      <w:r>
        <w:rPr>
          <w:rFonts w:ascii="Courier New" w:cs="Courier New" w:eastAsia="Courier New" w:hAnsi="Courier New"/>
          <w:sz w:val="18"/>
          <w:szCs w:val="18"/>
          <w:color w:val="auto"/>
        </w:rPr>
        <w:t>The following table sets forth the aggregated stock options and SARs exercised by the named executive officers in fiscal 2001 and the year-end value in-the-money of unexercised options and SARs:</w:t>
      </w:r>
    </w:p>
    <w:p>
      <w:pPr>
        <w:spacing w:after="0" w:line="269" w:lineRule="exact"/>
        <w:rPr>
          <w:sz w:val="20"/>
          <w:szCs w:val="20"/>
          <w:color w:val="auto"/>
        </w:rPr>
      </w:pPr>
    </w:p>
    <w:p>
      <w:pPr>
        <w:ind w:left="2320" w:right="1779" w:hanging="842"/>
        <w:spacing w:after="0" w:line="347" w:lineRule="auto"/>
        <w:rPr>
          <w:sz w:val="20"/>
          <w:szCs w:val="20"/>
          <w:color w:val="auto"/>
        </w:rPr>
      </w:pPr>
      <w:r>
        <w:rPr>
          <w:rFonts w:ascii="Courier New" w:cs="Courier New" w:eastAsia="Courier New" w:hAnsi="Courier New"/>
          <w:sz w:val="18"/>
          <w:szCs w:val="18"/>
          <w:color w:val="auto"/>
        </w:rPr>
        <w:t>AGGREGATED OPTION/SAR EXERCISES IN FISCAL YEAR ENDED JUNE 30, 2001 AND FISCAL YEAR-END OPTION/SAR VALUES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320"/>
              <w:spacing w:after="0"/>
              <w:rPr>
                <w:sz w:val="20"/>
                <w:szCs w:val="20"/>
                <w:color w:val="auto"/>
              </w:rPr>
            </w:pPr>
            <w:r>
              <w:rPr>
                <w:rFonts w:ascii="Courier New" w:cs="Courier New" w:eastAsia="Courier New" w:hAnsi="Courier New"/>
                <w:sz w:val="18"/>
                <w:szCs w:val="18"/>
                <w:color w:val="auto"/>
              </w:rPr>
              <w:t>Number of</w:t>
            </w:r>
          </w:p>
        </w:tc>
        <w:tc>
          <w:tcPr>
            <w:tcW w:w="2260" w:type="dxa"/>
            <w:vAlign w:val="bottom"/>
            <w:vMerge w:val="restart"/>
          </w:tcPr>
          <w:p>
            <w:pPr>
              <w:ind w:left="780"/>
              <w:spacing w:after="0"/>
              <w:rPr>
                <w:sz w:val="20"/>
                <w:szCs w:val="20"/>
                <w:color w:val="auto"/>
              </w:rPr>
            </w:pPr>
            <w:r>
              <w:rPr>
                <w:rFonts w:ascii="Courier New" w:cs="Courier New" w:eastAsia="Courier New" w:hAnsi="Courier New"/>
                <w:sz w:val="18"/>
                <w:szCs w:val="18"/>
                <w:color w:val="auto"/>
              </w:rPr>
              <w:t>Value of</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Securities</w:t>
            </w: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Underlying</w:t>
            </w:r>
          </w:p>
        </w:tc>
        <w:tc>
          <w:tcPr>
            <w:tcW w:w="226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Unexercised</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Unexercised</w:t>
            </w:r>
          </w:p>
        </w:tc>
        <w:tc>
          <w:tcPr>
            <w:tcW w:w="2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In-The-Money</w:t>
            </w:r>
          </w:p>
        </w:tc>
        <w:tc>
          <w:tcPr>
            <w:tcW w:w="0" w:type="dxa"/>
            <w:vAlign w:val="bottom"/>
          </w:tcPr>
          <w:p>
            <w:pPr>
              <w:spacing w:after="0"/>
              <w:rPr>
                <w:sz w:val="1"/>
                <w:szCs w:val="1"/>
                <w:color w:val="auto"/>
              </w:rPr>
            </w:pPr>
          </w:p>
        </w:tc>
      </w:tr>
      <w:tr>
        <w:trPr>
          <w:trHeight w:val="203"/>
        </w:trPr>
        <w:tc>
          <w:tcPr>
            <w:tcW w:w="2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Options/SARs</w:t>
            </w:r>
          </w:p>
        </w:tc>
        <w:tc>
          <w:tcPr>
            <w:tcW w:w="22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Options/SARs</w:t>
            </w:r>
          </w:p>
        </w:tc>
        <w:tc>
          <w:tcPr>
            <w:tcW w:w="0" w:type="dxa"/>
            <w:vAlign w:val="bottom"/>
          </w:tcPr>
          <w:p>
            <w:pPr>
              <w:spacing w:after="0"/>
              <w:rPr>
                <w:sz w:val="1"/>
                <w:szCs w:val="1"/>
                <w:color w:val="auto"/>
              </w:rPr>
            </w:pPr>
          </w:p>
        </w:tc>
      </w:tr>
      <w:tr>
        <w:trPr>
          <w:trHeight w:val="296"/>
        </w:trPr>
        <w:tc>
          <w:tcPr>
            <w:tcW w:w="2160" w:type="dxa"/>
            <w:vAlign w:val="bottom"/>
          </w:tcPr>
          <w:p>
            <w:pPr>
              <w:spacing w:after="0"/>
              <w:rPr>
                <w:sz w:val="24"/>
                <w:szCs w:val="24"/>
                <w:color w:val="auto"/>
              </w:rPr>
            </w:pPr>
          </w:p>
        </w:tc>
        <w:tc>
          <w:tcPr>
            <w:tcW w:w="1700" w:type="dxa"/>
            <w:vAlign w:val="bottom"/>
            <w:vMerge w:val="restart"/>
          </w:tcPr>
          <w:p>
            <w:pPr>
              <w:jc w:val="right"/>
              <w:ind w:right="492"/>
              <w:spacing w:after="0"/>
              <w:rPr>
                <w:sz w:val="20"/>
                <w:szCs w:val="20"/>
                <w:color w:val="auto"/>
              </w:rPr>
            </w:pPr>
            <w:r>
              <w:rPr>
                <w:rFonts w:ascii="Courier New" w:cs="Courier New" w:eastAsia="Courier New" w:hAnsi="Courier New"/>
                <w:sz w:val="18"/>
                <w:szCs w:val="18"/>
                <w:color w:val="auto"/>
              </w:rPr>
              <w:t>Shares</w:t>
            </w:r>
          </w:p>
        </w:tc>
        <w:tc>
          <w:tcPr>
            <w:tcW w:w="1300" w:type="dxa"/>
            <w:vAlign w:val="bottom"/>
          </w:tcPr>
          <w:p>
            <w:pPr>
              <w:spacing w:after="0"/>
              <w:rPr>
                <w:sz w:val="24"/>
                <w:szCs w:val="24"/>
                <w:color w:val="auto"/>
              </w:rPr>
            </w:pPr>
          </w:p>
        </w:tc>
        <w:tc>
          <w:tcPr>
            <w:tcW w:w="1860" w:type="dxa"/>
            <w:vAlign w:val="bottom"/>
          </w:tcPr>
          <w:p>
            <w:pPr>
              <w:ind w:left="120"/>
              <w:spacing w:after="0"/>
              <w:rPr>
                <w:sz w:val="20"/>
                <w:szCs w:val="20"/>
                <w:color w:val="auto"/>
              </w:rPr>
            </w:pPr>
            <w:r>
              <w:rPr>
                <w:rFonts w:ascii="Courier New" w:cs="Courier New" w:eastAsia="Courier New" w:hAnsi="Courier New"/>
                <w:sz w:val="18"/>
                <w:szCs w:val="18"/>
                <w:color w:val="auto"/>
              </w:rPr>
              <w:t>at FY-End (#)</w:t>
            </w:r>
          </w:p>
        </w:tc>
        <w:tc>
          <w:tcPr>
            <w:tcW w:w="2260" w:type="dxa"/>
            <w:vAlign w:val="bottom"/>
          </w:tcPr>
          <w:p>
            <w:pPr>
              <w:ind w:left="580"/>
              <w:spacing w:after="0"/>
              <w:rPr>
                <w:sz w:val="20"/>
                <w:szCs w:val="20"/>
                <w:color w:val="auto"/>
              </w:rPr>
            </w:pPr>
            <w:r>
              <w:rPr>
                <w:rFonts w:ascii="Courier New" w:cs="Courier New" w:eastAsia="Courier New" w:hAnsi="Courier New"/>
                <w:sz w:val="18"/>
                <w:szCs w:val="18"/>
                <w:color w:val="auto"/>
              </w:rPr>
              <w:t>at FY-End ($)</w:t>
            </w:r>
          </w:p>
        </w:tc>
        <w:tc>
          <w:tcPr>
            <w:tcW w:w="0" w:type="dxa"/>
            <w:vAlign w:val="bottom"/>
          </w:tcPr>
          <w:p>
            <w:pPr>
              <w:spacing w:after="0"/>
              <w:rPr>
                <w:sz w:val="1"/>
                <w:szCs w:val="1"/>
                <w:color w:val="auto"/>
              </w:rPr>
            </w:pPr>
          </w:p>
        </w:tc>
      </w:tr>
      <w:tr>
        <w:trPr>
          <w:trHeight w:val="109"/>
        </w:trPr>
        <w:tc>
          <w:tcPr>
            <w:tcW w:w="2160" w:type="dxa"/>
            <w:vAlign w:val="bottom"/>
          </w:tcPr>
          <w:p>
            <w:pPr>
              <w:spacing w:after="0"/>
              <w:rPr>
                <w:sz w:val="9"/>
                <w:szCs w:val="9"/>
                <w:color w:val="auto"/>
              </w:rPr>
            </w:pPr>
          </w:p>
        </w:tc>
        <w:tc>
          <w:tcPr>
            <w:tcW w:w="1700" w:type="dxa"/>
            <w:vAlign w:val="bottom"/>
            <w:vMerge w:val="continue"/>
          </w:tcPr>
          <w:p>
            <w:pPr>
              <w:spacing w:after="0"/>
              <w:rPr>
                <w:sz w:val="9"/>
                <w:szCs w:val="9"/>
                <w:color w:val="auto"/>
              </w:rPr>
            </w:pPr>
          </w:p>
        </w:tc>
        <w:tc>
          <w:tcPr>
            <w:tcW w:w="1300" w:type="dxa"/>
            <w:vAlign w:val="bottom"/>
            <w:vMerge w:val="restart"/>
          </w:tcPr>
          <w:p>
            <w:pPr>
              <w:jc w:val="right"/>
              <w:ind w:right="212"/>
              <w:spacing w:after="0"/>
              <w:rPr>
                <w:sz w:val="20"/>
                <w:szCs w:val="20"/>
                <w:color w:val="auto"/>
              </w:rPr>
            </w:pPr>
            <w:r>
              <w:rPr>
                <w:rFonts w:ascii="Courier New" w:cs="Courier New" w:eastAsia="Courier New" w:hAnsi="Courier New"/>
                <w:sz w:val="18"/>
                <w:szCs w:val="18"/>
                <w:color w:val="auto"/>
              </w:rPr>
              <w:t>Value</w:t>
            </w:r>
          </w:p>
        </w:tc>
        <w:tc>
          <w:tcPr>
            <w:tcW w:w="1860" w:type="dxa"/>
            <w:vAlign w:val="bottom"/>
            <w:vMerge w:val="restart"/>
          </w:tcPr>
          <w:p>
            <w:pPr>
              <w:ind w:left="120"/>
              <w:spacing w:after="0"/>
              <w:rPr>
                <w:sz w:val="20"/>
                <w:szCs w:val="20"/>
                <w:color w:val="auto"/>
              </w:rPr>
            </w:pPr>
            <w:r>
              <w:rPr>
                <w:rFonts w:ascii="Courier New" w:cs="Courier New" w:eastAsia="Courier New" w:hAnsi="Courier New"/>
                <w:sz w:val="18"/>
                <w:szCs w:val="18"/>
                <w:color w:val="auto"/>
              </w:rPr>
              <w:t>Exercisable/</w:t>
            </w:r>
          </w:p>
        </w:tc>
        <w:tc>
          <w:tcPr>
            <w:tcW w:w="226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Exercisable/</w:t>
            </w:r>
          </w:p>
        </w:tc>
        <w:tc>
          <w:tcPr>
            <w:tcW w:w="0" w:type="dxa"/>
            <w:vAlign w:val="bottom"/>
          </w:tcPr>
          <w:p>
            <w:pPr>
              <w:spacing w:after="0"/>
              <w:rPr>
                <w:sz w:val="1"/>
                <w:szCs w:val="1"/>
                <w:color w:val="auto"/>
              </w:rPr>
            </w:pPr>
          </w:p>
        </w:tc>
      </w:tr>
      <w:tr>
        <w:trPr>
          <w:trHeight w:val="203"/>
        </w:trPr>
        <w:tc>
          <w:tcPr>
            <w:tcW w:w="2160" w:type="dxa"/>
            <w:vAlign w:val="bottom"/>
            <w:vMerge w:val="restart"/>
          </w:tcPr>
          <w:p>
            <w:pPr>
              <w:spacing w:after="0"/>
              <w:rPr>
                <w:sz w:val="20"/>
                <w:szCs w:val="20"/>
                <w:color w:val="auto"/>
              </w:rPr>
            </w:pPr>
            <w:r>
              <w:rPr>
                <w:rFonts w:ascii="Courier New" w:cs="Courier New" w:eastAsia="Courier New" w:hAnsi="Courier New"/>
                <w:sz w:val="18"/>
                <w:szCs w:val="18"/>
                <w:color w:val="auto"/>
              </w:rPr>
              <w:t>Name and Position</w:t>
            </w:r>
          </w:p>
        </w:tc>
        <w:tc>
          <w:tcPr>
            <w:tcW w:w="17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Acquired</w:t>
            </w:r>
          </w:p>
        </w:tc>
        <w:tc>
          <w:tcPr>
            <w:tcW w:w="130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2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vMerge w:val="continue"/>
          </w:tcPr>
          <w:p>
            <w:pPr>
              <w:spacing w:after="0"/>
              <w:rPr>
                <w:sz w:val="17"/>
                <w:szCs w:val="17"/>
                <w:color w:val="auto"/>
              </w:rPr>
            </w:pP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on Exercise (#) Realized ($)</w:t>
            </w:r>
          </w:p>
        </w:tc>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Unexercisable</w:t>
            </w:r>
          </w:p>
        </w:tc>
        <w:tc>
          <w:tcPr>
            <w:tcW w:w="2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Unexercisable(1)</w:t>
            </w:r>
          </w:p>
        </w:tc>
        <w:tc>
          <w:tcPr>
            <w:tcW w:w="0" w:type="dxa"/>
            <w:vAlign w:val="bottom"/>
          </w:tcPr>
          <w:p>
            <w:pPr>
              <w:spacing w:after="0"/>
              <w:rPr>
                <w:sz w:val="1"/>
                <w:szCs w:val="1"/>
                <w:color w:val="auto"/>
              </w:rPr>
            </w:pPr>
          </w:p>
        </w:tc>
      </w:tr>
      <w:tr>
        <w:trPr>
          <w:trHeight w:val="296"/>
        </w:trPr>
        <w:tc>
          <w:tcPr>
            <w:tcW w:w="2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 ------------</w:t>
            </w:r>
          </w:p>
        </w:tc>
        <w:tc>
          <w:tcPr>
            <w:tcW w:w="18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c>
          <w:tcPr>
            <w:tcW w:w="2260" w:type="dxa"/>
            <w:vAlign w:val="bottom"/>
          </w:tcPr>
          <w:p>
            <w:pPr>
              <w:ind w:left="4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2160" w:type="dxa"/>
            <w:vAlign w:val="bottom"/>
          </w:tcPr>
          <w:p>
            <w:pPr>
              <w:spacing w:after="0"/>
              <w:rPr>
                <w:sz w:val="20"/>
                <w:szCs w:val="20"/>
                <w:color w:val="auto"/>
              </w:rPr>
            </w:pPr>
            <w:r>
              <w:rPr>
                <w:rFonts w:ascii="Courier New" w:cs="Courier New" w:eastAsia="Courier New" w:hAnsi="Courier New"/>
                <w:sz w:val="18"/>
                <w:szCs w:val="18"/>
                <w:color w:val="auto"/>
              </w:rPr>
              <w:t>Frances M. Flood</w:t>
            </w:r>
          </w:p>
        </w:tc>
        <w:tc>
          <w:tcPr>
            <w:tcW w:w="17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1860" w:type="dxa"/>
            <w:vAlign w:val="bottom"/>
          </w:tcPr>
          <w:p>
            <w:pPr>
              <w:spacing w:after="0"/>
              <w:rPr>
                <w:sz w:val="20"/>
                <w:szCs w:val="20"/>
                <w:color w:val="auto"/>
              </w:rPr>
            </w:pPr>
            <w:r>
              <w:rPr>
                <w:rFonts w:ascii="Courier New" w:cs="Courier New" w:eastAsia="Courier New" w:hAnsi="Courier New"/>
                <w:sz w:val="18"/>
                <w:szCs w:val="18"/>
                <w:color w:val="auto"/>
              </w:rPr>
              <w:t>176,334/146,000</w:t>
            </w:r>
          </w:p>
        </w:tc>
        <w:tc>
          <w:tcPr>
            <w:tcW w:w="226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7"/>
              </w:rPr>
              <w:t>$1,655,344/$828,750</w:t>
            </w: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Tracy Bathurst</w:t>
            </w:r>
          </w:p>
        </w:tc>
        <w:tc>
          <w:tcPr>
            <w:tcW w:w="17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18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19,750/80,250</w:t>
            </w:r>
          </w:p>
        </w:tc>
        <w:tc>
          <w:tcPr>
            <w:tcW w:w="226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$174,140/$182,085</w:t>
            </w: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Curtis Hewitson</w:t>
            </w:r>
          </w:p>
        </w:tc>
        <w:tc>
          <w:tcPr>
            <w:tcW w:w="17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18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35,750/99,250</w:t>
            </w:r>
          </w:p>
        </w:tc>
        <w:tc>
          <w:tcPr>
            <w:tcW w:w="226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$294,619/$399,069</w:t>
            </w: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Eugene W. Kuntz, Jr.</w:t>
            </w:r>
          </w:p>
        </w:tc>
        <w:tc>
          <w:tcPr>
            <w:tcW w:w="17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1860" w:type="dxa"/>
            <w:vAlign w:val="bottom"/>
          </w:tcPr>
          <w:p>
            <w:pPr>
              <w:ind w:left="120"/>
              <w:spacing w:after="0"/>
              <w:rPr>
                <w:sz w:val="20"/>
                <w:szCs w:val="20"/>
                <w:color w:val="auto"/>
              </w:rPr>
            </w:pPr>
            <w:r>
              <w:rPr>
                <w:rFonts w:ascii="Courier New" w:cs="Courier New" w:eastAsia="Courier New" w:hAnsi="Courier New"/>
                <w:sz w:val="18"/>
                <w:szCs w:val="18"/>
                <w:color w:val="auto"/>
              </w:rPr>
              <w:t>2,500/57,500</w:t>
            </w:r>
          </w:p>
        </w:tc>
        <w:tc>
          <w:tcPr>
            <w:tcW w:w="226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6"/>
              </w:rPr>
              <w:t>$0/$0</w:t>
            </w:r>
          </w:p>
        </w:tc>
        <w:tc>
          <w:tcPr>
            <w:tcW w:w="0" w:type="dxa"/>
            <w:vAlign w:val="bottom"/>
          </w:tcPr>
          <w:p>
            <w:pPr>
              <w:spacing w:after="0"/>
              <w:rPr>
                <w:sz w:val="1"/>
                <w:szCs w:val="1"/>
                <w:color w:val="auto"/>
              </w:rPr>
            </w:pP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Susie Strohm</w:t>
            </w:r>
          </w:p>
        </w:tc>
        <w:tc>
          <w:tcPr>
            <w:tcW w:w="170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186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6"/>
              </w:rPr>
              <w:t>99,464/119,000</w:t>
            </w:r>
          </w:p>
        </w:tc>
        <w:tc>
          <w:tcPr>
            <w:tcW w:w="2260" w:type="dxa"/>
            <w:vAlign w:val="bottom"/>
          </w:tcPr>
          <w:p>
            <w:pPr>
              <w:jc w:val="center"/>
              <w:ind w:left="172"/>
              <w:spacing w:after="0"/>
              <w:rPr>
                <w:sz w:val="20"/>
                <w:szCs w:val="20"/>
                <w:color w:val="auto"/>
              </w:rPr>
            </w:pPr>
            <w:r>
              <w:rPr>
                <w:rFonts w:ascii="Courier New" w:cs="Courier New" w:eastAsia="Courier New" w:hAnsi="Courier New"/>
                <w:sz w:val="18"/>
                <w:szCs w:val="18"/>
                <w:color w:val="auto"/>
                <w:w w:val="98"/>
              </w:rPr>
              <w:t>$902,607/$564,724</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tabs>
          <w:tab w:leader="none" w:pos="1880" w:val="left"/>
          <w:tab w:leader="none" w:pos="3140" w:val="left"/>
        </w:tabs>
        <w:rPr>
          <w:sz w:val="20"/>
          <w:szCs w:val="20"/>
          <w:color w:val="auto"/>
        </w:rPr>
      </w:pPr>
      <w:r>
        <w:rPr>
          <w:rFonts w:ascii="Courier New" w:cs="Courier New" w:eastAsia="Courier New" w:hAnsi="Courier New"/>
          <w:sz w:val="18"/>
          <w:szCs w:val="18"/>
          <w:color w:val="auto"/>
        </w:rPr>
        <w:t>1 This value was</w:t>
        <w:tab/>
        <w:t>calculated</w:t>
      </w:r>
      <w:r>
        <w:rPr>
          <w:sz w:val="20"/>
          <w:szCs w:val="20"/>
          <w:color w:val="auto"/>
        </w:rPr>
        <w:tab/>
      </w:r>
      <w:r>
        <w:rPr>
          <w:rFonts w:ascii="Courier New" w:cs="Courier New" w:eastAsia="Courier New" w:hAnsi="Courier New"/>
          <w:sz w:val="16"/>
          <w:szCs w:val="16"/>
          <w:color w:val="auto"/>
        </w:rPr>
        <w:t>based on the closing stock price of $10.60 on June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30, 2001.</w:t>
      </w:r>
    </w:p>
    <w:p>
      <w:pPr>
        <w:spacing w:after="0" w:line="169"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COMPENSATION COMMITTEE REPORT</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Compensation Committee has provided the following report:</w:t>
      </w:r>
    </w:p>
    <w:p>
      <w:pPr>
        <w:spacing w:after="0" w:line="201"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Committee's Responsibilities - The Committee sets the overall compensation principles for the Company, subject to annual review. In consultation with the CEO, it establishes the individual compensation levels for Company executives. None of the members of the committee is a current or former employee of the Company.</w:t>
      </w:r>
    </w:p>
    <w:p>
      <w:pPr>
        <w:spacing w:after="0" w:line="90" w:lineRule="exact"/>
        <w:rPr>
          <w:sz w:val="20"/>
          <w:szCs w:val="20"/>
          <w:color w:val="auto"/>
        </w:rPr>
      </w:pPr>
    </w:p>
    <w:p>
      <w:pPr>
        <w:jc w:val="both"/>
        <w:ind w:right="1779" w:firstLine="421"/>
        <w:spacing w:after="0" w:line="347" w:lineRule="auto"/>
        <w:rPr>
          <w:sz w:val="20"/>
          <w:szCs w:val="20"/>
          <w:color w:val="auto"/>
        </w:rPr>
      </w:pPr>
      <w:r>
        <w:rPr>
          <w:rFonts w:ascii="Courier New" w:cs="Courier New" w:eastAsia="Courier New" w:hAnsi="Courier New"/>
          <w:sz w:val="18"/>
          <w:szCs w:val="18"/>
          <w:color w:val="auto"/>
        </w:rPr>
        <w:t>Executive Compensation Policy - Gentner Communications Corporation's compensation goals are as follows:</w:t>
      </w:r>
    </w:p>
    <w:p>
      <w:pPr>
        <w:spacing w:after="0" w:line="18" w:lineRule="exact"/>
        <w:rPr>
          <w:sz w:val="20"/>
          <w:szCs w:val="20"/>
          <w:color w:val="auto"/>
        </w:rPr>
      </w:pPr>
    </w:p>
    <w:p>
      <w:pPr>
        <w:ind w:left="4120" w:right="5579" w:hanging="4112"/>
        <w:spacing w:after="0" w:line="732" w:lineRule="auto"/>
        <w:tabs>
          <w:tab w:leader="none" w:pos="85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attract and retain quality talent 16</w:t>
      </w:r>
    </w:p>
    <w:p>
      <w:pPr>
        <w:sectPr>
          <w:pgSz w:w="11900" w:h="16838" w:orient="portrait"/>
          <w:cols w:equalWidth="0" w:num="1">
            <w:col w:w="10219"/>
          </w:cols>
          <w:pgMar w:left="240" w:top="691" w:right="1440" w:bottom="1440" w:gutter="0" w:footer="0" w:header="0"/>
        </w:sectPr>
      </w:pPr>
    </w:p>
    <w:bookmarkStart w:id="16" w:name="page17"/>
    <w:bookmarkEnd w:id="16"/>
    <w:p>
      <w:pPr>
        <w:ind w:left="860" w:right="1779" w:hanging="852"/>
        <w:spacing w:after="0" w:line="257"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use incentive compensation to reinforce strategic performance objectives</w:t>
      </w:r>
    </w:p>
    <w:p>
      <w:pPr>
        <w:jc w:val="both"/>
        <w:ind w:left="860" w:right="1779" w:hanging="852"/>
        <w:spacing w:after="0" w:line="273"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align the interest of the executives with the interests of the shareholders such that risks and rewards of strategic decisions are shared</w:t>
      </w:r>
    </w:p>
    <w:p>
      <w:pPr>
        <w:spacing w:after="0" w:line="82" w:lineRule="exact"/>
        <w:rPr>
          <w:sz w:val="20"/>
          <w:szCs w:val="20"/>
          <w:color w:val="auto"/>
        </w:rPr>
      </w:pPr>
    </w:p>
    <w:p>
      <w:pPr>
        <w:jc w:val="both"/>
        <w:ind w:right="1779" w:firstLine="843"/>
        <w:spacing w:after="0" w:line="347" w:lineRule="auto"/>
        <w:rPr>
          <w:sz w:val="20"/>
          <w:szCs w:val="20"/>
          <w:color w:val="auto"/>
        </w:rPr>
      </w:pPr>
      <w:r>
        <w:rPr>
          <w:rFonts w:ascii="Courier New" w:cs="Courier New" w:eastAsia="Courier New" w:hAnsi="Courier New"/>
          <w:sz w:val="18"/>
          <w:szCs w:val="18"/>
          <w:color w:val="auto"/>
        </w:rPr>
        <w:t>All compensation is tax deductible for the Company, except for the compensation that qualifies for incentive stock option tax treatment.</w:t>
      </w:r>
    </w:p>
    <w:p>
      <w:pPr>
        <w:spacing w:after="0" w:line="18"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Base Compensation - The Committee believes that base compensation needs to be competitive with market rates, and makes salary decisions in coordination with the CEO. The fiscal 2001 base pay rates of the four executive officers increased 5.5% from fiscal 2000 base pay rates. The CEO's base pay did not change from fiscal 2000 to fiscal 2001.</w:t>
      </w:r>
    </w:p>
    <w:p>
      <w:pPr>
        <w:spacing w:after="0" w:line="90" w:lineRule="exact"/>
        <w:rPr>
          <w:sz w:val="20"/>
          <w:szCs w:val="20"/>
          <w:color w:val="auto"/>
        </w:rPr>
      </w:pPr>
    </w:p>
    <w:p>
      <w:pPr>
        <w:jc w:val="both"/>
        <w:ind w:right="1779" w:firstLine="843"/>
        <w:spacing w:after="0" w:line="272" w:lineRule="auto"/>
        <w:rPr>
          <w:sz w:val="20"/>
          <w:szCs w:val="20"/>
          <w:color w:val="auto"/>
        </w:rPr>
      </w:pPr>
      <w:r>
        <w:rPr>
          <w:rFonts w:ascii="Courier New" w:cs="Courier New" w:eastAsia="Courier New" w:hAnsi="Courier New"/>
          <w:sz w:val="16"/>
          <w:szCs w:val="16"/>
          <w:color w:val="auto"/>
        </w:rPr>
        <w:t>Quarterly/Annual Bonus Plan - The fiscal year 2001 annual bonus plan was developed to reward executives based on meeting or exceeding certain internal financial objectives that were created by the executive team. The Committee believed in fiscal 2001 that executive base pay was compensation for achieving publicly stated targets. The financial objectives were established in the beginning of the fiscal year and were based on the Company's profitability. Objectives were established for each fiscal quarter, together with an annual objective. If a quarterly objective was met, a bonus was paid for that quarter. If a quarterly objective was not met, then no bonus was paid. Executives were not allowed to make up a missed quarterly bonus based on subsequent performance.</w:t>
      </w:r>
    </w:p>
    <w:p>
      <w:pPr>
        <w:spacing w:after="0" w:line="4" w:lineRule="exact"/>
        <w:rPr>
          <w:sz w:val="20"/>
          <w:szCs w:val="20"/>
          <w:color w:val="auto"/>
        </w:rPr>
      </w:pPr>
    </w:p>
    <w:p>
      <w:pPr>
        <w:jc w:val="both"/>
        <w:ind w:right="1779" w:firstLine="8"/>
        <w:spacing w:after="0" w:line="262"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portion of the bonus pool was set aside for annual financial objectives. A single quarterly objective was made and a bonus paid for that quarter. The annual internal financial objective was not met, and no annual bonus was paid to any executive, including the CEO.</w:t>
      </w:r>
    </w:p>
    <w:p>
      <w:pPr>
        <w:spacing w:after="0" w:line="90" w:lineRule="exact"/>
        <w:rPr>
          <w:sz w:val="20"/>
          <w:szCs w:val="20"/>
          <w:color w:val="auto"/>
        </w:rPr>
      </w:pPr>
    </w:p>
    <w:p>
      <w:pPr>
        <w:jc w:val="both"/>
        <w:ind w:right="1779" w:firstLine="843"/>
        <w:spacing w:after="0" w:line="253" w:lineRule="auto"/>
        <w:rPr>
          <w:sz w:val="20"/>
          <w:szCs w:val="20"/>
          <w:color w:val="auto"/>
        </w:rPr>
      </w:pPr>
      <w:r>
        <w:rPr>
          <w:rFonts w:ascii="Courier New" w:cs="Courier New" w:eastAsia="Courier New" w:hAnsi="Courier New"/>
          <w:sz w:val="18"/>
          <w:szCs w:val="18"/>
          <w:color w:val="auto"/>
        </w:rPr>
        <w:t>Long-Term Incentive Compensation - The Compensation Committee uses employee stock options for long-term executive compensation as a means of achieving the compensation goals previously described. Options are granted under the Company's 1998 Stock Option Plan (the "Plan"). The Compensation Committee, in consultation with the CEO determines the number of options granted to each executive. Factors bearing on the number of options granted to an executive include his or her position, individual performance, and contribution to the Company's overall performance.</w:t>
      </w:r>
    </w:p>
    <w:p>
      <w:pPr>
        <w:spacing w:after="0" w:line="104" w:lineRule="exact"/>
        <w:rPr>
          <w:sz w:val="20"/>
          <w:szCs w:val="20"/>
          <w:color w:val="auto"/>
        </w:rPr>
      </w:pPr>
    </w:p>
    <w:p>
      <w:pPr>
        <w:jc w:val="both"/>
        <w:ind w:right="1779" w:firstLine="843"/>
        <w:spacing w:after="0" w:line="256" w:lineRule="auto"/>
        <w:rPr>
          <w:sz w:val="20"/>
          <w:szCs w:val="20"/>
          <w:color w:val="auto"/>
        </w:rPr>
      </w:pPr>
      <w:r>
        <w:rPr>
          <w:rFonts w:ascii="Courier New" w:cs="Courier New" w:eastAsia="Courier New" w:hAnsi="Courier New"/>
          <w:sz w:val="18"/>
          <w:szCs w:val="18"/>
          <w:color w:val="auto"/>
        </w:rPr>
        <w:t>Option grants under the Plan permit a recipient to purchase shares of Company stock at a fixed price (the market price on the date the option is granted). Options typically vest over five (5) years, and the number of shares vesting in a given year is contingent on the Company achieving particular earnings goals in each year. An executive's unvested options will cliff vest six years after grant. In order to exercise vested options an executive must remain with the Company (including a 90 day period following termination).</w:t>
      </w:r>
    </w:p>
    <w:p>
      <w:pPr>
        <w:spacing w:after="0" w:line="98"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Employment and Severance Agreements - The Company has not entered into Employment Agreements with any of its executives. All officers of the Company are employed at will and can be terminated without cause. All employees of the Company have signed Confidentiality Agreements to keep certain information confidential.</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691" w:right="1440" w:bottom="1440" w:gutter="0" w:footer="0" w:header="0"/>
        </w:sectPr>
      </w:pPr>
    </w:p>
    <w:bookmarkStart w:id="17" w:name="page18"/>
    <w:bookmarkEnd w:id="17"/>
    <w:p>
      <w:pPr>
        <w:jc w:val="both"/>
        <w:ind w:right="1779" w:firstLine="843"/>
        <w:spacing w:after="0" w:line="274" w:lineRule="auto"/>
        <w:rPr>
          <w:sz w:val="20"/>
          <w:szCs w:val="20"/>
          <w:color w:val="auto"/>
        </w:rPr>
      </w:pPr>
      <w:r>
        <w:rPr>
          <w:rFonts w:ascii="Courier New" w:cs="Courier New" w:eastAsia="Courier New" w:hAnsi="Courier New"/>
          <w:sz w:val="18"/>
          <w:szCs w:val="18"/>
          <w:color w:val="auto"/>
        </w:rPr>
        <w:t>The preceding Compensation Committee Report and the Company Stock Performance Graph (set forth below) will not be incorporated by reference into any of the Company's filings, past or future, that may be made pursuant to the U.S. Securities laws.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Respectfully submitted by the members of the Compensation Committee.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Dallin Bagley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Brad Baldwin</w:t>
      </w:r>
    </w:p>
    <w:p>
      <w:pPr>
        <w:spacing w:after="0" w:line="238" w:lineRule="auto"/>
        <w:rPr>
          <w:sz w:val="20"/>
          <w:szCs w:val="20"/>
          <w:color w:val="auto"/>
        </w:rPr>
      </w:pPr>
      <w:r>
        <w:rPr>
          <w:rFonts w:ascii="Courier New" w:cs="Courier New" w:eastAsia="Courier New" w:hAnsi="Courier New"/>
          <w:sz w:val="18"/>
          <w:szCs w:val="18"/>
          <w:color w:val="auto"/>
        </w:rPr>
        <w:t>Harry Spielberg</w:t>
      </w:r>
    </w:p>
    <w:p>
      <w:pPr>
        <w:spacing w:after="0"/>
        <w:rPr>
          <w:sz w:val="20"/>
          <w:szCs w:val="20"/>
          <w:color w:val="auto"/>
        </w:rPr>
      </w:pPr>
      <w:r>
        <w:rPr>
          <w:rFonts w:ascii="Courier New" w:cs="Courier New" w:eastAsia="Courier New" w:hAnsi="Courier New"/>
          <w:sz w:val="18"/>
          <w:szCs w:val="18"/>
          <w:color w:val="auto"/>
        </w:rPr>
        <w:t>David Wiener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Committee Interlocks</w:t>
      </w:r>
    </w:p>
    <w:p>
      <w:pPr>
        <w:spacing w:after="0" w:line="201" w:lineRule="exact"/>
        <w:rPr>
          <w:sz w:val="20"/>
          <w:szCs w:val="20"/>
          <w:color w:val="auto"/>
        </w:rPr>
      </w:pPr>
    </w:p>
    <w:p>
      <w:pPr>
        <w:jc w:val="both"/>
        <w:ind w:right="1779" w:firstLine="843"/>
        <w:spacing w:after="0" w:line="318" w:lineRule="auto"/>
        <w:rPr>
          <w:sz w:val="20"/>
          <w:szCs w:val="20"/>
          <w:color w:val="auto"/>
        </w:rPr>
      </w:pPr>
      <w:r>
        <w:rPr>
          <w:rFonts w:ascii="Courier New" w:cs="Courier New" w:eastAsia="Courier New" w:hAnsi="Courier New"/>
          <w:sz w:val="16"/>
          <w:szCs w:val="16"/>
          <w:color w:val="auto"/>
        </w:rPr>
        <w:t>The Compensation Committee is made up of all external board members. During fiscal 2001 Randy Wichinski was an external board member. On August 23, 2001, he joined the Company as its Vice President and Chief Financial Officer, so as of the date of this report, he is no longer on the Compensation Committee.</w:t>
      </w:r>
    </w:p>
    <w:p>
      <w:pPr>
        <w:spacing w:after="0" w:line="52"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The Company's Compensation Committee is currently comprised of Messrs. Bagley, Baldwin, Spielberg, and Wiener. Frances Flood is a member of the board of directors of Sound Tube Entertainment, Inc. Mr. Wiener is a member of the board of directors of Sound Tube entertainment and the Company's Compensation Committee.</w:t>
      </w:r>
    </w:p>
    <w:p>
      <w:pPr>
        <w:spacing w:after="0" w:line="9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STOCK PERFORMANCE GRAPH</w:t>
      </w:r>
    </w:p>
    <w:p>
      <w:pPr>
        <w:spacing w:after="0" w:line="201"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The following graph sets forth the cumulative total shareholder return (assuming reinvestment of dividends) to Gentner Communications Corporation's shareholders during the five-year period ended June 30, 2001, as well as an overall stock market index (Nasdaq Composite Index) and Gentner Communications Corporation's peer group index (Goldman Sachs Technology Index):</w:t>
      </w:r>
    </w:p>
    <w:p>
      <w:pPr>
        <w:spacing w:after="0" w:line="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[graph omitted]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893" w:right="1440" w:bottom="1440" w:gutter="0" w:footer="0" w:header="0"/>
        </w:sectPr>
      </w:pPr>
    </w:p>
    <w:bookmarkStart w:id="18" w:name="page19"/>
    <w:bookmarkEnd w:id="18"/>
    <w:p>
      <w:pPr>
        <w:jc w:val="center"/>
        <w:ind w:right="1779"/>
        <w:spacing w:after="0"/>
        <w:rPr>
          <w:sz w:val="20"/>
          <w:szCs w:val="20"/>
          <w:color w:val="auto"/>
        </w:rPr>
      </w:pPr>
      <w:r>
        <w:rPr>
          <w:rFonts w:ascii="Courier New" w:cs="Courier New" w:eastAsia="Courier New" w:hAnsi="Courier New"/>
          <w:sz w:val="18"/>
          <w:szCs w:val="18"/>
          <w:color w:val="auto"/>
        </w:rPr>
        <w:t>The stock performance assumes $100 was invested on July 1, 1996.</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1" w:lineRule="exact"/>
        <w:rPr>
          <w:sz w:val="20"/>
          <w:szCs w:val="20"/>
          <w:color w:val="auto"/>
        </w:rPr>
      </w:pPr>
    </w:p>
    <w:p>
      <w:pPr>
        <w:jc w:val="both"/>
        <w:ind w:right="1779" w:firstLine="843"/>
        <w:spacing w:after="0" w:line="281" w:lineRule="auto"/>
        <w:rPr>
          <w:sz w:val="20"/>
          <w:szCs w:val="20"/>
          <w:color w:val="auto"/>
        </w:rPr>
      </w:pPr>
      <w:r>
        <w:rPr>
          <w:rFonts w:ascii="Courier New" w:cs="Courier New" w:eastAsia="Courier New" w:hAnsi="Courier New"/>
          <w:sz w:val="16"/>
          <w:szCs w:val="16"/>
          <w:color w:val="auto"/>
        </w:rPr>
        <w:t>Gentner Research Ltd. ("GRL"), is a related limited partnership, formed on August 1985, in which the Company is the general partner and Edward Dallin Bagley and, among other unrelated parties, certain members of his family, are the limited partners. In 1987 and 1988, GRL sold to the Company proprietary interests in the VRC-1000 (now VRC-2000), VRC-1000 Modem (now VRC-2000) and Digital Hybrid in exchange for royalty payments. Royalty expense recognized by the Company for the years ending June 30, 2001, 2000, and 1999 was $3,600, $16,000 and $39,900, respectively. GRL was dissolved on February 20, 2001 after consent to dissolution and liquidation was received by a majority of the partners of GRL. The product line, which incorporated the proprietary interest, was deemed no longer integral to the product segment of the Company's business. The following directors and/or executive officers and members of their immediate families have purchased the following interests in GRL:</w:t>
      </w:r>
    </w:p>
    <w:p>
      <w:pPr>
        <w:spacing w:after="0" w:line="288"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Edward</w:t>
            </w:r>
          </w:p>
        </w:tc>
        <w:tc>
          <w:tcPr>
            <w:tcW w:w="46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Dallin Bagley (Director)...................</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10.42%</w:t>
            </w:r>
          </w:p>
        </w:tc>
      </w:tr>
      <w:tr>
        <w:trPr>
          <w:trHeight w:val="203"/>
        </w:trPr>
        <w:tc>
          <w:tcPr>
            <w:tcW w:w="53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The Bagley Family Revocable Trust.................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w:t>
            </w:r>
          </w:p>
        </w:tc>
      </w:tr>
      <w:tr>
        <w:trPr>
          <w:trHeight w:val="296"/>
        </w:trPr>
        <w:tc>
          <w:tcPr>
            <w:tcW w:w="700" w:type="dxa"/>
            <w:vAlign w:val="bottom"/>
          </w:tcPr>
          <w:p>
            <w:pPr>
              <w:spacing w:after="0"/>
              <w:rPr>
                <w:sz w:val="20"/>
                <w:szCs w:val="20"/>
                <w:color w:val="auto"/>
              </w:rPr>
            </w:pPr>
            <w:r>
              <w:rPr>
                <w:rFonts w:ascii="Courier New" w:cs="Courier New" w:eastAsia="Courier New" w:hAnsi="Courier New"/>
                <w:sz w:val="18"/>
                <w:szCs w:val="18"/>
                <w:color w:val="auto"/>
              </w:rPr>
              <w:t>Robert</w:t>
            </w:r>
          </w:p>
        </w:tc>
        <w:tc>
          <w:tcPr>
            <w:tcW w:w="468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8"/>
              </w:rPr>
              <w:t>O. Baldwin (father of Brad Baldwin)........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10.42%</w:t>
            </w:r>
          </w:p>
        </w:tc>
      </w:tr>
    </w:tbl>
    <w:p>
      <w:pPr>
        <w:spacing w:after="0" w:line="109" w:lineRule="exact"/>
        <w:rPr>
          <w:sz w:val="20"/>
          <w:szCs w:val="20"/>
          <w:color w:val="auto"/>
        </w:rPr>
      </w:pPr>
    </w:p>
    <w:p>
      <w:pPr>
        <w:jc w:val="both"/>
        <w:ind w:right="1779" w:firstLine="843"/>
        <w:spacing w:after="0" w:line="249" w:lineRule="auto"/>
        <w:rPr>
          <w:sz w:val="20"/>
          <w:szCs w:val="20"/>
          <w:color w:val="auto"/>
        </w:rPr>
      </w:pPr>
      <w:r>
        <w:rPr>
          <w:rFonts w:ascii="Courier New" w:cs="Courier New" w:eastAsia="Courier New" w:hAnsi="Courier New"/>
          <w:sz w:val="18"/>
          <w:szCs w:val="18"/>
          <w:color w:val="auto"/>
        </w:rPr>
        <w:t>The Company has also formed a second related limited partnership, Gentner Research II, Ltd. ("GR2L"), also in which it acts as general partner. In fiscal year 1997, GR2L sold proprietary interest in the GSC3000 to the Company in exchange for royalty payments. Royalty expense related to product sales with GR2L for the years ending June 30, 2001, 2000, and 1999 was $90,793, $106,084 and $82,989. GR2L was dissolved on May 21, 2001 after the completion of the sale of the remote control portion of the RFM/Broadcast division to Burk Technology. The Company paid $178,516 to GR2L in 2001, representing its royalty on the gain on the sale of the remote control product line. The following directors and/or executive officers and members of their immediate families have purchased the following interests in GR2L:</w:t>
      </w:r>
    </w:p>
    <w:p>
      <w:pPr>
        <w:spacing w:after="0" w:line="103"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Brad R. Baldwin (Director)........................</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3.19%</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Robert</w:t>
            </w: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 Baldwin (father of Brad Baldwin)........</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9.58%</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Edward</w:t>
            </w:r>
          </w:p>
        </w:tc>
        <w:tc>
          <w:tcPr>
            <w:tcW w:w="4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Bagley (Director).......................</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6.39%</w:t>
            </w:r>
          </w:p>
        </w:tc>
      </w:tr>
      <w:tr>
        <w:trPr>
          <w:trHeight w:val="296"/>
        </w:trPr>
        <w:tc>
          <w:tcPr>
            <w:tcW w:w="5440" w:type="dxa"/>
            <w:vAlign w:val="bottom"/>
            <w:gridSpan w:val="2"/>
          </w:tcPr>
          <w:p>
            <w:pPr>
              <w:spacing w:after="0"/>
              <w:rPr>
                <w:sz w:val="20"/>
                <w:szCs w:val="20"/>
                <w:color w:val="auto"/>
              </w:rPr>
            </w:pPr>
            <w:r>
              <w:rPr>
                <w:rFonts w:ascii="Courier New" w:cs="Courier New" w:eastAsia="Courier New" w:hAnsi="Courier New"/>
                <w:sz w:val="18"/>
                <w:szCs w:val="18"/>
                <w:color w:val="auto"/>
              </w:rPr>
              <w:t>The Bagley Family Revocable Trust.................</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6.39%</w:t>
            </w:r>
          </w:p>
        </w:tc>
      </w:tr>
    </w:tbl>
    <w:p>
      <w:pPr>
        <w:spacing w:after="0" w:line="31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COMPLIANCE WITH SECTION 16(a) OF THE SECURITIES EXCHANGE ACT</w:t>
      </w:r>
    </w:p>
    <w:p>
      <w:pPr>
        <w:spacing w:after="0" w:line="201" w:lineRule="exact"/>
        <w:rPr>
          <w:sz w:val="20"/>
          <w:szCs w:val="20"/>
          <w:color w:val="auto"/>
        </w:rPr>
      </w:pPr>
    </w:p>
    <w:p>
      <w:pPr>
        <w:jc w:val="both"/>
        <w:ind w:right="1779" w:firstLine="843"/>
        <w:spacing w:after="0" w:line="256" w:lineRule="auto"/>
        <w:rPr>
          <w:sz w:val="20"/>
          <w:szCs w:val="20"/>
          <w:color w:val="auto"/>
        </w:rPr>
      </w:pPr>
      <w:r>
        <w:rPr>
          <w:rFonts w:ascii="Courier New" w:cs="Courier New" w:eastAsia="Courier New" w:hAnsi="Courier New"/>
          <w:sz w:val="18"/>
          <w:szCs w:val="18"/>
          <w:color w:val="auto"/>
        </w:rPr>
        <w:t>Section 16(a) of the Securities Exchange Act of 1934, as amended, requires the Company's directors and executive officers, and persons who own more than 10% of a registered class of the Company's equity securities to file with the Securities and Exchange Commission initial reports of ownership and reports of changes of ownership of equity securities of the Company. Officers, directors and greater than 10% shareholders are required to furnish the Company with copies of all Section 16(a) forms they file.</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691" w:right="1440" w:bottom="1440" w:gutter="0" w:footer="0" w:header="0"/>
        </w:sectPr>
      </w:pPr>
    </w:p>
    <w:bookmarkStart w:id="19" w:name="page20"/>
    <w:bookmarkEnd w:id="19"/>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To the Company's knowledge, the persons described above have filed all applicable Section 16(a) requirements during the preceding fiscal year, except that the following Forms were filed late: Mr. Valeo's Form 4 relating to a grant of stock options in November 2000 and Mr. Bagley's Form 4 relating to an open market purchase of stock in October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691" w:right="1440" w:bottom="1440" w:gutter="0" w:footer="0" w:header="0"/>
        </w:sectPr>
      </w:pPr>
    </w:p>
    <w:bookmarkStart w:id="20" w:name="page21"/>
    <w:bookmarkEnd w:id="20"/>
    <w:p>
      <w:pPr>
        <w:jc w:val="center"/>
        <w:ind w:left="340" w:right="1380"/>
        <w:spacing w:after="0" w:line="292" w:lineRule="auto"/>
        <w:rPr>
          <w:sz w:val="20"/>
          <w:szCs w:val="20"/>
          <w:color w:val="auto"/>
        </w:rPr>
      </w:pPr>
      <w:r>
        <w:rPr>
          <w:rFonts w:ascii="Courier New" w:cs="Courier New" w:eastAsia="Courier New" w:hAnsi="Courier New"/>
          <w:sz w:val="18"/>
          <w:szCs w:val="18"/>
          <w:color w:val="auto"/>
        </w:rPr>
        <w:t>PROPOSAL TWO - AMEND THE ARTICLES OF INCORPORATION OF THE COMPANY TO CHANGE THE NAME OF THE COMPANY TO CLEARONE COMMUNICATIONS INC.</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Board</w:t>
            </w:r>
          </w:p>
        </w:tc>
        <w:tc>
          <w:tcPr>
            <w:tcW w:w="1420" w:type="dxa"/>
            <w:vAlign w:val="bottom"/>
          </w:tcPr>
          <w:p>
            <w:pPr>
              <w:spacing w:after="0"/>
              <w:rPr>
                <w:sz w:val="20"/>
                <w:szCs w:val="20"/>
                <w:color w:val="auto"/>
              </w:rPr>
            </w:pPr>
            <w:r>
              <w:rPr>
                <w:rFonts w:ascii="Courier New" w:cs="Courier New" w:eastAsia="Courier New" w:hAnsi="Courier New"/>
                <w:sz w:val="18"/>
                <w:szCs w:val="18"/>
                <w:color w:val="auto"/>
              </w:rPr>
              <w:t>of Directors</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rPr>
              <w:t>proposes and</w:t>
            </w:r>
          </w:p>
        </w:tc>
        <w:tc>
          <w:tcPr>
            <w:tcW w:w="148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recommends to</w:t>
            </w:r>
          </w:p>
        </w:tc>
        <w:tc>
          <w:tcPr>
            <w:tcW w:w="3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the  shareholders  that they</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approve an</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amendment to</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the Company's</w:t>
            </w:r>
          </w:p>
        </w:tc>
        <w:tc>
          <w:tcPr>
            <w:tcW w:w="14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Articles of</w:t>
            </w:r>
          </w:p>
        </w:tc>
        <w:tc>
          <w:tcPr>
            <w:tcW w:w="3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Incorporation  to change the</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Company's</w:t>
            </w:r>
          </w:p>
        </w:tc>
        <w:tc>
          <w:tcPr>
            <w:tcW w:w="3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name from "Gentner Communications</w:t>
            </w:r>
          </w:p>
        </w:tc>
        <w:tc>
          <w:tcPr>
            <w:tcW w:w="194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Corporation" to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35"/>
        </w:trPr>
        <w:tc>
          <w:tcPr>
            <w:tcW w:w="38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680" w:type="dxa"/>
            <w:vAlign w:val="bottom"/>
          </w:tcPr>
          <w:p>
            <w:pPr>
              <w:ind w:left="40"/>
              <w:spacing w:after="0"/>
              <w:rPr>
                <w:sz w:val="20"/>
                <w:szCs w:val="20"/>
                <w:color w:val="auto"/>
              </w:rPr>
            </w:pPr>
            <w:r>
              <w:rPr>
                <w:rFonts w:ascii="Courier New" w:cs="Courier New" w:eastAsia="Courier New" w:hAnsi="Courier New"/>
                <w:sz w:val="18"/>
                <w:szCs w:val="18"/>
                <w:color w:val="auto"/>
              </w:rPr>
              <w:t>Board</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unanimously</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approved both</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this</w:t>
            </w:r>
          </w:p>
        </w:tc>
        <w:tc>
          <w:tcPr>
            <w:tcW w:w="19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amendment and the</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submission of the</w:t>
            </w:r>
          </w:p>
        </w:tc>
      </w:tr>
    </w:tbl>
    <w:p>
      <w:pPr>
        <w:jc w:val="both"/>
        <w:ind w:right="1779"/>
        <w:spacing w:after="0" w:line="268" w:lineRule="auto"/>
        <w:rPr>
          <w:sz w:val="20"/>
          <w:szCs w:val="20"/>
          <w:color w:val="auto"/>
        </w:rPr>
      </w:pPr>
      <w:r>
        <w:rPr>
          <w:rFonts w:ascii="Courier New" w:cs="Courier New" w:eastAsia="Courier New" w:hAnsi="Courier New"/>
          <w:sz w:val="16"/>
          <w:szCs w:val="16"/>
          <w:color w:val="auto"/>
        </w:rPr>
        <w:t>amendment to the Company's shareholders for consideration. If the name change is approved, the Company intends to continue using the "Gentner" name including in marketing certain of its products (provided that the Company may discontinue the use of the "Gentner" name at any time). The shareholders' approval of this proposal to change the name of the Company also grants to the officers of the Company the individual authority to take actions that may be required implement the name change. These actions include, but are not limited to, the filing of formal Articles of Amendment to the Articles of Incorporation on behalf of the Company with the Division of Corporations of the State of Utah. The affirmative vote of the holders of a majority of the Company's Common Stock issued and outstanding as of the Record Date will be required to approve the name change</w:t>
      </w:r>
    </w:p>
    <w:tbl>
      <w:tblPr>
        <w:tblLayout w:type="fixed"/>
        <w:tblInd w:w="0" w:type="dxa"/>
        <w:tblCellMar>
          <w:top w:w="0" w:type="dxa"/>
          <w:left w:w="0" w:type="dxa"/>
          <w:bottom w:w="0" w:type="dxa"/>
          <w:right w:w="0" w:type="dxa"/>
        </w:tblCellMar>
      </w:tblPr>
      <w:tr>
        <w:trPr>
          <w:trHeight w:val="173"/>
        </w:trPr>
        <w:tc>
          <w:tcPr>
            <w:tcW w:w="2160" w:type="dxa"/>
            <w:vAlign w:val="bottom"/>
            <w:gridSpan w:val="2"/>
          </w:tcPr>
          <w:p>
            <w:pPr>
              <w:spacing w:after="0" w:line="173" w:lineRule="exact"/>
              <w:rPr>
                <w:sz w:val="20"/>
                <w:szCs w:val="20"/>
                <w:color w:val="auto"/>
              </w:rPr>
            </w:pPr>
            <w:r>
              <w:rPr>
                <w:rFonts w:ascii="Courier New" w:cs="Courier New" w:eastAsia="Courier New" w:hAnsi="Courier New"/>
                <w:sz w:val="18"/>
                <w:szCs w:val="18"/>
                <w:color w:val="auto"/>
                <w:w w:val="99"/>
              </w:rPr>
              <w:t>and the amendment of</w:t>
            </w:r>
          </w:p>
        </w:tc>
        <w:tc>
          <w:tcPr>
            <w:tcW w:w="420" w:type="dxa"/>
            <w:vAlign w:val="bottom"/>
          </w:tcPr>
          <w:p>
            <w:pPr>
              <w:jc w:val="right"/>
              <w:spacing w:after="0" w:line="173" w:lineRule="exact"/>
              <w:rPr>
                <w:sz w:val="20"/>
                <w:szCs w:val="20"/>
                <w:color w:val="auto"/>
              </w:rPr>
            </w:pPr>
            <w:r>
              <w:rPr>
                <w:rFonts w:ascii="Courier New" w:cs="Courier New" w:eastAsia="Courier New" w:hAnsi="Courier New"/>
                <w:sz w:val="18"/>
                <w:szCs w:val="18"/>
                <w:color w:val="auto"/>
              </w:rPr>
              <w:t>the</w:t>
            </w:r>
          </w:p>
        </w:tc>
        <w:tc>
          <w:tcPr>
            <w:tcW w:w="5860" w:type="dxa"/>
            <w:vAlign w:val="bottom"/>
          </w:tcPr>
          <w:p>
            <w:pPr>
              <w:ind w:left="60"/>
              <w:spacing w:after="0" w:line="173" w:lineRule="exact"/>
              <w:rPr>
                <w:sz w:val="20"/>
                <w:szCs w:val="20"/>
                <w:color w:val="auto"/>
              </w:rPr>
            </w:pPr>
            <w:r>
              <w:rPr>
                <w:rFonts w:ascii="Courier New" w:cs="Courier New" w:eastAsia="Courier New" w:hAnsi="Courier New"/>
                <w:sz w:val="18"/>
                <w:szCs w:val="18"/>
                <w:color w:val="auto"/>
                <w:w w:val="97"/>
              </w:rPr>
              <w:t>Company's Articles of Incorporation. The change of name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to [</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will</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become effective upon the filing of an amendment to the</w:t>
            </w:r>
          </w:p>
        </w:tc>
      </w:tr>
      <w:tr>
        <w:trPr>
          <w:trHeight w:val="203"/>
        </w:trPr>
        <w:tc>
          <w:tcPr>
            <w:tcW w:w="10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Company's</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Articles</w:t>
            </w:r>
          </w:p>
        </w:tc>
        <w:tc>
          <w:tcPr>
            <w:tcW w:w="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of</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Incorporation,  and will be implemented promptly by the</w:t>
            </w:r>
          </w:p>
        </w:tc>
      </w:tr>
      <w:tr>
        <w:trPr>
          <w:trHeight w:val="296"/>
        </w:trPr>
        <w:tc>
          <w:tcPr>
            <w:tcW w:w="1060" w:type="dxa"/>
            <w:vAlign w:val="bottom"/>
          </w:tcPr>
          <w:p>
            <w:pPr>
              <w:spacing w:after="0"/>
              <w:rPr>
                <w:sz w:val="20"/>
                <w:szCs w:val="20"/>
                <w:color w:val="auto"/>
              </w:rPr>
            </w:pPr>
            <w:r>
              <w:rPr>
                <w:rFonts w:ascii="Courier New" w:cs="Courier New" w:eastAsia="Courier New" w:hAnsi="Courier New"/>
                <w:sz w:val="18"/>
                <w:szCs w:val="18"/>
                <w:color w:val="auto"/>
              </w:rPr>
              <w:t>Company.</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60" w:type="dxa"/>
            <w:vAlign w:val="bottom"/>
          </w:tcPr>
          <w:p>
            <w:pPr>
              <w:spacing w:after="0"/>
              <w:rPr>
                <w:sz w:val="24"/>
                <w:szCs w:val="24"/>
                <w:color w:val="auto"/>
              </w:rPr>
            </w:pPr>
          </w:p>
        </w:tc>
      </w:tr>
    </w:tbl>
    <w:p>
      <w:pPr>
        <w:spacing w:after="0" w:line="109" w:lineRule="exact"/>
        <w:rPr>
          <w:sz w:val="20"/>
          <w:szCs w:val="20"/>
          <w:color w:val="auto"/>
        </w:rPr>
      </w:pPr>
    </w:p>
    <w:p>
      <w:pPr>
        <w:jc w:val="both"/>
        <w:ind w:right="1779"/>
        <w:spacing w:after="0" w:line="250" w:lineRule="auto"/>
        <w:rPr>
          <w:sz w:val="20"/>
          <w:szCs w:val="20"/>
          <w:color w:val="auto"/>
        </w:rPr>
      </w:pPr>
      <w:r>
        <w:rPr>
          <w:rFonts w:ascii="Courier New" w:cs="Courier New" w:eastAsia="Courier New" w:hAnsi="Courier New"/>
          <w:sz w:val="18"/>
          <w:szCs w:val="18"/>
          <w:color w:val="auto"/>
        </w:rPr>
        <w:t>In the event that the proposal is approved, it will NOT be necessary for shareholders to request new share certificates for their stock in Gentner; current share certificates will continue to be honored the Company's transfer</w:t>
      </w:r>
    </w:p>
    <w:p>
      <w:pPr>
        <w:spacing w:after="0" w:line="3" w:lineRule="exact"/>
        <w:rPr>
          <w:sz w:val="20"/>
          <w:szCs w:val="20"/>
          <w:color w:val="auto"/>
        </w:rPr>
      </w:pPr>
    </w:p>
    <w:p>
      <w:pPr>
        <w:jc w:val="both"/>
        <w:ind w:right="1779"/>
        <w:spacing w:after="0" w:line="309" w:lineRule="auto"/>
        <w:rPr>
          <w:sz w:val="20"/>
          <w:szCs w:val="20"/>
          <w:color w:val="auto"/>
        </w:rPr>
      </w:pPr>
      <w:r>
        <w:rPr>
          <w:rFonts w:ascii="Courier New" w:cs="Courier New" w:eastAsia="Courier New" w:hAnsi="Courier New"/>
          <w:sz w:val="18"/>
          <w:szCs w:val="18"/>
          <w:color w:val="auto"/>
        </w:rPr>
        <w:t>agent. The Company has reserved a new trading symbol [ ] with NASDAQ for the Company's shares.</w:t>
      </w:r>
    </w:p>
    <w:p>
      <w:pPr>
        <w:spacing w:after="0" w:line="51"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BOARD OF DIRECTORS UNAMIMOUSLY RECOMMENDS A VOTE FOR AMENDMENT OF THE COMPANY'S ARTICLES OF INCORPORATION</w:t>
      </w: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893" w:right="1440" w:bottom="1440" w:gutter="0" w:footer="0" w:header="0"/>
        </w:sectPr>
      </w:pPr>
    </w:p>
    <w:bookmarkStart w:id="21" w:name="page22"/>
    <w:bookmarkEnd w:id="21"/>
    <w:p>
      <w:pPr>
        <w:jc w:val="center"/>
        <w:ind w:left="340" w:right="1380"/>
        <w:spacing w:after="0" w:line="292" w:lineRule="auto"/>
        <w:rPr>
          <w:sz w:val="20"/>
          <w:szCs w:val="20"/>
          <w:color w:val="auto"/>
        </w:rPr>
      </w:pPr>
      <w:r>
        <w:rPr>
          <w:rFonts w:ascii="Courier New" w:cs="Courier New" w:eastAsia="Courier New" w:hAnsi="Courier New"/>
          <w:sz w:val="18"/>
          <w:szCs w:val="18"/>
          <w:color w:val="auto"/>
        </w:rPr>
        <w:t>PROPOSAL THREE -- AMENDMENT OF 1998 STOCK OPTION PLAN TO INCREASE BY 800,000 THE NUMBER OF SHARES AVAILABLE FOR ISSUANCE THEREUNDER</w:t>
      </w:r>
    </w:p>
    <w:p>
      <w:pPr>
        <w:spacing w:after="0" w:line="269" w:lineRule="exact"/>
        <w:rPr>
          <w:sz w:val="20"/>
          <w:szCs w:val="20"/>
          <w:color w:val="auto"/>
        </w:rPr>
      </w:pPr>
    </w:p>
    <w:p>
      <w:pPr>
        <w:jc w:val="both"/>
        <w:ind w:right="1779" w:firstLine="843"/>
        <w:spacing w:after="0" w:line="285" w:lineRule="auto"/>
        <w:rPr>
          <w:sz w:val="20"/>
          <w:szCs w:val="20"/>
          <w:color w:val="auto"/>
        </w:rPr>
      </w:pPr>
      <w:r>
        <w:rPr>
          <w:rFonts w:ascii="Courier New" w:cs="Courier New" w:eastAsia="Courier New" w:hAnsi="Courier New"/>
          <w:sz w:val="16"/>
          <w:szCs w:val="16"/>
          <w:color w:val="auto"/>
        </w:rPr>
        <w:t>Since 1998, the Company has provided stock options under the Company's 1998 Stock Option Plan (the "Plan"), which Plan was approved by the Shareholders of the Company at the Company's annual meeting held on November 18, 1998. A copy of the 1998 Plan is available to any shareholder by making written request to the Company's Secretary. The Company believes that granting stock options as an incentive to its employees is highly valuable in promoting increased stockholder value. Management believes that stock options are one of the prime ways to attract and retain key employees to the Company and to motivate participants to increase shareholder value. In addition, stock options are considered a competitive necessity in the industries in which the Company competes.</w:t>
      </w:r>
    </w:p>
    <w:p>
      <w:pPr>
        <w:spacing w:after="0" w:line="76"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The Company currently grants options to employees upon initial hire, in the discretion of management and the Compensation Committee, and periodically to key employees or in recognition of achievement of certain performance criteria. From 1998 to the end of the 2001 fiscal year, the number of Company employees increased from 143 to 193.</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gridSpan w:val="4"/>
          </w:tcPr>
          <w:p>
            <w:pPr>
              <w:ind w:left="860"/>
              <w:spacing w:after="0"/>
              <w:rPr>
                <w:sz w:val="20"/>
                <w:szCs w:val="20"/>
                <w:color w:val="auto"/>
              </w:rPr>
            </w:pPr>
            <w:r>
              <w:rPr>
                <w:rFonts w:ascii="Courier New" w:cs="Courier New" w:eastAsia="Courier New" w:hAnsi="Courier New"/>
                <w:sz w:val="18"/>
                <w:szCs w:val="18"/>
                <w:color w:val="auto"/>
                <w:w w:val="97"/>
              </w:rPr>
              <w:t>As a result of the  increase in number</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21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employees,  and the</w:t>
            </w:r>
          </w:p>
        </w:tc>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desire to</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give further</w:t>
            </w: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incentive to and</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retain</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w:t>
            </w:r>
          </w:p>
        </w:tc>
        <w:tc>
          <w:tcPr>
            <w:tcW w:w="27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employees and officers in</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today's</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highly  competitive  and tight</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labor</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market,</w:t>
            </w:r>
          </w:p>
        </w:tc>
        <w:tc>
          <w:tcPr>
            <w:tcW w:w="27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only  [________]  options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remain</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available for</w:t>
            </w:r>
          </w:p>
        </w:tc>
        <w:tc>
          <w:tcPr>
            <w:tcW w:w="1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grant under the</w:t>
            </w:r>
          </w:p>
        </w:tc>
        <w:tc>
          <w:tcPr>
            <w:tcW w:w="3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1998 Plan as of September 28, 2001,</w:t>
            </w:r>
          </w:p>
        </w:tc>
        <w:tc>
          <w:tcPr>
            <w:tcW w:w="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not</w:t>
            </w:r>
          </w:p>
        </w:tc>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including</w:t>
            </w:r>
          </w:p>
        </w:tc>
      </w:tr>
      <w:tr>
        <w:trPr>
          <w:trHeight w:val="296"/>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the 800,000 shares subject to</w:t>
            </w:r>
          </w:p>
        </w:tc>
        <w:tc>
          <w:tcPr>
            <w:tcW w:w="2160" w:type="dxa"/>
            <w:vAlign w:val="bottom"/>
            <w:gridSpan w:val="3"/>
          </w:tcPr>
          <w:p>
            <w:pPr>
              <w:spacing w:after="0"/>
              <w:rPr>
                <w:sz w:val="20"/>
                <w:szCs w:val="20"/>
                <w:color w:val="auto"/>
              </w:rPr>
            </w:pPr>
            <w:r>
              <w:rPr>
                <w:rFonts w:ascii="Courier New" w:cs="Courier New" w:eastAsia="Courier New" w:hAnsi="Courier New"/>
                <w:sz w:val="18"/>
                <w:szCs w:val="18"/>
                <w:color w:val="auto"/>
                <w:w w:val="99"/>
              </w:rPr>
              <w:t>stockholder approval</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at this Annual</w:t>
            </w:r>
          </w:p>
        </w:tc>
        <w:tc>
          <w:tcPr>
            <w:tcW w:w="154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Meeting.</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Amendment</w:t>
      </w:r>
    </w:p>
    <w:p>
      <w:pPr>
        <w:spacing w:after="0" w:line="201" w:lineRule="exact"/>
        <w:rPr>
          <w:sz w:val="20"/>
          <w:szCs w:val="20"/>
          <w:color w:val="auto"/>
        </w:rPr>
      </w:pPr>
    </w:p>
    <w:p>
      <w:pPr>
        <w:jc w:val="both"/>
        <w:ind w:right="1779" w:firstLine="843"/>
        <w:spacing w:after="0" w:line="246" w:lineRule="auto"/>
        <w:rPr>
          <w:sz w:val="20"/>
          <w:szCs w:val="20"/>
          <w:color w:val="auto"/>
        </w:rPr>
      </w:pPr>
      <w:r>
        <w:rPr>
          <w:rFonts w:ascii="Courier New" w:cs="Courier New" w:eastAsia="Courier New" w:hAnsi="Courier New"/>
          <w:sz w:val="18"/>
          <w:szCs w:val="18"/>
          <w:color w:val="auto"/>
        </w:rPr>
        <w:t>At the Annual Meeting, the stockholders are requested to approve an amendment to the 1998 Plan to increase the number of shares reserved for issuance thereunder by 800,000 shares, resulting in an aggregate of 2,500,000 shares reserved for issuance thereunder. The amendment to increase the number of shares reserved under the 1998 Plan is proposed in order to give the Board of Directors and the Compensation Committee of the Board of Directors greater flexibility to grant stock options. The Company believes that granting stock options motivates high levels of performance and provides an effective means of recognizing employee contributions to the success of the Company. The Company believes that this policy is of great value in recruiting and retaining highly qualified technical and other key personnel, who are in great demand, as well as rewarding and encouraging current employees. The Board of Directors believes that the ability to grant options will be important to the future success of the Company by allowing it to accomplish these objectives.</w:t>
      </w:r>
    </w:p>
    <w:p>
      <w:pPr>
        <w:spacing w:after="0" w:line="1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the Plan</w:t>
      </w:r>
    </w:p>
    <w:p>
      <w:pPr>
        <w:spacing w:after="0" w:line="201" w:lineRule="exact"/>
        <w:rPr>
          <w:sz w:val="20"/>
          <w:szCs w:val="20"/>
          <w:color w:val="auto"/>
        </w:rPr>
      </w:pPr>
    </w:p>
    <w:p>
      <w:pPr>
        <w:jc w:val="both"/>
        <w:ind w:right="1779" w:firstLine="843"/>
        <w:spacing w:after="0" w:line="344" w:lineRule="auto"/>
        <w:rPr>
          <w:sz w:val="20"/>
          <w:szCs w:val="20"/>
          <w:color w:val="auto"/>
        </w:rPr>
      </w:pPr>
      <w:r>
        <w:rPr>
          <w:rFonts w:ascii="Courier New" w:cs="Courier New" w:eastAsia="Courier New" w:hAnsi="Courier New"/>
          <w:sz w:val="16"/>
          <w:szCs w:val="16"/>
          <w:color w:val="auto"/>
        </w:rPr>
        <w:t>Effective June 10, 1998, the Board of Directors approved the 1998 Stock Option Plan (the "Plan") for the Company. The Plan was subsequently approved by the shareholders of the Company at the 1998 Annual Meeting of Shareholders, held</w:t>
      </w:r>
    </w:p>
    <w:p>
      <w:pPr>
        <w:spacing w:after="0" w:line="23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096" w:right="1440" w:bottom="1440" w:gutter="0" w:footer="0" w:header="0"/>
        </w:sectPr>
      </w:pPr>
    </w:p>
    <w:bookmarkStart w:id="22" w:name="page23"/>
    <w:bookmarkEnd w:id="22"/>
    <w:p>
      <w:pPr>
        <w:jc w:val="both"/>
        <w:ind w:right="1779"/>
        <w:spacing w:after="0" w:line="274" w:lineRule="auto"/>
        <w:rPr>
          <w:sz w:val="20"/>
          <w:szCs w:val="20"/>
          <w:color w:val="auto"/>
        </w:rPr>
      </w:pPr>
      <w:r>
        <w:rPr>
          <w:rFonts w:ascii="Courier New" w:cs="Courier New" w:eastAsia="Courier New" w:hAnsi="Courier New"/>
          <w:sz w:val="18"/>
          <w:szCs w:val="18"/>
          <w:color w:val="auto"/>
        </w:rPr>
        <w:t>on November 18, 2001. The purpose of the Plan is to provide stock option incentives to directors, officers, other employees, consultants and advisors of the Company (or any future subsidiary or parent company of the Company). Described below are the material features of the Plan.</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jc w:val="both"/>
        <w:ind w:right="1779" w:firstLine="843"/>
        <w:spacing w:after="0" w:line="248" w:lineRule="auto"/>
        <w:rPr>
          <w:sz w:val="20"/>
          <w:szCs w:val="20"/>
          <w:color w:val="auto"/>
        </w:rPr>
      </w:pPr>
      <w:r>
        <w:rPr>
          <w:rFonts w:ascii="Courier New" w:cs="Courier New" w:eastAsia="Courier New" w:hAnsi="Courier New"/>
          <w:sz w:val="18"/>
          <w:szCs w:val="18"/>
          <w:color w:val="auto"/>
        </w:rPr>
        <w:t>The Plan provides for the grant of ISOs qualified under Section 422 of the Internal Revenue Code of 1986, as amended (the "Code") and non-qualified stock options ("NSOs"). The Plan can be administered either by the Board of Directors or one or more committees of the Board of Directors (the "Administrator"). Option grants are made at the discretion of the Administrator and may be made to Company officers, directors, employees, and other persons as determined by the Administrator. Presently, there are eight (8) executive officers, four (4) non-employee directors, and 180 non-executive employees of the Company employed by the Company, all of whom (as well as all future employees) are eligible to participate in the Plan. The Plan will terminate upon the earlier of June 10, 2008, or the date on which all shares available under the Plan have been issued.</w:t>
      </w:r>
    </w:p>
    <w:p>
      <w:pPr>
        <w:spacing w:after="0" w:line="105" w:lineRule="exact"/>
        <w:rPr>
          <w:sz w:val="20"/>
          <w:szCs w:val="20"/>
          <w:color w:val="auto"/>
        </w:rPr>
      </w:pPr>
    </w:p>
    <w:p>
      <w:pPr>
        <w:jc w:val="both"/>
        <w:ind w:right="1779" w:firstLine="843"/>
        <w:spacing w:after="0" w:line="256" w:lineRule="auto"/>
        <w:rPr>
          <w:sz w:val="20"/>
          <w:szCs w:val="20"/>
          <w:color w:val="auto"/>
        </w:rPr>
      </w:pPr>
      <w:r>
        <w:rPr>
          <w:rFonts w:ascii="Courier New" w:cs="Courier New" w:eastAsia="Courier New" w:hAnsi="Courier New"/>
          <w:sz w:val="18"/>
          <w:szCs w:val="18"/>
          <w:color w:val="auto"/>
        </w:rPr>
        <w:t>The Plan currently provides that a maximum of 1,700,000 shares of Common Stock may be issued under the Plan (subject to adjustment in the event of stock splits or other changes in the Common Stock as provided in the Plan). To the extent that options granted under the Plan (i) expire or terminate for any reason prior to exercise, or (ii) are cancelled and replaced by the Administrator, the shares of Common Stock underlying such options will again be available for award under the Plan.</w:t>
      </w:r>
    </w:p>
    <w:p>
      <w:pPr>
        <w:spacing w:after="0" w:line="98" w:lineRule="exact"/>
        <w:rPr>
          <w:sz w:val="20"/>
          <w:szCs w:val="20"/>
          <w:color w:val="auto"/>
        </w:rPr>
      </w:pPr>
    </w:p>
    <w:p>
      <w:pPr>
        <w:jc w:val="both"/>
        <w:ind w:right="1779" w:firstLine="843"/>
        <w:spacing w:after="0" w:line="250" w:lineRule="auto"/>
        <w:rPr>
          <w:sz w:val="20"/>
          <w:szCs w:val="20"/>
          <w:color w:val="auto"/>
        </w:rPr>
      </w:pPr>
      <w:r>
        <w:rPr>
          <w:rFonts w:ascii="Courier New" w:cs="Courier New" w:eastAsia="Courier New" w:hAnsi="Courier New"/>
          <w:sz w:val="18"/>
          <w:szCs w:val="18"/>
          <w:color w:val="auto"/>
        </w:rPr>
        <w:t>Current shares issued under the Plan were registered with the Securities and Exchange Commission ("SEC") on Form S-8 on May 12, 1999, to allow the public sale of the shares issued pursuant to the Plan. If the amendment to increase the number of shares by 800,000 is approved by the shareholders, those shares will be "restricted" as defined under Securities and Exchange Commission ("SEC") Rule 144, until such time as the Company registers such shares under the Securities Act of 1933. It is the Company's present intention to file a registration statement on Form S-8 to allow the public sale of the shares issued pursuant to the Plan. Cash proceeds from the exercise of option grants will be used for general corporate purposes.</w:t>
      </w:r>
    </w:p>
    <w:p>
      <w:pPr>
        <w:spacing w:after="0" w:line="104"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The Company's Board of Directors has determined that the Plan will replace the Company's 1990 Stock Option Plan (the "1990 Plan") and no additional option grants will be made under the 1990 Plan. All options issued under the 1990 Plan will remain outstanding subject to the terms and conditions of the 1990 Plan.</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690"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The Administrator</w:t>
      </w:r>
    </w:p>
    <w:p>
      <w:pPr>
        <w:spacing w:after="0" w:line="201" w:lineRule="exact"/>
        <w:rPr>
          <w:sz w:val="20"/>
          <w:szCs w:val="20"/>
          <w:color w:val="auto"/>
        </w:rPr>
      </w:pPr>
    </w:p>
    <w:p>
      <w:pPr>
        <w:jc w:val="both"/>
        <w:ind w:right="1779" w:firstLine="843"/>
        <w:spacing w:after="0" w:line="248" w:lineRule="auto"/>
        <w:rPr>
          <w:sz w:val="20"/>
          <w:szCs w:val="20"/>
          <w:color w:val="auto"/>
        </w:rPr>
      </w:pPr>
      <w:r>
        <w:rPr>
          <w:rFonts w:ascii="Courier New" w:cs="Courier New" w:eastAsia="Courier New" w:hAnsi="Courier New"/>
          <w:sz w:val="18"/>
          <w:szCs w:val="18"/>
          <w:color w:val="auto"/>
        </w:rPr>
        <w:t>As mentioned above, the Administrator of the Plan can be the Board of Directors or one or more committees of the Board of Directors. Such committee, if it grants options to officers and directors of the Company, must be made up of two or more "non-employee directors" (as defined under SEC Rule 16(b)(3)). Currently, the Board of Directors has delegated authority to administer the Plan to the Company's Compensation Committee. The Administrator has full authority and discretion in the administration of the Plan, including adopting rules for administration of the Plan and determining the designation of those persons receiving option grants, the type of option granted, the number of shares to be covered by options, the exercise price, and other options terms. The Administrator's decisions in the administration of the Plan are final and binding on all persons for all purposes.</w:t>
      </w:r>
    </w:p>
    <w:p>
      <w:pPr>
        <w:spacing w:after="0" w:line="1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Terms</w:t>
      </w:r>
    </w:p>
    <w:p>
      <w:pPr>
        <w:spacing w:after="0" w:line="201" w:lineRule="exact"/>
        <w:rPr>
          <w:sz w:val="20"/>
          <w:szCs w:val="20"/>
          <w:color w:val="auto"/>
        </w:rPr>
      </w:pPr>
    </w:p>
    <w:p>
      <w:pPr>
        <w:jc w:val="both"/>
        <w:ind w:right="1779" w:firstLine="843"/>
        <w:spacing w:after="0" w:line="287" w:lineRule="auto"/>
        <w:rPr>
          <w:sz w:val="20"/>
          <w:szCs w:val="20"/>
          <w:color w:val="auto"/>
        </w:rPr>
      </w:pPr>
      <w:r>
        <w:rPr>
          <w:rFonts w:ascii="Courier New" w:cs="Courier New" w:eastAsia="Courier New" w:hAnsi="Courier New"/>
          <w:sz w:val="16"/>
          <w:szCs w:val="16"/>
          <w:color w:val="auto"/>
        </w:rPr>
        <w:t>The Company may grant ISOs under the Plan only to employees of the Company. Such grants must be at an exercise price per share not less than 100% of the fair market value of the Common Stock at the date of the grant (110% for optionees holding 10% or more of the Company's Common Stock). The Plan limits grants of ISOs that may be exercised by the holder during any calendar year to $100,000 in market value. For optionees holding more than 10% of the Company's Common Stock, ISOs must expire within five years from the date of grant. ISOs are exercisable during a recipient's lifetime only by such recipient and are transferable only upon death by will or the laws of descent and distribution.</w:t>
      </w:r>
    </w:p>
    <w:p>
      <w:pPr>
        <w:spacing w:after="0" w:line="75" w:lineRule="exact"/>
        <w:rPr>
          <w:sz w:val="20"/>
          <w:szCs w:val="20"/>
          <w:color w:val="auto"/>
        </w:rPr>
      </w:pPr>
    </w:p>
    <w:p>
      <w:pPr>
        <w:jc w:val="both"/>
        <w:ind w:right="1779" w:firstLine="843"/>
        <w:spacing w:after="0" w:line="298" w:lineRule="auto"/>
        <w:rPr>
          <w:sz w:val="20"/>
          <w:szCs w:val="20"/>
          <w:color w:val="auto"/>
        </w:rPr>
      </w:pPr>
      <w:r>
        <w:rPr>
          <w:rFonts w:ascii="Courier New" w:cs="Courier New" w:eastAsia="Courier New" w:hAnsi="Courier New"/>
          <w:sz w:val="16"/>
          <w:szCs w:val="16"/>
          <w:color w:val="auto"/>
        </w:rPr>
        <w:t>The Company may grant NSOs under the Plan to directors, employees, consultants and advisors. Such NSOs are not subject to the requirements of the Code and, therefore, may not contain the same restrictions as ISOs issued under the Plan. NSOs must, however, have an exercise price not lower than the fair market value of the Common Stock on the date of grant. Additionally, no option, either ISO or NSO, may have a term of more than 10 years from the date of grant.</w:t>
      </w:r>
    </w:p>
    <w:p>
      <w:pPr>
        <w:spacing w:after="0" w:line="68" w:lineRule="exact"/>
        <w:rPr>
          <w:sz w:val="20"/>
          <w:szCs w:val="20"/>
          <w:color w:val="auto"/>
        </w:rPr>
      </w:pPr>
    </w:p>
    <w:p>
      <w:pPr>
        <w:jc w:val="both"/>
        <w:ind w:right="1779" w:firstLine="843"/>
        <w:spacing w:after="0" w:line="283" w:lineRule="auto"/>
        <w:rPr>
          <w:sz w:val="20"/>
          <w:szCs w:val="20"/>
          <w:color w:val="auto"/>
        </w:rPr>
      </w:pPr>
      <w:r>
        <w:rPr>
          <w:rFonts w:ascii="Courier New" w:cs="Courier New" w:eastAsia="Courier New" w:hAnsi="Courier New"/>
          <w:sz w:val="16"/>
          <w:szCs w:val="16"/>
          <w:color w:val="auto"/>
        </w:rPr>
        <w:t>The exercise price for options may be paid to the Company in cash, or at the discretion of the Administrator, in shares of Common Stock, payments over time, or through a sale and remittance procedure implemented by the Company with a brokerage firm. Generally, an option right may be exercised only by the holder within three months after his or her termination of employment (twelve months if termination is due to disability). An option generally may be exercised no later than twelve months following an active employee's death. Also, an option usually is terminated immediately upon termination of an employee for material misconduct. These general rules regarding exercise following termination may be varied by the Administrator, but in no event may an option be exercised later than the date of expiration of the option.</w:t>
      </w:r>
    </w:p>
    <w:p>
      <w:pPr>
        <w:spacing w:after="0" w:line="294" w:lineRule="exact"/>
        <w:rPr>
          <w:sz w:val="20"/>
          <w:szCs w:val="20"/>
          <w:color w:val="auto"/>
        </w:rPr>
      </w:pPr>
    </w:p>
    <w:p>
      <w:pPr>
        <w:jc w:val="both"/>
        <w:ind w:right="1779" w:firstLine="843"/>
        <w:spacing w:after="0" w:line="274" w:lineRule="auto"/>
        <w:rPr>
          <w:sz w:val="20"/>
          <w:szCs w:val="20"/>
          <w:color w:val="auto"/>
        </w:rPr>
      </w:pPr>
      <w:r>
        <w:rPr>
          <w:rFonts w:ascii="Courier New" w:cs="Courier New" w:eastAsia="Courier New" w:hAnsi="Courier New"/>
          <w:sz w:val="18"/>
          <w:szCs w:val="18"/>
          <w:color w:val="auto"/>
        </w:rPr>
        <w:t>NSOs are transferable, in whole or in part, only (i) during the recipient's lifetime if a transfer is made in connection with the recipient's estate plan to one or more members of the recipient's immediate family (spouse and children) or to a trust established exclusively for the benefit of one or</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691" w:right="1440" w:bottom="1440" w:gutter="0" w:footer="0" w:header="0"/>
        </w:sectPr>
      </w:pPr>
    </w:p>
    <w:bookmarkStart w:id="24" w:name="page25"/>
    <w:bookmarkEnd w:id="24"/>
    <w:p>
      <w:pPr>
        <w:jc w:val="both"/>
        <w:ind w:right="1779"/>
        <w:spacing w:after="0" w:line="347" w:lineRule="auto"/>
        <w:rPr>
          <w:sz w:val="20"/>
          <w:szCs w:val="20"/>
          <w:color w:val="auto"/>
        </w:rPr>
      </w:pPr>
      <w:r>
        <w:rPr>
          <w:rFonts w:ascii="Courier New" w:cs="Courier New" w:eastAsia="Courier New" w:hAnsi="Courier New"/>
          <w:sz w:val="18"/>
          <w:szCs w:val="18"/>
          <w:color w:val="auto"/>
        </w:rPr>
        <w:t>more such immediate family members, or (ii) by will or the laws of descent and distribution following the recipient's death.</w:t>
      </w:r>
    </w:p>
    <w:p>
      <w:pPr>
        <w:spacing w:after="0" w:line="18" w:lineRule="exact"/>
        <w:rPr>
          <w:sz w:val="20"/>
          <w:szCs w:val="20"/>
          <w:color w:val="auto"/>
        </w:rPr>
      </w:pPr>
    </w:p>
    <w:p>
      <w:pPr>
        <w:jc w:val="both"/>
        <w:ind w:right="1779" w:firstLine="843"/>
        <w:spacing w:after="0" w:line="256" w:lineRule="auto"/>
        <w:rPr>
          <w:sz w:val="20"/>
          <w:szCs w:val="20"/>
          <w:color w:val="auto"/>
        </w:rPr>
      </w:pPr>
      <w:r>
        <w:rPr>
          <w:rFonts w:ascii="Courier New" w:cs="Courier New" w:eastAsia="Courier New" w:hAnsi="Courier New"/>
          <w:sz w:val="18"/>
          <w:szCs w:val="18"/>
          <w:color w:val="auto"/>
        </w:rPr>
        <w:t>Options may or may not be subject to a vesting schedule, whereby the options become exercisable by the recipient in portions. Such vesting may be based on the passing of time, performance goals, or some other criteria determined by the Administrator. Generally, such vesting may be accelerated by the Administrator in its discretion in the event of a major corporation transaction (such as a merger or sale of all assets) or certain changes in control of the Company.</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Amendments</w:t>
      </w:r>
    </w:p>
    <w:p>
      <w:pPr>
        <w:spacing w:after="0" w:line="201" w:lineRule="exact"/>
        <w:rPr>
          <w:sz w:val="20"/>
          <w:szCs w:val="20"/>
          <w:color w:val="auto"/>
        </w:rPr>
      </w:pPr>
    </w:p>
    <w:p>
      <w:pPr>
        <w:jc w:val="both"/>
        <w:ind w:right="1779" w:firstLine="843"/>
        <w:spacing w:after="0" w:line="265" w:lineRule="auto"/>
        <w:rPr>
          <w:sz w:val="20"/>
          <w:szCs w:val="20"/>
          <w:color w:val="auto"/>
        </w:rPr>
      </w:pPr>
      <w:r>
        <w:rPr>
          <w:rFonts w:ascii="Courier New" w:cs="Courier New" w:eastAsia="Courier New" w:hAnsi="Courier New"/>
          <w:sz w:val="18"/>
          <w:szCs w:val="18"/>
          <w:color w:val="auto"/>
        </w:rPr>
        <w:t>The Board of Directors can increase the number of shares that may be awarded under the Plan, subject in certain instances to approval by the shareholders. The Administrator may otherwise amend the Plan at any time and in any manner, subject to the rights of the holders of outstanding options as specified in their option agreements.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Consequences of the 1998 Stock Option Plan</w:t>
      </w:r>
    </w:p>
    <w:p>
      <w:pPr>
        <w:spacing w:after="0" w:line="201" w:lineRule="exact"/>
        <w:rPr>
          <w:sz w:val="20"/>
          <w:szCs w:val="20"/>
          <w:color w:val="auto"/>
        </w:rPr>
      </w:pPr>
    </w:p>
    <w:p>
      <w:pPr>
        <w:jc w:val="both"/>
        <w:ind w:right="1779" w:firstLine="843"/>
        <w:spacing w:after="0" w:line="260" w:lineRule="auto"/>
        <w:rPr>
          <w:sz w:val="20"/>
          <w:szCs w:val="20"/>
          <w:color w:val="auto"/>
        </w:rPr>
      </w:pPr>
      <w:r>
        <w:rPr>
          <w:rFonts w:ascii="Courier New" w:cs="Courier New" w:eastAsia="Courier New" w:hAnsi="Courier New"/>
          <w:sz w:val="18"/>
          <w:szCs w:val="18"/>
          <w:color w:val="auto"/>
        </w:rPr>
        <w:t>The following describes the general federal income tax consequences of the option grants for grant recipients and the Company. A recipient will not realize any income at the time an ISO is granted nor upon exercise of an ISO. However, the difference between the option exercise price and the Common Stock's fair market value at the time of exercise will be taken into account for purposes of the recipient's alternative minimum income tax, if any.</w:t>
      </w:r>
    </w:p>
    <w:p>
      <w:pPr>
        <w:spacing w:after="0" w:line="93" w:lineRule="exact"/>
        <w:rPr>
          <w:sz w:val="20"/>
          <w:szCs w:val="20"/>
          <w:color w:val="auto"/>
        </w:rPr>
      </w:pPr>
    </w:p>
    <w:p>
      <w:pPr>
        <w:jc w:val="both"/>
        <w:ind w:right="1779" w:firstLine="843"/>
        <w:spacing w:after="0" w:line="250" w:lineRule="auto"/>
        <w:rPr>
          <w:sz w:val="20"/>
          <w:szCs w:val="20"/>
          <w:color w:val="auto"/>
        </w:rPr>
      </w:pPr>
      <w:r>
        <w:rPr>
          <w:rFonts w:ascii="Courier New" w:cs="Courier New" w:eastAsia="Courier New" w:hAnsi="Courier New"/>
          <w:sz w:val="18"/>
          <w:szCs w:val="18"/>
          <w:color w:val="auto"/>
        </w:rPr>
        <w:t>Upon the subsequent disposition of shares of Common Stock acquired by the exercise of an ISO more than (i) two years after the ISO is granted and (ii) one year after the transfer of shares of Common Stock upon the exercise of such option, the recipient will realize capital gain or loss upon such disposition. The option exercise price will be the recipient's basis for determining the gain or loss. If the subsequent disposition of stock occurs before the special holding requirements describe above are met, the recipient generally will recognize ordinary income upon such disposition equal to the excess of the fair market value of the shares at the time the option was exercised over the exercise price.</w:t>
      </w:r>
    </w:p>
    <w:p>
      <w:pPr>
        <w:spacing w:after="0" w:line="104" w:lineRule="exact"/>
        <w:rPr>
          <w:sz w:val="20"/>
          <w:szCs w:val="20"/>
          <w:color w:val="auto"/>
        </w:rPr>
      </w:pPr>
    </w:p>
    <w:p>
      <w:pPr>
        <w:jc w:val="both"/>
        <w:ind w:right="1779" w:firstLine="851"/>
        <w:spacing w:after="0" w:line="274" w:lineRule="auto"/>
        <w:tabs>
          <w:tab w:leader="none" w:pos="115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recipient will not realize any income at the time an NSO is granted. Upon the recipient's exercise of an NSO, the difference between the fair market value of the Common Stock at the time of exercise and the option price will be ordinary income to the employee.</w:t>
      </w:r>
    </w:p>
    <w:p>
      <w:pPr>
        <w:spacing w:after="0" w:line="82" w:lineRule="exact"/>
        <w:rPr>
          <w:sz w:val="20"/>
          <w:szCs w:val="20"/>
          <w:color w:val="auto"/>
        </w:rPr>
      </w:pPr>
    </w:p>
    <w:p>
      <w:pPr>
        <w:jc w:val="both"/>
        <w:ind w:right="1779" w:firstLine="843"/>
        <w:spacing w:after="0" w:line="274" w:lineRule="auto"/>
        <w:rPr>
          <w:sz w:val="20"/>
          <w:szCs w:val="20"/>
          <w:color w:val="auto"/>
        </w:rPr>
      </w:pPr>
      <w:r>
        <w:rPr>
          <w:rFonts w:ascii="Courier New" w:cs="Courier New" w:eastAsia="Courier New" w:hAnsi="Courier New"/>
          <w:sz w:val="18"/>
          <w:szCs w:val="18"/>
          <w:color w:val="auto"/>
        </w:rPr>
        <w:t>At the time the recipient realizes ordinary income from the exercise of an NSO, the Company will be entitled to a tax deduction in the same amount as the ordinary income realized by the recipient. No such deduction or other tax consequence is applicable to the Company upon grant or exercise of an ISO.</w:t>
      </w:r>
    </w:p>
    <w:p>
      <w:pPr>
        <w:spacing w:after="0" w:line="82" w:lineRule="exact"/>
        <w:rPr>
          <w:sz w:val="20"/>
          <w:szCs w:val="20"/>
          <w:color w:val="auto"/>
        </w:rPr>
      </w:pPr>
    </w:p>
    <w:p>
      <w:pPr>
        <w:jc w:val="both"/>
        <w:ind w:right="1779" w:firstLine="843"/>
        <w:spacing w:after="0" w:line="318" w:lineRule="auto"/>
        <w:rPr>
          <w:sz w:val="20"/>
          <w:szCs w:val="20"/>
          <w:color w:val="auto"/>
        </w:rPr>
      </w:pPr>
      <w:r>
        <w:rPr>
          <w:rFonts w:ascii="Courier New" w:cs="Courier New" w:eastAsia="Courier New" w:hAnsi="Courier New"/>
          <w:sz w:val="16"/>
          <w:szCs w:val="16"/>
          <w:color w:val="auto"/>
        </w:rPr>
        <w:t>The foregoing is only a summary of the effect of federal income taxation upon a recipient with respect to the grant and exercise of options under the Plan. This summary does not purport to be complete and does not discuss the income tax laws of any state or foreign country in which an employee may reside.</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Awards Under the Stock Option Plan</w:t>
      </w:r>
    </w:p>
    <w:p>
      <w:pPr>
        <w:spacing w:after="0" w:line="201" w:lineRule="exact"/>
        <w:rPr>
          <w:sz w:val="20"/>
          <w:szCs w:val="20"/>
          <w:color w:val="auto"/>
        </w:rPr>
      </w:pPr>
    </w:p>
    <w:p>
      <w:pPr>
        <w:jc w:val="both"/>
        <w:ind w:right="1779" w:firstLine="843"/>
        <w:spacing w:after="0" w:line="274" w:lineRule="auto"/>
        <w:rPr>
          <w:sz w:val="20"/>
          <w:szCs w:val="20"/>
          <w:color w:val="auto"/>
        </w:rPr>
      </w:pPr>
      <w:r>
        <w:rPr>
          <w:rFonts w:ascii="Courier New" w:cs="Courier New" w:eastAsia="Courier New" w:hAnsi="Courier New"/>
          <w:sz w:val="18"/>
          <w:szCs w:val="18"/>
          <w:color w:val="auto"/>
        </w:rPr>
        <w:t>The options have a term of a minimum of seven years and an exercise price set on the date of a recipients date of employment or the date the grant is approved by the Administrator. Each option vests (becomes exercisable) annually with respect to a percentage of one-fifth (1/5) of the total option</w:t>
      </w:r>
    </w:p>
    <w:p>
      <w:pPr>
        <w:spacing w:after="0" w:line="2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691" w:right="1440" w:bottom="1440" w:gutter="0" w:footer="0" w:header="0"/>
        </w:sectPr>
      </w:pPr>
    </w:p>
    <w:bookmarkStart w:id="25" w:name="page26"/>
    <w:bookmarkEnd w:id="25"/>
    <w:p>
      <w:pPr>
        <w:jc w:val="both"/>
        <w:ind w:right="1779"/>
        <w:spacing w:after="0" w:line="276" w:lineRule="auto"/>
        <w:rPr>
          <w:sz w:val="20"/>
          <w:szCs w:val="20"/>
          <w:color w:val="auto"/>
        </w:rPr>
      </w:pPr>
      <w:r>
        <w:rPr>
          <w:rFonts w:ascii="Courier New" w:cs="Courier New" w:eastAsia="Courier New" w:hAnsi="Courier New"/>
          <w:sz w:val="16"/>
          <w:szCs w:val="16"/>
          <w:color w:val="auto"/>
        </w:rPr>
        <w:t>shares upon the Company's achieving annual increases in earnings per share ("EPS") in the five fiscal years 2001-2006, as set forth on the schedule below. The schedule set forth below will be adjusted with new annual EPS targets for successive years over time. The annual increase in EPS and the number of Options to become exercisable will be determined by the Administrator within forty-five</w:t>
      </w:r>
    </w:p>
    <w:p>
      <w:pPr>
        <w:spacing w:after="0" w:line="3" w:lineRule="exact"/>
        <w:rPr>
          <w:sz w:val="20"/>
          <w:szCs w:val="20"/>
          <w:color w:val="auto"/>
        </w:rPr>
      </w:pPr>
    </w:p>
    <w:p>
      <w:pPr>
        <w:jc w:val="both"/>
        <w:ind w:right="1779" w:firstLine="8"/>
        <w:spacing w:after="0" w:line="272" w:lineRule="auto"/>
        <w:tabs>
          <w:tab w:leader="none" w:pos="527"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of the end of the fiscal year and shall be determined based on the Company's audited financial statements for such fiscal year. For purposes of determining EPS, the Administrator may, in its discretion, exclude or otherwise adjust annual EPS due to the occurrence of an extraordinary event during the fiscal year. Extraordinary events shall include the merger of the Company, the Company's acquisition of all or substantially all assets or stock of another company, the sale of all or substantially all assets or stock of the Company to a third party, and other extraordinary transactions that are outside the ordinary course of business. As of September 28, 2001, stock options for</w:t>
      </w:r>
    </w:p>
    <w:p>
      <w:pPr>
        <w:spacing w:after="0" w:line="179"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 shares of Common Stock were outstanding under the Plan.</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Annual EPS</w:t>
      </w:r>
    </w:p>
    <w:p>
      <w:pPr>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171"/>
        </w:trPr>
        <w:tc>
          <w:tcPr>
            <w:tcW w:w="1860" w:type="dxa"/>
            <w:vAlign w:val="bottom"/>
          </w:tcPr>
          <w:p>
            <w:pPr>
              <w:jc w:val="right"/>
              <w:ind w:right="392"/>
              <w:spacing w:after="0" w:line="171" w:lineRule="exact"/>
              <w:rPr>
                <w:sz w:val="20"/>
                <w:szCs w:val="20"/>
                <w:color w:val="auto"/>
              </w:rPr>
            </w:pPr>
            <w:r>
              <w:rPr>
                <w:rFonts w:ascii="Courier New" w:cs="Courier New" w:eastAsia="Courier New" w:hAnsi="Courier New"/>
                <w:sz w:val="18"/>
                <w:szCs w:val="18"/>
                <w:color w:val="auto"/>
              </w:rPr>
              <w:t>Fiscal Year</w:t>
            </w:r>
          </w:p>
        </w:tc>
        <w:tc>
          <w:tcPr>
            <w:tcW w:w="1040" w:type="dxa"/>
            <w:vAlign w:val="bottom"/>
          </w:tcPr>
          <w:p>
            <w:pPr>
              <w:jc w:val="right"/>
              <w:ind w:right="272"/>
              <w:spacing w:after="0" w:line="171" w:lineRule="exact"/>
              <w:rPr>
                <w:sz w:val="20"/>
                <w:szCs w:val="20"/>
                <w:color w:val="auto"/>
              </w:rPr>
            </w:pPr>
            <w:r>
              <w:rPr>
                <w:rFonts w:ascii="Courier New" w:cs="Courier New" w:eastAsia="Courier New" w:hAnsi="Courier New"/>
                <w:sz w:val="18"/>
                <w:szCs w:val="18"/>
                <w:color w:val="auto"/>
              </w:rPr>
              <w:t>From</w:t>
            </w:r>
          </w:p>
        </w:tc>
        <w:tc>
          <w:tcPr>
            <w:tcW w:w="1120" w:type="dxa"/>
            <w:vAlign w:val="bottom"/>
          </w:tcPr>
          <w:p>
            <w:pPr>
              <w:jc w:val="right"/>
              <w:ind w:right="452"/>
              <w:spacing w:after="0" w:line="171" w:lineRule="exact"/>
              <w:rPr>
                <w:sz w:val="20"/>
                <w:szCs w:val="20"/>
                <w:color w:val="auto"/>
              </w:rPr>
            </w:pPr>
            <w:r>
              <w:rPr>
                <w:rFonts w:ascii="Courier New" w:cs="Courier New" w:eastAsia="Courier New" w:hAnsi="Courier New"/>
                <w:sz w:val="18"/>
                <w:szCs w:val="18"/>
                <w:color w:val="auto"/>
              </w:rPr>
              <w:t>To</w:t>
            </w:r>
          </w:p>
        </w:tc>
        <w:tc>
          <w:tcPr>
            <w:tcW w:w="840" w:type="dxa"/>
            <w:vAlign w:val="bottom"/>
          </w:tcPr>
          <w:p>
            <w:pPr>
              <w:jc w:val="right"/>
              <w:ind w:right="132"/>
              <w:spacing w:after="0" w:line="171"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86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w w:val="73"/>
              </w:rPr>
              <w:t>----------------</w:t>
            </w:r>
            <w:r>
              <w:rPr>
                <w:rFonts w:ascii="Courier New" w:cs="Courier New" w:eastAsia="Courier New" w:hAnsi="Courier New"/>
                <w:sz w:val="35"/>
                <w:szCs w:val="35"/>
                <w:color w:val="auto"/>
                <w:w w:val="73"/>
                <w:vertAlign w:val="subscript"/>
              </w:rPr>
              <w:t>2001</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35"/>
        </w:trPr>
        <w:tc>
          <w:tcPr>
            <w:tcW w:w="1860" w:type="dxa"/>
            <w:vAlign w:val="bottom"/>
            <w:vMerge w:val="continue"/>
          </w:tcPr>
          <w:p>
            <w:pPr>
              <w:spacing w:after="0"/>
              <w:rPr>
                <w:sz w:val="20"/>
                <w:szCs w:val="20"/>
                <w:color w:val="auto"/>
              </w:rPr>
            </w:pP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$0.4200</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$0.4399</w:t>
            </w:r>
          </w:p>
        </w:tc>
        <w:tc>
          <w:tcPr>
            <w:tcW w:w="8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w:t>
            </w: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$0.4400</w:t>
      </w:r>
      <w:r>
        <w:rPr>
          <w:sz w:val="20"/>
          <w:szCs w:val="20"/>
          <w:color w:val="auto"/>
        </w:rPr>
        <w:tab/>
      </w:r>
      <w:r>
        <w:rPr>
          <w:rFonts w:ascii="Courier New" w:cs="Courier New" w:eastAsia="Courier New" w:hAnsi="Courier New"/>
          <w:sz w:val="18"/>
          <w:szCs w:val="18"/>
          <w:color w:val="auto"/>
        </w:rPr>
        <w:t>$0.4599</w:t>
      </w:r>
      <w:r>
        <w:rPr>
          <w:sz w:val="20"/>
          <w:szCs w:val="20"/>
          <w:color w:val="auto"/>
        </w:rPr>
        <w:tab/>
      </w:r>
      <w:r>
        <w:rPr>
          <w:rFonts w:ascii="Courier New" w:cs="Courier New" w:eastAsia="Courier New" w:hAnsi="Courier New"/>
          <w:sz w:val="16"/>
          <w:szCs w:val="16"/>
          <w:color w:val="auto"/>
        </w:rPr>
        <w:t>60%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$0.4600</w:t>
      </w:r>
      <w:r>
        <w:rPr>
          <w:sz w:val="20"/>
          <w:szCs w:val="20"/>
          <w:color w:val="auto"/>
        </w:rPr>
        <w:tab/>
      </w:r>
      <w:r>
        <w:rPr>
          <w:rFonts w:ascii="Courier New" w:cs="Courier New" w:eastAsia="Courier New" w:hAnsi="Courier New"/>
          <w:sz w:val="18"/>
          <w:szCs w:val="18"/>
          <w:color w:val="auto"/>
        </w:rPr>
        <w:t>$0.4799</w:t>
      </w:r>
      <w:r>
        <w:rPr>
          <w:sz w:val="20"/>
          <w:szCs w:val="20"/>
          <w:color w:val="auto"/>
        </w:rPr>
        <w:tab/>
      </w:r>
      <w:r>
        <w:rPr>
          <w:rFonts w:ascii="Courier New" w:cs="Courier New" w:eastAsia="Courier New" w:hAnsi="Courier New"/>
          <w:sz w:val="16"/>
          <w:szCs w:val="16"/>
          <w:color w:val="auto"/>
        </w:rPr>
        <w:t>70%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$0.4800</w:t>
      </w:r>
      <w:r>
        <w:rPr>
          <w:sz w:val="20"/>
          <w:szCs w:val="20"/>
          <w:color w:val="auto"/>
        </w:rPr>
        <w:tab/>
      </w:r>
      <w:r>
        <w:rPr>
          <w:rFonts w:ascii="Courier New" w:cs="Courier New" w:eastAsia="Courier New" w:hAnsi="Courier New"/>
          <w:sz w:val="18"/>
          <w:szCs w:val="18"/>
          <w:color w:val="auto"/>
        </w:rPr>
        <w:t>$0.4999</w:t>
      </w:r>
      <w:r>
        <w:rPr>
          <w:sz w:val="20"/>
          <w:szCs w:val="20"/>
          <w:color w:val="auto"/>
        </w:rPr>
        <w:tab/>
      </w:r>
      <w:r>
        <w:rPr>
          <w:rFonts w:ascii="Courier New" w:cs="Courier New" w:eastAsia="Courier New" w:hAnsi="Courier New"/>
          <w:sz w:val="16"/>
          <w:szCs w:val="16"/>
          <w:color w:val="auto"/>
        </w:rPr>
        <w:t>80%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$0.5000</w:t>
      </w:r>
      <w:r>
        <w:rPr>
          <w:sz w:val="20"/>
          <w:szCs w:val="20"/>
          <w:color w:val="auto"/>
        </w:rPr>
        <w:tab/>
      </w:r>
      <w:r>
        <w:rPr>
          <w:rFonts w:ascii="Courier New" w:cs="Courier New" w:eastAsia="Courier New" w:hAnsi="Courier New"/>
          <w:sz w:val="18"/>
          <w:szCs w:val="18"/>
          <w:color w:val="auto"/>
        </w:rPr>
        <w:t>$0.5199</w:t>
      </w:r>
      <w:r>
        <w:rPr>
          <w:sz w:val="20"/>
          <w:szCs w:val="20"/>
          <w:color w:val="auto"/>
        </w:rPr>
        <w:tab/>
      </w:r>
      <w:r>
        <w:rPr>
          <w:rFonts w:ascii="Courier New" w:cs="Courier New" w:eastAsia="Courier New" w:hAnsi="Courier New"/>
          <w:sz w:val="16"/>
          <w:szCs w:val="16"/>
          <w:color w:val="auto"/>
        </w:rPr>
        <w:t>90%</w:t>
      </w:r>
    </w:p>
    <w:p>
      <w:pPr>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&gt;$0.5200</w:t>
      </w:r>
      <w:r>
        <w:rPr>
          <w:sz w:val="20"/>
          <w:szCs w:val="20"/>
          <w:color w:val="auto"/>
        </w:rPr>
        <w:tab/>
      </w:r>
      <w:r>
        <w:rPr>
          <w:rFonts w:ascii="Courier New" w:cs="Courier New" w:eastAsia="Courier New" w:hAnsi="Courier New"/>
          <w:sz w:val="16"/>
          <w:szCs w:val="16"/>
          <w:color w:val="auto"/>
        </w:rPr>
        <w:t>100%</w:t>
      </w:r>
    </w:p>
    <w:p>
      <w:pPr>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tabs>
          <w:tab w:leader="none" w:pos="1980" w:val="left"/>
          <w:tab w:leader="none" w:pos="3040" w:val="left"/>
          <w:tab w:leader="none" w:pos="4420" w:val="left"/>
        </w:tabs>
        <w:rPr>
          <w:sz w:val="20"/>
          <w:szCs w:val="20"/>
          <w:color w:val="auto"/>
        </w:rPr>
      </w:pPr>
      <w:r>
        <w:rPr>
          <w:rFonts w:ascii="Courier New" w:cs="Courier New" w:eastAsia="Courier New" w:hAnsi="Courier New"/>
          <w:sz w:val="18"/>
          <w:szCs w:val="18"/>
          <w:color w:val="auto"/>
        </w:rPr>
        <w:t>2002</w:t>
      </w:r>
      <w:r>
        <w:rPr>
          <w:sz w:val="20"/>
          <w:szCs w:val="20"/>
          <w:color w:val="auto"/>
        </w:rPr>
        <w:tab/>
      </w:r>
      <w:r>
        <w:rPr>
          <w:rFonts w:ascii="Courier New" w:cs="Courier New" w:eastAsia="Courier New" w:hAnsi="Courier New"/>
          <w:sz w:val="18"/>
          <w:szCs w:val="18"/>
          <w:color w:val="auto"/>
        </w:rPr>
        <w:t>$0.6400</w:t>
      </w:r>
      <w:r>
        <w:rPr>
          <w:sz w:val="20"/>
          <w:szCs w:val="20"/>
          <w:color w:val="auto"/>
        </w:rPr>
        <w:tab/>
      </w:r>
      <w:r>
        <w:rPr>
          <w:rFonts w:ascii="Courier New" w:cs="Courier New" w:eastAsia="Courier New" w:hAnsi="Courier New"/>
          <w:sz w:val="18"/>
          <w:szCs w:val="18"/>
          <w:color w:val="auto"/>
        </w:rPr>
        <w:t>$0.6899</w:t>
      </w:r>
      <w:r>
        <w:rPr>
          <w:sz w:val="20"/>
          <w:szCs w:val="20"/>
          <w:color w:val="auto"/>
        </w:rPr>
        <w:tab/>
      </w:r>
      <w:r>
        <w:rPr>
          <w:rFonts w:ascii="Courier New" w:cs="Courier New" w:eastAsia="Courier New" w:hAnsi="Courier New"/>
          <w:sz w:val="16"/>
          <w:szCs w:val="16"/>
          <w:color w:val="auto"/>
        </w:rPr>
        <w:t>50%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$0.6900</w:t>
      </w:r>
      <w:r>
        <w:rPr>
          <w:sz w:val="20"/>
          <w:szCs w:val="20"/>
          <w:color w:val="auto"/>
        </w:rPr>
        <w:tab/>
      </w:r>
      <w:r>
        <w:rPr>
          <w:rFonts w:ascii="Courier New" w:cs="Courier New" w:eastAsia="Courier New" w:hAnsi="Courier New"/>
          <w:sz w:val="18"/>
          <w:szCs w:val="18"/>
          <w:color w:val="auto"/>
        </w:rPr>
        <w:t>$0.7399</w:t>
      </w:r>
      <w:r>
        <w:rPr>
          <w:sz w:val="20"/>
          <w:szCs w:val="20"/>
          <w:color w:val="auto"/>
        </w:rPr>
        <w:tab/>
      </w:r>
      <w:r>
        <w:rPr>
          <w:rFonts w:ascii="Courier New" w:cs="Courier New" w:eastAsia="Courier New" w:hAnsi="Courier New"/>
          <w:sz w:val="16"/>
          <w:szCs w:val="16"/>
          <w:color w:val="auto"/>
        </w:rPr>
        <w:t>60%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$0.7400</w:t>
      </w:r>
      <w:r>
        <w:rPr>
          <w:sz w:val="20"/>
          <w:szCs w:val="20"/>
          <w:color w:val="auto"/>
        </w:rPr>
        <w:tab/>
      </w:r>
      <w:r>
        <w:rPr>
          <w:rFonts w:ascii="Courier New" w:cs="Courier New" w:eastAsia="Courier New" w:hAnsi="Courier New"/>
          <w:sz w:val="18"/>
          <w:szCs w:val="18"/>
          <w:color w:val="auto"/>
        </w:rPr>
        <w:t>$0.7899</w:t>
      </w:r>
      <w:r>
        <w:rPr>
          <w:sz w:val="20"/>
          <w:szCs w:val="20"/>
          <w:color w:val="auto"/>
        </w:rPr>
        <w:tab/>
      </w:r>
      <w:r>
        <w:rPr>
          <w:rFonts w:ascii="Courier New" w:cs="Courier New" w:eastAsia="Courier New" w:hAnsi="Courier New"/>
          <w:sz w:val="16"/>
          <w:szCs w:val="16"/>
          <w:color w:val="auto"/>
        </w:rPr>
        <w:t>70%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$0.7900</w:t>
      </w:r>
      <w:r>
        <w:rPr>
          <w:sz w:val="20"/>
          <w:szCs w:val="20"/>
          <w:color w:val="auto"/>
        </w:rPr>
        <w:tab/>
      </w:r>
      <w:r>
        <w:rPr>
          <w:rFonts w:ascii="Courier New" w:cs="Courier New" w:eastAsia="Courier New" w:hAnsi="Courier New"/>
          <w:sz w:val="18"/>
          <w:szCs w:val="18"/>
          <w:color w:val="auto"/>
        </w:rPr>
        <w:t>$0.8399</w:t>
      </w:r>
      <w:r>
        <w:rPr>
          <w:sz w:val="20"/>
          <w:szCs w:val="20"/>
          <w:color w:val="auto"/>
        </w:rPr>
        <w:tab/>
      </w:r>
      <w:r>
        <w:rPr>
          <w:rFonts w:ascii="Courier New" w:cs="Courier New" w:eastAsia="Courier New" w:hAnsi="Courier New"/>
          <w:sz w:val="16"/>
          <w:szCs w:val="16"/>
          <w:color w:val="auto"/>
        </w:rPr>
        <w:t>80%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$0.8400</w:t>
      </w:r>
      <w:r>
        <w:rPr>
          <w:sz w:val="20"/>
          <w:szCs w:val="20"/>
          <w:color w:val="auto"/>
        </w:rPr>
        <w:tab/>
      </w:r>
      <w:r>
        <w:rPr>
          <w:rFonts w:ascii="Courier New" w:cs="Courier New" w:eastAsia="Courier New" w:hAnsi="Courier New"/>
          <w:sz w:val="18"/>
          <w:szCs w:val="18"/>
          <w:color w:val="auto"/>
        </w:rPr>
        <w:t>$0.8899</w:t>
      </w:r>
      <w:r>
        <w:rPr>
          <w:sz w:val="20"/>
          <w:szCs w:val="20"/>
          <w:color w:val="auto"/>
        </w:rPr>
        <w:tab/>
      </w:r>
      <w:r>
        <w:rPr>
          <w:rFonts w:ascii="Courier New" w:cs="Courier New" w:eastAsia="Courier New" w:hAnsi="Courier New"/>
          <w:sz w:val="16"/>
          <w:szCs w:val="16"/>
          <w:color w:val="auto"/>
        </w:rPr>
        <w:t>90%</w:t>
      </w:r>
    </w:p>
    <w:p>
      <w:pPr>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&gt;$0.8900</w:t>
      </w:r>
      <w:r>
        <w:rPr>
          <w:sz w:val="20"/>
          <w:szCs w:val="20"/>
          <w:color w:val="auto"/>
        </w:rPr>
        <w:tab/>
      </w:r>
      <w:r>
        <w:rPr>
          <w:rFonts w:ascii="Courier New" w:cs="Courier New" w:eastAsia="Courier New" w:hAnsi="Courier New"/>
          <w:sz w:val="16"/>
          <w:szCs w:val="16"/>
          <w:color w:val="auto"/>
        </w:rPr>
        <w:t>100%</w:t>
      </w:r>
    </w:p>
    <w:p>
      <w:pPr>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tabs>
          <w:tab w:leader="none" w:pos="1980" w:val="left"/>
          <w:tab w:leader="none" w:pos="3040" w:val="left"/>
          <w:tab w:leader="none" w:pos="4420" w:val="left"/>
        </w:tabs>
        <w:rPr>
          <w:sz w:val="20"/>
          <w:szCs w:val="20"/>
          <w:color w:val="auto"/>
        </w:rPr>
      </w:pPr>
      <w:r>
        <w:rPr>
          <w:rFonts w:ascii="Courier New" w:cs="Courier New" w:eastAsia="Courier New" w:hAnsi="Courier New"/>
          <w:sz w:val="18"/>
          <w:szCs w:val="18"/>
          <w:color w:val="auto"/>
        </w:rPr>
        <w:t>2003</w:t>
      </w:r>
      <w:r>
        <w:rPr>
          <w:sz w:val="20"/>
          <w:szCs w:val="20"/>
          <w:color w:val="auto"/>
        </w:rPr>
        <w:tab/>
      </w:r>
      <w:r>
        <w:rPr>
          <w:rFonts w:ascii="Courier New" w:cs="Courier New" w:eastAsia="Courier New" w:hAnsi="Courier New"/>
          <w:sz w:val="18"/>
          <w:szCs w:val="18"/>
          <w:color w:val="auto"/>
        </w:rPr>
        <w:t>$1.0500</w:t>
      </w:r>
      <w:r>
        <w:rPr>
          <w:sz w:val="20"/>
          <w:szCs w:val="20"/>
          <w:color w:val="auto"/>
        </w:rPr>
        <w:tab/>
      </w:r>
      <w:r>
        <w:rPr>
          <w:rFonts w:ascii="Courier New" w:cs="Courier New" w:eastAsia="Courier New" w:hAnsi="Courier New"/>
          <w:sz w:val="18"/>
          <w:szCs w:val="18"/>
          <w:color w:val="auto"/>
        </w:rPr>
        <w:t>$1.1299</w:t>
      </w:r>
      <w:r>
        <w:rPr>
          <w:sz w:val="20"/>
          <w:szCs w:val="20"/>
          <w:color w:val="auto"/>
        </w:rPr>
        <w:tab/>
      </w:r>
      <w:r>
        <w:rPr>
          <w:rFonts w:ascii="Courier New" w:cs="Courier New" w:eastAsia="Courier New" w:hAnsi="Courier New"/>
          <w:sz w:val="16"/>
          <w:szCs w:val="16"/>
          <w:color w:val="auto"/>
        </w:rPr>
        <w:t>50%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$1.1300</w:t>
      </w:r>
      <w:r>
        <w:rPr>
          <w:sz w:val="20"/>
          <w:szCs w:val="20"/>
          <w:color w:val="auto"/>
        </w:rPr>
        <w:tab/>
      </w:r>
      <w:r>
        <w:rPr>
          <w:rFonts w:ascii="Courier New" w:cs="Courier New" w:eastAsia="Courier New" w:hAnsi="Courier New"/>
          <w:sz w:val="18"/>
          <w:szCs w:val="18"/>
          <w:color w:val="auto"/>
        </w:rPr>
        <w:t>$1.2099</w:t>
      </w:r>
      <w:r>
        <w:rPr>
          <w:sz w:val="20"/>
          <w:szCs w:val="20"/>
          <w:color w:val="auto"/>
        </w:rPr>
        <w:tab/>
      </w:r>
      <w:r>
        <w:rPr>
          <w:rFonts w:ascii="Courier New" w:cs="Courier New" w:eastAsia="Courier New" w:hAnsi="Courier New"/>
          <w:sz w:val="16"/>
          <w:szCs w:val="16"/>
          <w:color w:val="auto"/>
        </w:rPr>
        <w:t>60%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$1.2100</w:t>
      </w:r>
      <w:r>
        <w:rPr>
          <w:sz w:val="20"/>
          <w:szCs w:val="20"/>
          <w:color w:val="auto"/>
        </w:rPr>
        <w:tab/>
      </w:r>
      <w:r>
        <w:rPr>
          <w:rFonts w:ascii="Courier New" w:cs="Courier New" w:eastAsia="Courier New" w:hAnsi="Courier New"/>
          <w:sz w:val="18"/>
          <w:szCs w:val="18"/>
          <w:color w:val="auto"/>
        </w:rPr>
        <w:t>$1.2899</w:t>
      </w:r>
      <w:r>
        <w:rPr>
          <w:sz w:val="20"/>
          <w:szCs w:val="20"/>
          <w:color w:val="auto"/>
        </w:rPr>
        <w:tab/>
      </w:r>
      <w:r>
        <w:rPr>
          <w:rFonts w:ascii="Courier New" w:cs="Courier New" w:eastAsia="Courier New" w:hAnsi="Courier New"/>
          <w:sz w:val="16"/>
          <w:szCs w:val="16"/>
          <w:color w:val="auto"/>
        </w:rPr>
        <w:t>70%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$1.2900</w:t>
      </w:r>
      <w:r>
        <w:rPr>
          <w:sz w:val="20"/>
          <w:szCs w:val="20"/>
          <w:color w:val="auto"/>
        </w:rPr>
        <w:tab/>
      </w:r>
      <w:r>
        <w:rPr>
          <w:rFonts w:ascii="Courier New" w:cs="Courier New" w:eastAsia="Courier New" w:hAnsi="Courier New"/>
          <w:sz w:val="18"/>
          <w:szCs w:val="18"/>
          <w:color w:val="auto"/>
        </w:rPr>
        <w:t>$1.3699</w:t>
      </w:r>
      <w:r>
        <w:rPr>
          <w:sz w:val="20"/>
          <w:szCs w:val="20"/>
          <w:color w:val="auto"/>
        </w:rPr>
        <w:tab/>
      </w:r>
      <w:r>
        <w:rPr>
          <w:rFonts w:ascii="Courier New" w:cs="Courier New" w:eastAsia="Courier New" w:hAnsi="Courier New"/>
          <w:sz w:val="16"/>
          <w:szCs w:val="16"/>
          <w:color w:val="auto"/>
        </w:rPr>
        <w:t>80%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$1.3700</w:t>
      </w:r>
      <w:r>
        <w:rPr>
          <w:sz w:val="20"/>
          <w:szCs w:val="20"/>
          <w:color w:val="auto"/>
        </w:rPr>
        <w:tab/>
      </w:r>
      <w:r>
        <w:rPr>
          <w:rFonts w:ascii="Courier New" w:cs="Courier New" w:eastAsia="Courier New" w:hAnsi="Courier New"/>
          <w:sz w:val="18"/>
          <w:szCs w:val="18"/>
          <w:color w:val="auto"/>
        </w:rPr>
        <w:t>$1.4499</w:t>
      </w:r>
      <w:r>
        <w:rPr>
          <w:sz w:val="20"/>
          <w:szCs w:val="20"/>
          <w:color w:val="auto"/>
        </w:rPr>
        <w:tab/>
      </w:r>
      <w:r>
        <w:rPr>
          <w:rFonts w:ascii="Courier New" w:cs="Courier New" w:eastAsia="Courier New" w:hAnsi="Courier New"/>
          <w:sz w:val="16"/>
          <w:szCs w:val="16"/>
          <w:color w:val="auto"/>
        </w:rPr>
        <w:t>90%</w:t>
      </w:r>
    </w:p>
    <w:p>
      <w:pPr>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&gt;$1.4500</w:t>
      </w:r>
      <w:r>
        <w:rPr>
          <w:sz w:val="20"/>
          <w:szCs w:val="20"/>
          <w:color w:val="auto"/>
        </w:rPr>
        <w:tab/>
      </w:r>
      <w:r>
        <w:rPr>
          <w:rFonts w:ascii="Courier New" w:cs="Courier New" w:eastAsia="Courier New" w:hAnsi="Courier New"/>
          <w:sz w:val="16"/>
          <w:szCs w:val="16"/>
          <w:color w:val="auto"/>
        </w:rPr>
        <w:t>100%</w:t>
      </w:r>
    </w:p>
    <w:p>
      <w:pPr>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tabs>
          <w:tab w:leader="none" w:pos="1980" w:val="left"/>
          <w:tab w:leader="none" w:pos="3040" w:val="left"/>
          <w:tab w:leader="none" w:pos="4420" w:val="left"/>
        </w:tabs>
        <w:rPr>
          <w:sz w:val="20"/>
          <w:szCs w:val="20"/>
          <w:color w:val="auto"/>
        </w:rPr>
      </w:pPr>
      <w:r>
        <w:rPr>
          <w:rFonts w:ascii="Courier New" w:cs="Courier New" w:eastAsia="Courier New" w:hAnsi="Courier New"/>
          <w:sz w:val="18"/>
          <w:szCs w:val="18"/>
          <w:color w:val="auto"/>
        </w:rPr>
        <w:t>2004</w:t>
      </w:r>
      <w:r>
        <w:rPr>
          <w:sz w:val="20"/>
          <w:szCs w:val="20"/>
          <w:color w:val="auto"/>
        </w:rPr>
        <w:tab/>
      </w:r>
      <w:r>
        <w:rPr>
          <w:rFonts w:ascii="Courier New" w:cs="Courier New" w:eastAsia="Courier New" w:hAnsi="Courier New"/>
          <w:sz w:val="18"/>
          <w:szCs w:val="18"/>
          <w:color w:val="auto"/>
        </w:rPr>
        <w:t>$1.5000</w:t>
      </w:r>
      <w:r>
        <w:rPr>
          <w:sz w:val="20"/>
          <w:szCs w:val="20"/>
          <w:color w:val="auto"/>
        </w:rPr>
        <w:tab/>
      </w:r>
      <w:r>
        <w:rPr>
          <w:rFonts w:ascii="Courier New" w:cs="Courier New" w:eastAsia="Courier New" w:hAnsi="Courier New"/>
          <w:sz w:val="18"/>
          <w:szCs w:val="18"/>
          <w:color w:val="auto"/>
        </w:rPr>
        <w:t>$1.5499</w:t>
      </w:r>
      <w:r>
        <w:rPr>
          <w:sz w:val="20"/>
          <w:szCs w:val="20"/>
          <w:color w:val="auto"/>
        </w:rPr>
        <w:tab/>
      </w:r>
      <w:r>
        <w:rPr>
          <w:rFonts w:ascii="Courier New" w:cs="Courier New" w:eastAsia="Courier New" w:hAnsi="Courier New"/>
          <w:sz w:val="16"/>
          <w:szCs w:val="16"/>
          <w:color w:val="auto"/>
        </w:rPr>
        <w:t>50%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$1.5500</w:t>
      </w:r>
      <w:r>
        <w:rPr>
          <w:sz w:val="20"/>
          <w:szCs w:val="20"/>
          <w:color w:val="auto"/>
        </w:rPr>
        <w:tab/>
      </w:r>
      <w:r>
        <w:rPr>
          <w:rFonts w:ascii="Courier New" w:cs="Courier New" w:eastAsia="Courier New" w:hAnsi="Courier New"/>
          <w:sz w:val="18"/>
          <w:szCs w:val="18"/>
          <w:color w:val="auto"/>
        </w:rPr>
        <w:t>$1.5999</w:t>
      </w:r>
      <w:r>
        <w:rPr>
          <w:sz w:val="20"/>
          <w:szCs w:val="20"/>
          <w:color w:val="auto"/>
        </w:rPr>
        <w:tab/>
      </w:r>
      <w:r>
        <w:rPr>
          <w:rFonts w:ascii="Courier New" w:cs="Courier New" w:eastAsia="Courier New" w:hAnsi="Courier New"/>
          <w:sz w:val="16"/>
          <w:szCs w:val="16"/>
          <w:color w:val="auto"/>
        </w:rPr>
        <w:t>60%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$1.6000</w:t>
      </w:r>
      <w:r>
        <w:rPr>
          <w:sz w:val="20"/>
          <w:szCs w:val="20"/>
          <w:color w:val="auto"/>
        </w:rPr>
        <w:tab/>
      </w:r>
      <w:r>
        <w:rPr>
          <w:rFonts w:ascii="Courier New" w:cs="Courier New" w:eastAsia="Courier New" w:hAnsi="Courier New"/>
          <w:sz w:val="18"/>
          <w:szCs w:val="18"/>
          <w:color w:val="auto"/>
        </w:rPr>
        <w:t>$1.6499</w:t>
      </w:r>
      <w:r>
        <w:rPr>
          <w:sz w:val="20"/>
          <w:szCs w:val="20"/>
          <w:color w:val="auto"/>
        </w:rPr>
        <w:tab/>
      </w:r>
      <w:r>
        <w:rPr>
          <w:rFonts w:ascii="Courier New" w:cs="Courier New" w:eastAsia="Courier New" w:hAnsi="Courier New"/>
          <w:sz w:val="16"/>
          <w:szCs w:val="16"/>
          <w:color w:val="auto"/>
        </w:rPr>
        <w:t>70%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$1.6500</w:t>
      </w:r>
      <w:r>
        <w:rPr>
          <w:sz w:val="20"/>
          <w:szCs w:val="20"/>
          <w:color w:val="auto"/>
        </w:rPr>
        <w:tab/>
      </w:r>
      <w:r>
        <w:rPr>
          <w:rFonts w:ascii="Courier New" w:cs="Courier New" w:eastAsia="Courier New" w:hAnsi="Courier New"/>
          <w:sz w:val="18"/>
          <w:szCs w:val="18"/>
          <w:color w:val="auto"/>
        </w:rPr>
        <w:t>$1.6999</w:t>
      </w:r>
      <w:r>
        <w:rPr>
          <w:sz w:val="20"/>
          <w:szCs w:val="20"/>
          <w:color w:val="auto"/>
        </w:rPr>
        <w:tab/>
      </w:r>
      <w:r>
        <w:rPr>
          <w:rFonts w:ascii="Courier New" w:cs="Courier New" w:eastAsia="Courier New" w:hAnsi="Courier New"/>
          <w:sz w:val="16"/>
          <w:szCs w:val="16"/>
          <w:color w:val="auto"/>
        </w:rPr>
        <w:t>80%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$1.7000</w:t>
      </w:r>
      <w:r>
        <w:rPr>
          <w:sz w:val="20"/>
          <w:szCs w:val="20"/>
          <w:color w:val="auto"/>
        </w:rPr>
        <w:tab/>
      </w:r>
      <w:r>
        <w:rPr>
          <w:rFonts w:ascii="Courier New" w:cs="Courier New" w:eastAsia="Courier New" w:hAnsi="Courier New"/>
          <w:sz w:val="18"/>
          <w:szCs w:val="18"/>
          <w:color w:val="auto"/>
        </w:rPr>
        <w:t>$1.7499</w:t>
      </w:r>
      <w:r>
        <w:rPr>
          <w:sz w:val="20"/>
          <w:szCs w:val="20"/>
          <w:color w:val="auto"/>
        </w:rPr>
        <w:tab/>
      </w:r>
      <w:r>
        <w:rPr>
          <w:rFonts w:ascii="Courier New" w:cs="Courier New" w:eastAsia="Courier New" w:hAnsi="Courier New"/>
          <w:sz w:val="16"/>
          <w:szCs w:val="16"/>
          <w:color w:val="auto"/>
        </w:rPr>
        <w:t>90%</w:t>
      </w:r>
    </w:p>
    <w:p>
      <w:pPr>
        <w:spacing w:after="0" w:line="238" w:lineRule="auto"/>
        <w:rPr>
          <w:sz w:val="20"/>
          <w:szCs w:val="20"/>
          <w:color w:val="auto"/>
        </w:rPr>
      </w:pPr>
      <w:r>
        <w:rPr>
          <w:rFonts w:ascii="Courier New" w:cs="Courier New" w:eastAsia="Courier New" w:hAnsi="Courier New"/>
          <w:sz w:val="18"/>
          <w:szCs w:val="18"/>
          <w:color w:val="auto"/>
        </w:rPr>
        <w:t>----------------------------------------------</w:t>
      </w: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&gt;$1.7500</w:t>
      </w:r>
      <w:r>
        <w:rPr>
          <w:sz w:val="20"/>
          <w:szCs w:val="20"/>
          <w:color w:val="auto"/>
        </w:rPr>
        <w:tab/>
      </w:r>
      <w:r>
        <w:rPr>
          <w:rFonts w:ascii="Courier New" w:cs="Courier New" w:eastAsia="Courier New" w:hAnsi="Courier New"/>
          <w:sz w:val="16"/>
          <w:szCs w:val="16"/>
          <w:color w:val="auto"/>
        </w:rPr>
        <w:t>100%</w:t>
      </w:r>
    </w:p>
    <w:p>
      <w:pPr>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tabs>
          <w:tab w:leader="none" w:pos="1980" w:val="left"/>
          <w:tab w:leader="none" w:pos="3040" w:val="left"/>
          <w:tab w:leader="none" w:pos="4420" w:val="left"/>
        </w:tabs>
        <w:rPr>
          <w:sz w:val="20"/>
          <w:szCs w:val="20"/>
          <w:color w:val="auto"/>
        </w:rPr>
      </w:pPr>
      <w:r>
        <w:rPr>
          <w:rFonts w:ascii="Courier New" w:cs="Courier New" w:eastAsia="Courier New" w:hAnsi="Courier New"/>
          <w:sz w:val="18"/>
          <w:szCs w:val="18"/>
          <w:color w:val="auto"/>
        </w:rPr>
        <w:t>2005</w:t>
      </w:r>
      <w:r>
        <w:rPr>
          <w:sz w:val="20"/>
          <w:szCs w:val="20"/>
          <w:color w:val="auto"/>
        </w:rPr>
        <w:tab/>
      </w:r>
      <w:r>
        <w:rPr>
          <w:rFonts w:ascii="Courier New" w:cs="Courier New" w:eastAsia="Courier New" w:hAnsi="Courier New"/>
          <w:sz w:val="18"/>
          <w:szCs w:val="18"/>
          <w:color w:val="auto"/>
        </w:rPr>
        <w:t>$1.8000</w:t>
      </w:r>
      <w:r>
        <w:rPr>
          <w:sz w:val="20"/>
          <w:szCs w:val="20"/>
          <w:color w:val="auto"/>
        </w:rPr>
        <w:tab/>
      </w:r>
      <w:r>
        <w:rPr>
          <w:rFonts w:ascii="Courier New" w:cs="Courier New" w:eastAsia="Courier New" w:hAnsi="Courier New"/>
          <w:sz w:val="18"/>
          <w:szCs w:val="18"/>
          <w:color w:val="auto"/>
        </w:rPr>
        <w:t>$1.8399</w:t>
      </w:r>
      <w:r>
        <w:rPr>
          <w:sz w:val="20"/>
          <w:szCs w:val="20"/>
          <w:color w:val="auto"/>
        </w:rPr>
        <w:tab/>
      </w:r>
      <w:r>
        <w:rPr>
          <w:rFonts w:ascii="Courier New" w:cs="Courier New" w:eastAsia="Courier New" w:hAnsi="Courier New"/>
          <w:sz w:val="16"/>
          <w:szCs w:val="16"/>
          <w:color w:val="auto"/>
        </w:rPr>
        <w:t>50%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$1.8400</w:t>
      </w:r>
      <w:r>
        <w:rPr>
          <w:sz w:val="20"/>
          <w:szCs w:val="20"/>
          <w:color w:val="auto"/>
        </w:rPr>
        <w:tab/>
      </w:r>
      <w:r>
        <w:rPr>
          <w:rFonts w:ascii="Courier New" w:cs="Courier New" w:eastAsia="Courier New" w:hAnsi="Courier New"/>
          <w:sz w:val="18"/>
          <w:szCs w:val="18"/>
          <w:color w:val="auto"/>
        </w:rPr>
        <w:t>$1.8799</w:t>
      </w:r>
      <w:r>
        <w:rPr>
          <w:sz w:val="20"/>
          <w:szCs w:val="20"/>
          <w:color w:val="auto"/>
        </w:rPr>
        <w:tab/>
      </w:r>
      <w:r>
        <w:rPr>
          <w:rFonts w:ascii="Courier New" w:cs="Courier New" w:eastAsia="Courier New" w:hAnsi="Courier New"/>
          <w:sz w:val="16"/>
          <w:szCs w:val="16"/>
          <w:color w:val="auto"/>
        </w:rPr>
        <w:t>60%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$1.8800</w:t>
      </w:r>
      <w:r>
        <w:rPr>
          <w:sz w:val="20"/>
          <w:szCs w:val="20"/>
          <w:color w:val="auto"/>
        </w:rPr>
        <w:tab/>
      </w:r>
      <w:r>
        <w:rPr>
          <w:rFonts w:ascii="Courier New" w:cs="Courier New" w:eastAsia="Courier New" w:hAnsi="Courier New"/>
          <w:sz w:val="18"/>
          <w:szCs w:val="18"/>
          <w:color w:val="auto"/>
        </w:rPr>
        <w:t>$1.9199</w:t>
      </w:r>
      <w:r>
        <w:rPr>
          <w:sz w:val="20"/>
          <w:szCs w:val="20"/>
          <w:color w:val="auto"/>
        </w:rPr>
        <w:tab/>
      </w:r>
      <w:r>
        <w:rPr>
          <w:rFonts w:ascii="Courier New" w:cs="Courier New" w:eastAsia="Courier New" w:hAnsi="Courier New"/>
          <w:sz w:val="16"/>
          <w:szCs w:val="16"/>
          <w:color w:val="auto"/>
        </w:rPr>
        <w:t>70%</w:t>
      </w:r>
    </w:p>
    <w:p>
      <w:pPr>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$1.9200</w:t>
      </w:r>
      <w:r>
        <w:rPr>
          <w:sz w:val="20"/>
          <w:szCs w:val="20"/>
          <w:color w:val="auto"/>
        </w:rPr>
        <w:tab/>
      </w:r>
      <w:r>
        <w:rPr>
          <w:rFonts w:ascii="Courier New" w:cs="Courier New" w:eastAsia="Courier New" w:hAnsi="Courier New"/>
          <w:sz w:val="18"/>
          <w:szCs w:val="18"/>
          <w:color w:val="auto"/>
        </w:rPr>
        <w:t>$1.9599</w:t>
      </w:r>
      <w:r>
        <w:rPr>
          <w:sz w:val="20"/>
          <w:szCs w:val="20"/>
          <w:color w:val="auto"/>
        </w:rPr>
        <w:tab/>
      </w:r>
      <w:r>
        <w:rPr>
          <w:rFonts w:ascii="Courier New" w:cs="Courier New" w:eastAsia="Courier New" w:hAnsi="Courier New"/>
          <w:sz w:val="16"/>
          <w:szCs w:val="16"/>
          <w:color w:val="auto"/>
        </w:rPr>
        <w:t>80%</w:t>
      </w: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691" w:right="1440" w:bottom="0" w:gutter="0" w:footer="0" w:header="0"/>
        </w:sectPr>
      </w:pPr>
    </w:p>
    <w:bookmarkStart w:id="26" w:name="page27"/>
    <w:bookmarkEnd w:id="26"/>
    <w:p>
      <w:pPr>
        <w:ind w:left="2000"/>
        <w:spacing w:after="0"/>
        <w:tabs>
          <w:tab w:leader="none" w:pos="3040" w:val="left"/>
          <w:tab w:leader="none" w:pos="4420" w:val="left"/>
        </w:tabs>
        <w:rPr>
          <w:sz w:val="20"/>
          <w:szCs w:val="20"/>
          <w:color w:val="auto"/>
        </w:rPr>
      </w:pPr>
      <w:r>
        <w:rPr>
          <w:rFonts w:ascii="Courier New" w:cs="Courier New" w:eastAsia="Courier New" w:hAnsi="Courier New"/>
          <w:sz w:val="18"/>
          <w:szCs w:val="18"/>
          <w:color w:val="auto"/>
        </w:rPr>
        <w:t>$1.9600</w:t>
      </w:r>
      <w:r>
        <w:rPr>
          <w:sz w:val="20"/>
          <w:szCs w:val="20"/>
          <w:color w:val="auto"/>
        </w:rPr>
        <w:tab/>
      </w:r>
      <w:r>
        <w:rPr>
          <w:rFonts w:ascii="Courier New" w:cs="Courier New" w:eastAsia="Courier New" w:hAnsi="Courier New"/>
          <w:sz w:val="18"/>
          <w:szCs w:val="18"/>
          <w:color w:val="auto"/>
        </w:rPr>
        <w:t>$1.9999</w:t>
      </w:r>
      <w:r>
        <w:rPr>
          <w:sz w:val="20"/>
          <w:szCs w:val="20"/>
          <w:color w:val="auto"/>
        </w:rPr>
        <w:tab/>
      </w:r>
      <w:r>
        <w:rPr>
          <w:rFonts w:ascii="Courier New" w:cs="Courier New" w:eastAsia="Courier New" w:hAnsi="Courier New"/>
          <w:sz w:val="16"/>
          <w:szCs w:val="16"/>
          <w:color w:val="auto"/>
        </w:rPr>
        <w:t>90%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2000"/>
        <w:spacing w:after="0"/>
        <w:tabs>
          <w:tab w:leader="none" w:pos="4300" w:val="left"/>
        </w:tabs>
        <w:rPr>
          <w:sz w:val="20"/>
          <w:szCs w:val="20"/>
          <w:color w:val="auto"/>
        </w:rPr>
      </w:pPr>
      <w:r>
        <w:rPr>
          <w:rFonts w:ascii="Courier New" w:cs="Courier New" w:eastAsia="Courier New" w:hAnsi="Courier New"/>
          <w:sz w:val="18"/>
          <w:szCs w:val="18"/>
          <w:color w:val="auto"/>
        </w:rPr>
        <w:t>$2.0000</w:t>
      </w:r>
      <w:r>
        <w:rPr>
          <w:sz w:val="20"/>
          <w:szCs w:val="20"/>
          <w:color w:val="auto"/>
        </w:rPr>
        <w:tab/>
      </w:r>
      <w:r>
        <w:rPr>
          <w:rFonts w:ascii="Courier New" w:cs="Courier New" w:eastAsia="Courier New" w:hAnsi="Courier New"/>
          <w:sz w:val="16"/>
          <w:szCs w:val="16"/>
          <w:color w:val="auto"/>
        </w:rPr>
        <w:t>100%</w:t>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9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10" w:right="1440" w:bottom="1440" w:gutter="0" w:footer="0" w:header="0"/>
        </w:sectPr>
      </w:pPr>
    </w:p>
    <w:bookmarkStart w:id="27" w:name="page28"/>
    <w:bookmarkEnd w:id="27"/>
    <w:p>
      <w:pPr>
        <w:jc w:val="both"/>
        <w:ind w:right="1779" w:firstLine="843"/>
        <w:spacing w:after="0" w:line="289" w:lineRule="auto"/>
        <w:rPr>
          <w:sz w:val="20"/>
          <w:szCs w:val="20"/>
          <w:color w:val="auto"/>
        </w:rPr>
      </w:pPr>
      <w:r>
        <w:rPr>
          <w:rFonts w:ascii="Courier New" w:cs="Courier New" w:eastAsia="Courier New" w:hAnsi="Courier New"/>
          <w:sz w:val="16"/>
          <w:szCs w:val="16"/>
          <w:color w:val="auto"/>
        </w:rPr>
        <w:t>Based on the closing price of the Company's Common Stock on NASDAQ as of September 28, 2001, the total market value of the __________ shares underlying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outstanding grants under the Plan is $__________.</w:t>
      </w:r>
    </w:p>
    <w:p>
      <w:pPr>
        <w:spacing w:after="0" w:line="169" w:lineRule="exact"/>
        <w:rPr>
          <w:sz w:val="20"/>
          <w:szCs w:val="20"/>
          <w:color w:val="auto"/>
        </w:rPr>
      </w:pPr>
    </w:p>
    <w:p>
      <w:pPr>
        <w:jc w:val="both"/>
        <w:ind w:right="1779" w:firstLine="843"/>
        <w:spacing w:after="0" w:line="256" w:lineRule="auto"/>
        <w:rPr>
          <w:sz w:val="20"/>
          <w:szCs w:val="20"/>
          <w:color w:val="auto"/>
        </w:rPr>
      </w:pPr>
      <w:r>
        <w:rPr>
          <w:rFonts w:ascii="Courier New" w:cs="Courier New" w:eastAsia="Courier New" w:hAnsi="Courier New"/>
          <w:sz w:val="18"/>
          <w:szCs w:val="18"/>
          <w:color w:val="auto"/>
        </w:rPr>
        <w:t>A copy of the Plan is included in the exhibits to the Company's 1998 Form 10-KSB filed with the Securities and Exchange Commission ("SEC"). Such report can be inspected and copies made at the public reference facilities of the SEC at Room 1024, 450 Fifth Street, N.W., Washington, D.C. 20549. Copies of the Form 10-KSB can also be obtained by searching the "EDGAR Archives" for the Company's name on the SEC's web page at http://www.sec.gov. or by request to the Company.</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Required Vote and Board of Directors' Recommendation</w:t>
      </w:r>
    </w:p>
    <w:p>
      <w:pPr>
        <w:spacing w:after="0" w:line="201" w:lineRule="exact"/>
        <w:rPr>
          <w:sz w:val="20"/>
          <w:szCs w:val="20"/>
          <w:color w:val="auto"/>
        </w:rPr>
      </w:pPr>
    </w:p>
    <w:p>
      <w:pPr>
        <w:jc w:val="both"/>
        <w:ind w:right="1779" w:firstLine="843"/>
        <w:spacing w:after="0" w:line="253" w:lineRule="auto"/>
        <w:rPr>
          <w:sz w:val="20"/>
          <w:szCs w:val="20"/>
          <w:color w:val="auto"/>
        </w:rPr>
      </w:pPr>
      <w:r>
        <w:rPr>
          <w:rFonts w:ascii="Courier New" w:cs="Courier New" w:eastAsia="Courier New" w:hAnsi="Courier New"/>
          <w:sz w:val="18"/>
          <w:szCs w:val="18"/>
          <w:color w:val="auto"/>
        </w:rPr>
        <w:t>The affirmative vote of a majority of the outstanding shares of the Company present in person or represented by proxy and entitled to vote at the Annual Meeting is required for approval of the proposed amendment to the 1998 Plan. The effect of an abstention is the same as a vote against approval of the amendment. Should such stockholder approval not be obtained, then the 1998 Plan will remain unchanged, and option grants and direct stock issuances will continue to be made pursuant to the provisions of the 1998 Plan in effect prior to the amendment summarized in this proposal.</w:t>
      </w:r>
    </w:p>
    <w:p>
      <w:pPr>
        <w:spacing w:after="0" w:line="306"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THE BOARD OF DIRECTORS UNANIMOUSLY RECOMMENDS APPROVAL OF THIS PROPOSAL, INCREASING THE NUMBER OF SHARES AVAILABLE FOR ISSUANCE UNDER THE COMPANY'S STOCK OPTION PLAN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893" w:right="1440" w:bottom="1440" w:gutter="0" w:footer="0" w:header="0"/>
        </w:sectPr>
      </w:pPr>
    </w:p>
    <w:bookmarkStart w:id="28" w:name="page29"/>
    <w:bookmarkEnd w:id="28"/>
    <w:p>
      <w:pPr>
        <w:jc w:val="center"/>
        <w:ind w:right="1659"/>
        <w:spacing w:after="0"/>
        <w:rPr>
          <w:sz w:val="20"/>
          <w:szCs w:val="20"/>
          <w:color w:val="auto"/>
        </w:rPr>
      </w:pPr>
      <w:r>
        <w:rPr>
          <w:rFonts w:ascii="Courier New" w:cs="Courier New" w:eastAsia="Courier New" w:hAnsi="Courier New"/>
          <w:sz w:val="18"/>
          <w:szCs w:val="18"/>
          <w:color w:val="auto"/>
        </w:rPr>
        <w:t>PROPOSAL FOUR - RATIFICATION OF THE APPOINTMENT</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OF INDEPENDENT AUDITORS</w:t>
      </w:r>
    </w:p>
    <w:p>
      <w:pPr>
        <w:spacing w:after="0" w:line="169" w:lineRule="exact"/>
        <w:rPr>
          <w:sz w:val="20"/>
          <w:szCs w:val="20"/>
          <w:color w:val="auto"/>
        </w:rPr>
      </w:pPr>
    </w:p>
    <w:p>
      <w:pPr>
        <w:jc w:val="both"/>
        <w:ind w:right="1779" w:firstLine="843"/>
        <w:spacing w:after="0" w:line="260" w:lineRule="auto"/>
        <w:rPr>
          <w:sz w:val="20"/>
          <w:szCs w:val="20"/>
          <w:color w:val="auto"/>
        </w:rPr>
      </w:pPr>
      <w:r>
        <w:rPr>
          <w:rFonts w:ascii="Courier New" w:cs="Courier New" w:eastAsia="Courier New" w:hAnsi="Courier New"/>
          <w:sz w:val="18"/>
          <w:szCs w:val="18"/>
          <w:color w:val="auto"/>
        </w:rPr>
        <w:t>The Board of Directors has appointed Ernst &amp; Young, LLP, as independent auditors for the Company for the current fiscal year, and recommends that the shareholders vote for ratification of such appointment. Ernst &amp; Young, LLP, has served as the Company's independent auditors since 1990. Fees for the last fiscal year were annual audit fees of $70,800, audit related services of $34,800, and all other nonaudit services of $18,800.</w:t>
      </w:r>
    </w:p>
    <w:p>
      <w:pPr>
        <w:spacing w:after="0" w:line="93" w:lineRule="exact"/>
        <w:rPr>
          <w:sz w:val="20"/>
          <w:szCs w:val="20"/>
          <w:color w:val="auto"/>
        </w:rPr>
      </w:pPr>
    </w:p>
    <w:p>
      <w:pPr>
        <w:jc w:val="both"/>
        <w:ind w:right="1779" w:firstLine="843"/>
        <w:spacing w:after="0" w:line="256" w:lineRule="auto"/>
        <w:rPr>
          <w:sz w:val="20"/>
          <w:szCs w:val="20"/>
          <w:color w:val="auto"/>
        </w:rPr>
      </w:pPr>
      <w:r>
        <w:rPr>
          <w:rFonts w:ascii="Courier New" w:cs="Courier New" w:eastAsia="Courier New" w:hAnsi="Courier New"/>
          <w:sz w:val="18"/>
          <w:szCs w:val="18"/>
          <w:color w:val="auto"/>
        </w:rPr>
        <w:t>Neither Ernst &amp; Young nor any of its members have ever had any direct or indirect financial interest in the Company or been connected with the Company as promoter, underwriter, voting trustee, director, officer, or employee. It is anticipated that a representative of Ernst &amp; Young will attend the Annual Meeting and will be available to respond to questions. It is not anticipated that the representative will make any statement or presentation, although the representative will have an opportunity to do so if he desires.</w:t>
      </w:r>
    </w:p>
    <w:p>
      <w:pPr>
        <w:spacing w:after="0" w:line="98"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THE BOARD OF DIRECTORS UNANIMOUSLY RECOMMENDS A VOTE FOR RATIFICATION OF THE APPOINTMENT OF THE INDEPENDENT AUDITORS.</w:t>
      </w: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OTHER MATTERS</w:t>
      </w:r>
    </w:p>
    <w:p>
      <w:pPr>
        <w:spacing w:after="0" w:line="201" w:lineRule="exact"/>
        <w:rPr>
          <w:sz w:val="20"/>
          <w:szCs w:val="20"/>
          <w:color w:val="auto"/>
        </w:rPr>
      </w:pPr>
    </w:p>
    <w:p>
      <w:pPr>
        <w:jc w:val="both"/>
        <w:ind w:right="1779" w:firstLine="843"/>
        <w:spacing w:after="0" w:line="274" w:lineRule="auto"/>
        <w:rPr>
          <w:sz w:val="20"/>
          <w:szCs w:val="20"/>
          <w:color w:val="auto"/>
        </w:rPr>
      </w:pPr>
      <w:r>
        <w:rPr>
          <w:rFonts w:ascii="Courier New" w:cs="Courier New" w:eastAsia="Courier New" w:hAnsi="Courier New"/>
          <w:sz w:val="18"/>
          <w:szCs w:val="18"/>
          <w:color w:val="auto"/>
        </w:rPr>
        <w:t>The Board of Directors knows of no other matter to be presented for action at the Annual Meeting. If any other matters properly come before the meeting, it is the intention of the persons named in the enclosed proxy to vote the shares they represent as the Board of Directors may recommend.</w:t>
      </w:r>
    </w:p>
    <w:p>
      <w:pPr>
        <w:spacing w:after="0" w:line="82" w:lineRule="exact"/>
        <w:rPr>
          <w:sz w:val="20"/>
          <w:szCs w:val="20"/>
          <w:color w:val="auto"/>
        </w:rPr>
      </w:pPr>
    </w:p>
    <w:p>
      <w:pPr>
        <w:jc w:val="both"/>
        <w:ind w:right="1779" w:firstLine="843"/>
        <w:spacing w:after="0" w:line="274" w:lineRule="auto"/>
        <w:rPr>
          <w:sz w:val="20"/>
          <w:szCs w:val="20"/>
          <w:color w:val="auto"/>
        </w:rPr>
      </w:pPr>
      <w:r>
        <w:rPr>
          <w:rFonts w:ascii="Courier New" w:cs="Courier New" w:eastAsia="Courier New" w:hAnsi="Courier New"/>
          <w:sz w:val="18"/>
          <w:szCs w:val="18"/>
          <w:color w:val="auto"/>
        </w:rPr>
        <w:t>It is important that your stock be represented at the meeting, regardless of the number of shares which you hold. You are, therefore, urged to execute and return the accompanying proxy in the postage-prepaid envelope enclosed for that purpose at your earliest convenience.</w:t>
      </w:r>
    </w:p>
    <w:p>
      <w:pPr>
        <w:spacing w:after="0" w:line="82"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FOR THE BOARD OF DIRECTORS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Frances M. Flood</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Frances M. Flood, President</w:t>
      </w:r>
    </w:p>
    <w:p>
      <w:pPr>
        <w:ind w:left="3800"/>
        <w:spacing w:after="0"/>
        <w:rPr>
          <w:sz w:val="20"/>
          <w:szCs w:val="20"/>
          <w:color w:val="auto"/>
        </w:rPr>
      </w:pPr>
      <w:r>
        <w:rPr>
          <w:rFonts w:ascii="Courier New" w:cs="Courier New" w:eastAsia="Courier New" w:hAnsi="Courier New"/>
          <w:sz w:val="18"/>
          <w:szCs w:val="18"/>
          <w:color w:val="auto"/>
        </w:rPr>
        <w:t>and Chief Executive Officer</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Salt Lake City, Utah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10, 2001</w:t>
      </w: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1096" w:right="1440" w:bottom="1440" w:gutter="0" w:footer="0" w:header="0"/>
        </w:sectPr>
      </w:pPr>
    </w:p>
    <w:bookmarkStart w:id="29" w:name="page30"/>
    <w:bookmarkEnd w:id="29"/>
    <w:p>
      <w:pPr>
        <w:jc w:val="center"/>
        <w:ind w:right="17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Audit Committee Charter</w:t>
      </w:r>
    </w:p>
    <w:p>
      <w:pPr>
        <w:spacing w:after="0" w:line="169" w:lineRule="exact"/>
        <w:rPr>
          <w:sz w:val="20"/>
          <w:szCs w:val="20"/>
          <w:color w:val="auto"/>
        </w:rPr>
      </w:pPr>
    </w:p>
    <w:p>
      <w:pPr>
        <w:jc w:val="both"/>
        <w:ind w:right="1779"/>
        <w:spacing w:after="0" w:line="274" w:lineRule="auto"/>
        <w:rPr>
          <w:sz w:val="20"/>
          <w:szCs w:val="20"/>
          <w:color w:val="auto"/>
        </w:rPr>
      </w:pPr>
      <w:r>
        <w:rPr>
          <w:rFonts w:ascii="Courier New" w:cs="Courier New" w:eastAsia="Courier New" w:hAnsi="Courier New"/>
          <w:sz w:val="18"/>
          <w:szCs w:val="18"/>
          <w:color w:val="auto"/>
        </w:rPr>
        <w:t>The following shall be the principal recurring processes of the audit committee in carrying out its oversight responsibilities. The processes are set forth as a guide with the understanding that the committee may supplement them as appropriate.</w:t>
      </w:r>
    </w:p>
    <w:p>
      <w:pPr>
        <w:spacing w:after="0" w:line="82" w:lineRule="exact"/>
        <w:rPr>
          <w:sz w:val="20"/>
          <w:szCs w:val="20"/>
          <w:color w:val="auto"/>
        </w:rPr>
      </w:pPr>
    </w:p>
    <w:p>
      <w:pPr>
        <w:jc w:val="both"/>
        <w:ind w:left="420" w:right="1779" w:hanging="412"/>
        <w:spacing w:after="0" w:line="249"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have a clear understanding with management and the independent auditors that the independent auditors are ultimately accountable to the board and the audit committee, as representatives of the Company's shareholders. The committee shall have the ultimate authority and responsibility to evaluate and, where appropriate, recommend the replacement of the independent auditors. The committee shall discuss with the auditors their independence from management and the Company and the matters included in the written disclosures required by the Independence Standards Board. Annually, the committee shall review and recommend to the board the selection of the Company's independent auditors, subject to shareholders' approval.</w:t>
      </w:r>
    </w:p>
    <w:p>
      <w:pPr>
        <w:spacing w:after="0" w:line="103" w:lineRule="exact"/>
        <w:rPr>
          <w:rFonts w:ascii="Courier New" w:cs="Courier New" w:eastAsia="Courier New" w:hAnsi="Courier New"/>
          <w:sz w:val="18"/>
          <w:szCs w:val="18"/>
          <w:color w:val="auto"/>
        </w:rPr>
      </w:pPr>
    </w:p>
    <w:p>
      <w:pPr>
        <w:jc w:val="both"/>
        <w:ind w:left="420" w:right="1779" w:hanging="412"/>
        <w:spacing w:after="0" w:line="289" w:lineRule="auto"/>
        <w:tabs>
          <w:tab w:leader="none" w:pos="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discuss with the independent auditors the overall scope and plans for their respective audits including the adequacy of staffing and compensation. Also, the committee shall discuss with management and the independent auditors the adequacy and effectiveness of the accounting and financial controls, including the Company's system to monitor and manage business risk, and legal and ethical compliance programs. Further, the committee shall meet separately with the independent auditors, with and without management present, to discuss the results of their examinations.</w:t>
      </w:r>
    </w:p>
    <w:p>
      <w:pPr>
        <w:spacing w:after="0" w:line="77" w:lineRule="exact"/>
        <w:rPr>
          <w:rFonts w:ascii="Courier New" w:cs="Courier New" w:eastAsia="Courier New" w:hAnsi="Courier New"/>
          <w:sz w:val="16"/>
          <w:szCs w:val="16"/>
          <w:color w:val="auto"/>
        </w:rPr>
      </w:pPr>
    </w:p>
    <w:p>
      <w:pPr>
        <w:jc w:val="both"/>
        <w:ind w:left="420" w:right="1779" w:hanging="412"/>
        <w:spacing w:after="0" w:line="256"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the interim financial statements with management and the independent auditors prior to the filing of the Company's Quarterly Report on Form 10-Q. Also, the committee shall discuss the results of the quarterly review and any other matters required to be communicated to the committee by the independent auditors under generally accepted auditing standards. The chair of the committee may represent the entire committee for the purposes of this review.</w:t>
      </w:r>
    </w:p>
    <w:p>
      <w:pPr>
        <w:spacing w:after="0" w:line="98" w:lineRule="exact"/>
        <w:rPr>
          <w:rFonts w:ascii="Courier New" w:cs="Courier New" w:eastAsia="Courier New" w:hAnsi="Courier New"/>
          <w:sz w:val="18"/>
          <w:szCs w:val="18"/>
          <w:color w:val="auto"/>
        </w:rPr>
      </w:pPr>
    </w:p>
    <w:p>
      <w:pPr>
        <w:jc w:val="both"/>
        <w:ind w:left="420" w:right="1779" w:hanging="412"/>
        <w:spacing w:after="0" w:line="252"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committee shall review with management and the independent auditors the financial statements to be included in the Company's Annual Report on Form 10-K (or the annual report to shareholders if distributed prior to the filing of Form 10-K), including their judgment about the quality, not just acceptability, of accounting principles, the reasonableness of significant judgments, and the clarity of the disclosures in the financial statements. Also, the committee shall discuss the results of the annual audit and any other matters required to be communicated to the committee by the independent auditors under generally accepted auditing standards.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893" w:right="1440" w:bottom="1440" w:gutter="0" w:footer="0" w:header="0"/>
        </w:sectPr>
      </w:pPr>
    </w:p>
    <w:bookmarkStart w:id="30" w:name="page31"/>
    <w:bookmarkEnd w:id="30"/>
    <w:p>
      <w:pPr>
        <w:ind w:left="86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1998 STOCK OPTION PLAN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1.</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GENERAL PROVISIONS</w:t>
      </w:r>
    </w:p>
    <w:p>
      <w:pPr>
        <w:ind w:left="3280"/>
        <w:spacing w:after="0"/>
        <w:rPr>
          <w:sz w:val="20"/>
          <w:szCs w:val="20"/>
          <w:color w:val="auto"/>
        </w:rPr>
      </w:pPr>
      <w:r>
        <w:rPr>
          <w:rFonts w:ascii="Courier New" w:cs="Courier New" w:eastAsia="Courier New" w:hAnsi="Courier New"/>
          <w:sz w:val="18"/>
          <w:szCs w:val="18"/>
          <w:color w:val="auto"/>
        </w:rPr>
        <w:t>------------------</w:t>
      </w:r>
    </w:p>
    <w:p>
      <w:pPr>
        <w:spacing w:after="0" w:line="37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6"/>
          <w:szCs w:val="16"/>
          <w:color w:val="auto"/>
        </w:rPr>
        <w:t>PURPOSE OF THE PLAN</w:t>
      </w:r>
    </w:p>
    <w:p>
      <w:pPr>
        <w:spacing w:after="0" w:line="201" w:lineRule="exact"/>
        <w:rPr>
          <w:sz w:val="20"/>
          <w:szCs w:val="20"/>
          <w:color w:val="auto"/>
        </w:rPr>
      </w:pPr>
    </w:p>
    <w:p>
      <w:pPr>
        <w:jc w:val="both"/>
        <w:ind w:right="1779" w:firstLine="1580"/>
        <w:spacing w:after="0" w:line="265" w:lineRule="auto"/>
        <w:rPr>
          <w:sz w:val="20"/>
          <w:szCs w:val="20"/>
          <w:color w:val="auto"/>
        </w:rPr>
      </w:pPr>
      <w:r>
        <w:rPr>
          <w:rFonts w:ascii="Courier New" w:cs="Courier New" w:eastAsia="Courier New" w:hAnsi="Courier New"/>
          <w:sz w:val="18"/>
          <w:szCs w:val="18"/>
          <w:color w:val="auto"/>
        </w:rPr>
        <w:t>This 1998 Stock Option Plan (the "Plan") is intended to promote the interests of Gentner Communications Corporation, a Utah corporation, (the "Corporation") by providing eligible persons with the opportunity to acquire or increase their proprietary interest in the Corporation as an incentive for them to remain in the Service of the Corporation.</w:t>
      </w:r>
    </w:p>
    <w:p>
      <w:pPr>
        <w:spacing w:after="0" w:line="90" w:lineRule="exact"/>
        <w:rPr>
          <w:sz w:val="20"/>
          <w:szCs w:val="20"/>
          <w:color w:val="auto"/>
        </w:rPr>
      </w:pPr>
    </w:p>
    <w:p>
      <w:pPr>
        <w:jc w:val="both"/>
        <w:ind w:right="1779" w:firstLine="1580"/>
        <w:spacing w:after="0" w:line="347" w:lineRule="auto"/>
        <w:rPr>
          <w:sz w:val="20"/>
          <w:szCs w:val="20"/>
          <w:color w:val="auto"/>
        </w:rPr>
      </w:pPr>
      <w:r>
        <w:rPr>
          <w:rFonts w:ascii="Courier New" w:cs="Courier New" w:eastAsia="Courier New" w:hAnsi="Courier New"/>
          <w:sz w:val="18"/>
          <w:szCs w:val="18"/>
          <w:color w:val="auto"/>
        </w:rPr>
        <w:t>Capitalized terms shall have the meanings assigned to such terms in the attached Appendix.</w:t>
      </w:r>
    </w:p>
    <w:p>
      <w:pPr>
        <w:spacing w:after="0" w:line="18"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6"/>
          <w:szCs w:val="16"/>
          <w:color w:val="auto"/>
        </w:rPr>
        <w:t>ADMINISTRATION OF THE PLAN</w:t>
      </w:r>
    </w:p>
    <w:p>
      <w:pPr>
        <w:spacing w:after="0" w:line="201" w:lineRule="exact"/>
        <w:rPr>
          <w:sz w:val="20"/>
          <w:szCs w:val="20"/>
          <w:color w:val="auto"/>
        </w:rPr>
      </w:pPr>
    </w:p>
    <w:p>
      <w:pPr>
        <w:jc w:val="both"/>
        <w:ind w:right="1779" w:firstLine="1580"/>
        <w:spacing w:after="0" w:line="256" w:lineRule="auto"/>
        <w:rPr>
          <w:sz w:val="20"/>
          <w:szCs w:val="20"/>
          <w:color w:val="auto"/>
        </w:rPr>
      </w:pPr>
      <w:r>
        <w:rPr>
          <w:rFonts w:ascii="Courier New" w:cs="Courier New" w:eastAsia="Courier New" w:hAnsi="Courier New"/>
          <w:sz w:val="18"/>
          <w:szCs w:val="18"/>
          <w:color w:val="auto"/>
        </w:rPr>
        <w:t>a. The Plan shall be administered by the Board or, to the extent required under applicable Stock Exchange requirements or if desired by the Board, a committee of the Board. If administered by committee, the Primary Committee shall have sole and exclusive authority to administer the Plan with respect to Section 16 Insiders; committee authority to administer the Plan with respect to all other persons may be vested in either the Primary Committee or a Secondary Committee, as determined by the Board.</w:t>
      </w:r>
    </w:p>
    <w:p>
      <w:pPr>
        <w:spacing w:after="0" w:line="98" w:lineRule="exact"/>
        <w:rPr>
          <w:sz w:val="20"/>
          <w:szCs w:val="20"/>
          <w:color w:val="auto"/>
        </w:rPr>
      </w:pPr>
    </w:p>
    <w:p>
      <w:pPr>
        <w:jc w:val="both"/>
        <w:ind w:right="1779" w:firstLine="1580"/>
        <w:spacing w:after="0" w:line="252" w:lineRule="auto"/>
        <w:rPr>
          <w:sz w:val="20"/>
          <w:szCs w:val="20"/>
          <w:color w:val="auto"/>
        </w:rPr>
      </w:pPr>
      <w:r>
        <w:rPr>
          <w:rFonts w:ascii="Courier New" w:cs="Courier New" w:eastAsia="Courier New" w:hAnsi="Courier New"/>
          <w:sz w:val="18"/>
          <w:szCs w:val="18"/>
          <w:color w:val="auto"/>
        </w:rPr>
        <w:t>b. Members of the Primary Committee or any Secondary Committee shall serve for such period of time as the Board may determine and may be removed by the Board at any time. The Board may terminate the functions of any Secondary Committee at any time and delegate all powers and authority previously delegated to such committee to the Primary Committee. To the extent committee administration is no longer required by applicable law, regulation or Stock Exchange requirement, the Board may also terminate the functions of any committee at any time and reassume all powers and authority previously delegated to such committee.</w:t>
      </w:r>
    </w:p>
    <w:p>
      <w:pPr>
        <w:spacing w:after="0" w:line="99" w:lineRule="exact"/>
        <w:rPr>
          <w:sz w:val="20"/>
          <w:szCs w:val="20"/>
          <w:color w:val="auto"/>
        </w:rPr>
      </w:pPr>
    </w:p>
    <w:p>
      <w:pPr>
        <w:jc w:val="both"/>
        <w:ind w:right="1779" w:firstLine="1580"/>
        <w:spacing w:after="0" w:line="252" w:lineRule="auto"/>
        <w:rPr>
          <w:sz w:val="20"/>
          <w:szCs w:val="20"/>
          <w:color w:val="auto"/>
        </w:rPr>
      </w:pPr>
      <w:r>
        <w:rPr>
          <w:rFonts w:ascii="Courier New" w:cs="Courier New" w:eastAsia="Courier New" w:hAnsi="Courier New"/>
          <w:sz w:val="18"/>
          <w:szCs w:val="18"/>
          <w:color w:val="auto"/>
        </w:rPr>
        <w:t>c. Each Plan Administrator shall, within the scope of its administrative functions under the Plan, have full power and authority to establish such rules and regulations as it may deem appropriate for proper administration of the Plan and to make such determinations under, and issue such interpretations of, the provisions of the Plan and any outstanding options thereunder as it may deem necessary or advisable. Decisions of the Plan Administrator within the scope of its administrative functions under the Plan shall be final and binding on all parties who have an interest in the Plan under its jurisdiction or any option thereunder.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691" w:right="1440" w:bottom="1440" w:gutter="0" w:footer="0" w:header="0"/>
        </w:sectPr>
      </w:pPr>
    </w:p>
    <w:bookmarkStart w:id="31" w:name="page32"/>
    <w:bookmarkEnd w:id="31"/>
    <w:p>
      <w:pPr>
        <w:jc w:val="both"/>
        <w:ind w:right="1779" w:firstLine="1580"/>
        <w:spacing w:after="0" w:line="298" w:lineRule="auto"/>
        <w:rPr>
          <w:sz w:val="20"/>
          <w:szCs w:val="20"/>
          <w:color w:val="auto"/>
        </w:rPr>
      </w:pPr>
      <w:r>
        <w:rPr>
          <w:rFonts w:ascii="Courier New" w:cs="Courier New" w:eastAsia="Courier New" w:hAnsi="Courier New"/>
          <w:sz w:val="16"/>
          <w:szCs w:val="16"/>
          <w:color w:val="auto"/>
        </w:rPr>
        <w:t>d. Service on the Primary Committee or the Secondary Committee shall constitute service as a Board member, and members of each such committee shall accordingly be entitled to full indemnification and reimbursement as Board members for their service on such committee. No member of the Primary Committee or the Secondary Committee shall be liable for any act or omission made in good faith with respect to the Plan or any option grants under the Plan.</w:t>
      </w:r>
    </w:p>
    <w:p>
      <w:pPr>
        <w:spacing w:after="0" w:line="68" w:lineRule="exact"/>
        <w:rPr>
          <w:sz w:val="20"/>
          <w:szCs w:val="20"/>
          <w:color w:val="auto"/>
        </w:rPr>
      </w:pPr>
    </w:p>
    <w:p>
      <w:pPr>
        <w:jc w:val="both"/>
        <w:ind w:right="1779" w:firstLine="1580"/>
        <w:spacing w:after="0" w:line="252" w:lineRule="auto"/>
        <w:rPr>
          <w:sz w:val="20"/>
          <w:szCs w:val="20"/>
          <w:color w:val="auto"/>
        </w:rPr>
      </w:pPr>
      <w:r>
        <w:rPr>
          <w:rFonts w:ascii="Courier New" w:cs="Courier New" w:eastAsia="Courier New" w:hAnsi="Courier New"/>
          <w:sz w:val="18"/>
          <w:szCs w:val="18"/>
          <w:color w:val="auto"/>
        </w:rPr>
        <w:t>e. Each Plan Administrator shall, within the scope of its administrative jurisdiction under the Plan, have full authority (subject to the provisions of the Plan) to determine which eligible persons are to receive option grants, the time or times when such option grants are to be made, the number of shares to be covered by each such grant, the status of the granted option as either an Incentive Option or a Non-Statutory Option, the time or times at which each option is to become exercisable, the vesting schedule (if any) applicable to the option shares, the acceleration of such vesting schedule, and all other terms and conditions of the option grants.</w:t>
      </w:r>
    </w:p>
    <w:p>
      <w:pPr>
        <w:spacing w:after="0" w:line="9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6"/>
          <w:szCs w:val="16"/>
          <w:color w:val="auto"/>
        </w:rPr>
        <w:t>ELIGIBILITY</w:t>
      </w:r>
    </w:p>
    <w:p>
      <w:pPr>
        <w:spacing w:after="0" w:line="201" w:lineRule="exact"/>
        <w:rPr>
          <w:sz w:val="20"/>
          <w:szCs w:val="20"/>
          <w:color w:val="auto"/>
        </w:rPr>
      </w:pPr>
    </w:p>
    <w:p>
      <w:pPr>
        <w:jc w:val="right"/>
        <w:ind w:right="1779"/>
        <w:spacing w:after="0"/>
        <w:tabs>
          <w:tab w:leader="none" w:pos="6300" w:val="left"/>
          <w:tab w:leader="none" w:pos="5140" w:val="left"/>
          <w:tab w:leader="none" w:pos="1980" w:val="left"/>
          <w:tab w:leader="none" w:pos="620" w:val="left"/>
        </w:tabs>
        <w:rPr>
          <w:sz w:val="20"/>
          <w:szCs w:val="20"/>
          <w:color w:val="auto"/>
        </w:rPr>
      </w:pPr>
      <w:r>
        <w:rPr>
          <w:rFonts w:ascii="Courier New" w:cs="Courier New" w:eastAsia="Courier New" w:hAnsi="Courier New"/>
          <w:sz w:val="18"/>
          <w:szCs w:val="18"/>
          <w:color w:val="auto"/>
        </w:rPr>
        <w:t>The</w:t>
        <w:tab/>
        <w:t>following</w:t>
        <w:tab/>
        <w:t>persons shall be eligible to</w:t>
        <w:tab/>
        <w:t>participate</w:t>
      </w:r>
      <w:r>
        <w:rPr>
          <w:sz w:val="20"/>
          <w:szCs w:val="20"/>
          <w:color w:val="auto"/>
        </w:rPr>
        <w:tab/>
      </w:r>
      <w:r>
        <w:rPr>
          <w:rFonts w:ascii="Courier New" w:cs="Courier New" w:eastAsia="Courier New" w:hAnsi="Courier New"/>
          <w:sz w:val="16"/>
          <w:szCs w:val="16"/>
          <w:color w:val="auto"/>
        </w:rPr>
        <w:t>in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w:t>
      </w:r>
    </w:p>
    <w:p>
      <w:pPr>
        <w:spacing w:after="0" w:line="169" w:lineRule="exact"/>
        <w:rPr>
          <w:sz w:val="20"/>
          <w:szCs w:val="20"/>
          <w:color w:val="auto"/>
        </w:rPr>
      </w:pPr>
    </w:p>
    <w:p>
      <w:pPr>
        <w:ind w:left="1900" w:hanging="312"/>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Employees,</w:t>
      </w:r>
    </w:p>
    <w:p>
      <w:pPr>
        <w:spacing w:after="0" w:line="201" w:lineRule="exact"/>
        <w:rPr>
          <w:rFonts w:ascii="Courier New" w:cs="Courier New" w:eastAsia="Courier New" w:hAnsi="Courier New"/>
          <w:sz w:val="18"/>
          <w:szCs w:val="18"/>
          <w:color w:val="auto"/>
        </w:rPr>
      </w:pPr>
    </w:p>
    <w:p>
      <w:pPr>
        <w:ind w:right="1779" w:firstLine="1588"/>
        <w:spacing w:after="0" w:line="347" w:lineRule="auto"/>
        <w:tabs>
          <w:tab w:leader="none" w:pos="189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non-employee members of the Board or the board of directors of any Parent or Subsidiary, and</w:t>
      </w:r>
    </w:p>
    <w:p>
      <w:pPr>
        <w:spacing w:after="0" w:line="18" w:lineRule="exact"/>
        <w:rPr>
          <w:rFonts w:ascii="Courier New" w:cs="Courier New" w:eastAsia="Courier New" w:hAnsi="Courier New"/>
          <w:sz w:val="18"/>
          <w:szCs w:val="18"/>
          <w:color w:val="auto"/>
        </w:rPr>
      </w:pPr>
    </w:p>
    <w:p>
      <w:pPr>
        <w:ind w:right="1779" w:firstLine="1588"/>
        <w:spacing w:after="0" w:line="347" w:lineRule="auto"/>
        <w:tabs>
          <w:tab w:leader="none" w:pos="200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consultants and other independent advisors who provide Services to the Corporation or any Parent or Subsidiary.</w:t>
      </w:r>
    </w:p>
    <w:p>
      <w:pPr>
        <w:spacing w:after="0" w:line="18"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6"/>
          <w:szCs w:val="16"/>
          <w:color w:val="auto"/>
        </w:rPr>
        <w:t>STOCK SUBJECT TO THE PLAN</w:t>
      </w:r>
    </w:p>
    <w:p>
      <w:pPr>
        <w:spacing w:after="0" w:line="201" w:lineRule="exact"/>
        <w:rPr>
          <w:sz w:val="20"/>
          <w:szCs w:val="20"/>
          <w:color w:val="auto"/>
        </w:rPr>
      </w:pPr>
    </w:p>
    <w:p>
      <w:pPr>
        <w:jc w:val="both"/>
        <w:ind w:right="1779" w:firstLine="1580"/>
        <w:spacing w:after="0" w:line="260" w:lineRule="auto"/>
        <w:rPr>
          <w:sz w:val="20"/>
          <w:szCs w:val="20"/>
          <w:color w:val="auto"/>
        </w:rPr>
      </w:pPr>
      <w:r>
        <w:rPr>
          <w:rFonts w:ascii="Courier New" w:cs="Courier New" w:eastAsia="Courier New" w:hAnsi="Courier New"/>
          <w:sz w:val="18"/>
          <w:szCs w:val="18"/>
          <w:color w:val="auto"/>
        </w:rPr>
        <w:t>a. The stock issuable under the Plan shall be shares of authorized but unissued Common Stock, including shares repurchased by the Corporation on the open market. The maximum number of shares of Common Stock which may be issued over the term of the Plan shall not exceed 1,700,000 shares, which number of shares may be changed from time to time in accordance with Article 3.4 below.</w:t>
      </w:r>
    </w:p>
    <w:p>
      <w:pPr>
        <w:spacing w:after="0" w:line="93" w:lineRule="exact"/>
        <w:rPr>
          <w:sz w:val="20"/>
          <w:szCs w:val="20"/>
          <w:color w:val="auto"/>
        </w:rPr>
      </w:pPr>
    </w:p>
    <w:p>
      <w:pPr>
        <w:jc w:val="both"/>
        <w:ind w:right="1779" w:firstLine="1580"/>
        <w:spacing w:after="0" w:line="283" w:lineRule="auto"/>
        <w:rPr>
          <w:sz w:val="20"/>
          <w:szCs w:val="20"/>
          <w:color w:val="auto"/>
        </w:rPr>
      </w:pPr>
      <w:r>
        <w:rPr>
          <w:rFonts w:ascii="Courier New" w:cs="Courier New" w:eastAsia="Courier New" w:hAnsi="Courier New"/>
          <w:sz w:val="16"/>
          <w:szCs w:val="16"/>
          <w:color w:val="auto"/>
        </w:rPr>
        <w:t>b. Shares of Common Stock subject to outstanding options shall be available for subsequent issuance under the Plan to the extent (i) the options expire or terminate for any reason prior to exercise in full or (ii) the options are cancelled in accordance with the cancellation-regrant provisions of Article 2.4. However, should the Exercise Price be paid with shares of Common Stock or should shares of Common Stock otherwise issuable under the Plan be withheld by the Corporation in satisfaction of the withholding taxes incurred in connection with the exercise of an option under the Plan, then the number of shares of Common Stock available for issuance under the Plan shall be reduced by the gross number of shares for which the option is exercised, and not by the net number of shares of Common Stock issued to the holder of such option.</w:t>
      </w:r>
    </w:p>
    <w:p>
      <w:pPr>
        <w:spacing w:after="0" w:line="294" w:lineRule="exact"/>
        <w:rPr>
          <w:sz w:val="20"/>
          <w:szCs w:val="20"/>
          <w:color w:val="auto"/>
        </w:rPr>
      </w:pPr>
    </w:p>
    <w:p>
      <w:pPr>
        <w:jc w:val="both"/>
        <w:ind w:right="1779" w:firstLine="1580"/>
        <w:spacing w:after="0" w:line="420" w:lineRule="auto"/>
        <w:rPr>
          <w:sz w:val="20"/>
          <w:szCs w:val="20"/>
          <w:color w:val="auto"/>
        </w:rPr>
      </w:pPr>
      <w:r>
        <w:rPr>
          <w:rFonts w:ascii="Courier New" w:cs="Courier New" w:eastAsia="Courier New" w:hAnsi="Courier New"/>
          <w:sz w:val="16"/>
          <w:szCs w:val="16"/>
          <w:color w:val="auto"/>
        </w:rPr>
        <w:t>c. Should any change be made to the Common Stock by reason of any stock split, stock dividend, recapitalization, combination of shares, exchange</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893" w:right="1440" w:bottom="1440" w:gutter="0" w:footer="0" w:header="0"/>
        </w:sectPr>
      </w:pPr>
    </w:p>
    <w:bookmarkStart w:id="32" w:name="page33"/>
    <w:bookmarkEnd w:id="32"/>
    <w:p>
      <w:pPr>
        <w:jc w:val="both"/>
        <w:ind w:right="1779"/>
        <w:spacing w:after="0" w:line="252" w:lineRule="auto"/>
        <w:rPr>
          <w:sz w:val="20"/>
          <w:szCs w:val="20"/>
          <w:color w:val="auto"/>
        </w:rPr>
      </w:pPr>
      <w:r>
        <w:rPr>
          <w:rFonts w:ascii="Courier New" w:cs="Courier New" w:eastAsia="Courier New" w:hAnsi="Courier New"/>
          <w:sz w:val="18"/>
          <w:szCs w:val="18"/>
          <w:color w:val="auto"/>
        </w:rPr>
        <w:t>of shares or other change affecting the outstanding Common Stock as a class without the Corporation's receipt of consideration, appropriate adjustments shall be made to (i) the maximum number and/or class of securities issuable under the Plan, (ii) the number and/or class of securities for which any one person may be granted options per calendar year, and (iii) the number and/or class of securities and the Exercise Price in effect under each outstanding option in order to prevent the dilution or enlargement of benefits thereunder. The adjustments determined by the Plan Administrator shall be final, binding and conclusive.</w:t>
      </w:r>
    </w:p>
    <w:p>
      <w:pPr>
        <w:spacing w:after="0" w:line="9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2.</w:t>
      </w:r>
    </w:p>
    <w:p>
      <w:pPr>
        <w:spacing w:after="0" w:line="2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OPTION GRANT PROGRAM</w:t>
      </w:r>
    </w:p>
    <w:p>
      <w:pPr>
        <w:ind w:left="316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OPTION TERMS</w:t>
      </w:r>
    </w:p>
    <w:p>
      <w:pPr>
        <w:spacing w:after="0" w:line="201" w:lineRule="exact"/>
        <w:rPr>
          <w:sz w:val="20"/>
          <w:szCs w:val="20"/>
          <w:color w:val="auto"/>
        </w:rPr>
      </w:pPr>
    </w:p>
    <w:p>
      <w:pPr>
        <w:jc w:val="both"/>
        <w:ind w:right="1779" w:firstLine="1580"/>
        <w:spacing w:after="0" w:line="265" w:lineRule="auto"/>
        <w:rPr>
          <w:sz w:val="20"/>
          <w:szCs w:val="20"/>
          <w:color w:val="auto"/>
        </w:rPr>
      </w:pPr>
      <w:r>
        <w:rPr>
          <w:rFonts w:ascii="Courier New" w:cs="Courier New" w:eastAsia="Courier New" w:hAnsi="Courier New"/>
          <w:sz w:val="18"/>
          <w:szCs w:val="18"/>
          <w:color w:val="auto"/>
        </w:rPr>
        <w:t>Each option shall be evidenced by one or more documents in the form approved by the Plan Administrator; provided, however, that each such document shall comply with the terms specified below. Each document evidencing an Incentive Option shall, in addition, be subject to the provisions of Article 2.2 of the Plan, below.</w:t>
      </w:r>
    </w:p>
    <w:p>
      <w:pPr>
        <w:spacing w:after="0" w:line="90" w:lineRule="exact"/>
        <w:rPr>
          <w:sz w:val="20"/>
          <w:szCs w:val="20"/>
          <w:color w:val="auto"/>
        </w:rPr>
      </w:pPr>
    </w:p>
    <w:p>
      <w:pPr>
        <w:ind w:left="2320" w:hanging="732"/>
        <w:spacing w:after="0"/>
        <w:tabs>
          <w:tab w:leader="none" w:pos="23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w:t>
      </w:r>
    </w:p>
    <w:p>
      <w:pPr>
        <w:spacing w:after="0" w:line="30" w:lineRule="exact"/>
        <w:rPr>
          <w:rFonts w:ascii="Courier New" w:cs="Courier New" w:eastAsia="Courier New" w:hAnsi="Courier New"/>
          <w:sz w:val="18"/>
          <w:szCs w:val="18"/>
          <w:color w:val="auto"/>
        </w:rPr>
      </w:pPr>
    </w:p>
    <w:p>
      <w:pPr>
        <w:ind w:left="2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169" w:lineRule="exact"/>
        <w:rPr>
          <w:rFonts w:ascii="Courier New" w:cs="Courier New" w:eastAsia="Courier New" w:hAnsi="Courier New"/>
          <w:sz w:val="18"/>
          <w:szCs w:val="18"/>
          <w:color w:val="auto"/>
        </w:rPr>
      </w:pPr>
    </w:p>
    <w:p>
      <w:pPr>
        <w:jc w:val="both"/>
        <w:ind w:right="1779" w:firstLine="2115"/>
        <w:spacing w:after="0" w:line="292" w:lineRule="auto"/>
        <w:tabs>
          <w:tab w:leader="none" w:pos="2634"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shall be fixed by the Plan Administrator but shall not be less than one hundred percent (100%) of the Fair Market Value per share of Common Stock on the Grant Date.</w:t>
      </w:r>
    </w:p>
    <w:p>
      <w:pPr>
        <w:spacing w:after="0" w:line="66" w:lineRule="exact"/>
        <w:rPr>
          <w:rFonts w:ascii="Courier New" w:cs="Courier New" w:eastAsia="Courier New" w:hAnsi="Courier New"/>
          <w:sz w:val="18"/>
          <w:szCs w:val="18"/>
          <w:color w:val="auto"/>
        </w:rPr>
      </w:pPr>
    </w:p>
    <w:p>
      <w:pPr>
        <w:jc w:val="both"/>
        <w:ind w:right="1779" w:firstLine="2115"/>
        <w:spacing w:after="0" w:line="274" w:lineRule="auto"/>
        <w:tabs>
          <w:tab w:leader="none" w:pos="2528"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shall become immediately due upon exercise of the option and shall, subject to the provisions of Article 3.1, and the documents evidencing the option, be payable in one or more of the forms specified below:</w:t>
      </w:r>
    </w:p>
    <w:p>
      <w:pPr>
        <w:spacing w:after="0" w:line="81" w:lineRule="exact"/>
        <w:rPr>
          <w:rFonts w:ascii="Courier New" w:cs="Courier New" w:eastAsia="Courier New" w:hAnsi="Courier New"/>
          <w:sz w:val="18"/>
          <w:szCs w:val="18"/>
          <w:color w:val="auto"/>
        </w:rPr>
      </w:pPr>
    </w:p>
    <w:p>
      <w:pPr>
        <w:ind w:left="3160" w:hanging="413"/>
        <w:spacing w:after="0"/>
        <w:tabs>
          <w:tab w:leader="none" w:pos="3160"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cash or check made payable to the Corporation,</w:t>
      </w:r>
    </w:p>
    <w:p>
      <w:pPr>
        <w:spacing w:after="0" w:line="201" w:lineRule="exact"/>
        <w:rPr>
          <w:rFonts w:ascii="Courier New" w:cs="Courier New" w:eastAsia="Courier New" w:hAnsi="Courier New"/>
          <w:sz w:val="18"/>
          <w:szCs w:val="18"/>
          <w:color w:val="auto"/>
        </w:rPr>
      </w:pPr>
    </w:p>
    <w:p>
      <w:pPr>
        <w:jc w:val="both"/>
        <w:ind w:left="1380" w:right="1779" w:firstLine="1367"/>
        <w:spacing w:after="0" w:line="292" w:lineRule="auto"/>
        <w:tabs>
          <w:tab w:leader="none" w:pos="3171"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promissory note payable to the Corporation, but only to the extent authorized by the Administrator pursuant to Section 12 of the Plan,</w:t>
      </w:r>
    </w:p>
    <w:p>
      <w:pPr>
        <w:spacing w:after="0" w:line="66" w:lineRule="exact"/>
        <w:rPr>
          <w:rFonts w:ascii="Courier New" w:cs="Courier New" w:eastAsia="Courier New" w:hAnsi="Courier New"/>
          <w:sz w:val="18"/>
          <w:szCs w:val="18"/>
          <w:color w:val="auto"/>
        </w:rPr>
      </w:pPr>
    </w:p>
    <w:p>
      <w:pPr>
        <w:jc w:val="both"/>
        <w:ind w:left="1380" w:right="1779" w:firstLine="1367"/>
        <w:spacing w:after="0" w:line="265" w:lineRule="auto"/>
        <w:tabs>
          <w:tab w:leader="none" w:pos="3276" w:val="left"/>
        </w:tabs>
        <w:numPr>
          <w:ilvl w:val="2"/>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Common Stock held for the requisite period necessary to avoid a charge to the Corporation's earnings for financial reporting purposes and valued at Fair Market Value on the Exercise Date, but only upon prior written approval of the Plan Administrator, or</w:t>
      </w:r>
    </w:p>
    <w:p>
      <w:pPr>
        <w:spacing w:after="0" w:line="89" w:lineRule="exact"/>
        <w:rPr>
          <w:rFonts w:ascii="Courier New" w:cs="Courier New" w:eastAsia="Courier New" w:hAnsi="Courier New"/>
          <w:sz w:val="18"/>
          <w:szCs w:val="18"/>
          <w:color w:val="auto"/>
        </w:rPr>
      </w:pPr>
    </w:p>
    <w:p>
      <w:pPr>
        <w:jc w:val="both"/>
        <w:ind w:left="1380" w:right="1779" w:firstLine="1367"/>
        <w:spacing w:after="0" w:line="281" w:lineRule="auto"/>
        <w:tabs>
          <w:tab w:leader="none" w:pos="3276" w:val="left"/>
        </w:tabs>
        <w:numPr>
          <w:ilvl w:val="2"/>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prior written approval of the Plan Administrator, and to the extent the option is exercised for vested shares, through a special sale and remittance procedure pursuant to which the Optionee shall concurrently provide irrevocable written instructions to (a) a Corporation-designated brokerage firm to effect the immediate sale of the Purchased Shares and remit to the Corporation, out of the sale proceeds available on the settlement date, sufficient funds to cover the aggregate Exercise Price payable for the Purchased Shares plus all applicable federal, state and local income and employment taxes required to be withheld by the Corporation by reason of such exercise and (b) the Corporation to deliver the certificates for the Purchased Shares directly to such brokerage firm in order to complete the sale.</w:t>
      </w:r>
    </w:p>
    <w:p>
      <w:pPr>
        <w:spacing w:after="0" w:line="200" w:lineRule="exact"/>
        <w:rPr>
          <w:sz w:val="20"/>
          <w:szCs w:val="20"/>
          <w:color w:val="auto"/>
        </w:rPr>
      </w:pP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893" w:right="1440" w:bottom="1440" w:gutter="0" w:footer="0" w:header="0"/>
        </w:sectPr>
      </w:pPr>
    </w:p>
    <w:bookmarkStart w:id="33" w:name="page34"/>
    <w:bookmarkEnd w:id="33"/>
    <w:p>
      <w:pPr>
        <w:jc w:val="both"/>
        <w:ind w:right="1779" w:firstLine="1580"/>
        <w:spacing w:after="0" w:line="292" w:lineRule="auto"/>
        <w:rPr>
          <w:sz w:val="20"/>
          <w:szCs w:val="20"/>
          <w:color w:val="auto"/>
        </w:rPr>
      </w:pPr>
      <w:r>
        <w:rPr>
          <w:rFonts w:ascii="Courier New" w:cs="Courier New" w:eastAsia="Courier New" w:hAnsi="Courier New"/>
          <w:sz w:val="18"/>
          <w:szCs w:val="18"/>
          <w:color w:val="auto"/>
        </w:rPr>
        <w:t>Except to the extent such sale and remittance procedure is utilized, payment of the Exercise Price for the Purchased Shares must be made on the Exercise Date.</w:t>
      </w:r>
    </w:p>
    <w:p>
      <w:pPr>
        <w:spacing w:after="0" w:line="66" w:lineRule="exact"/>
        <w:rPr>
          <w:sz w:val="20"/>
          <w:szCs w:val="20"/>
          <w:color w:val="auto"/>
        </w:rPr>
      </w:pPr>
    </w:p>
    <w:p>
      <w:pPr>
        <w:jc w:val="both"/>
        <w:ind w:right="1779" w:firstLine="1580"/>
        <w:spacing w:after="0" w:line="278" w:lineRule="auto"/>
        <w:rPr>
          <w:sz w:val="20"/>
          <w:szCs w:val="20"/>
          <w:color w:val="auto"/>
        </w:rPr>
      </w:pPr>
      <w:r>
        <w:rPr>
          <w:rFonts w:ascii="Courier New" w:cs="Courier New" w:eastAsia="Courier New" w:hAnsi="Courier New"/>
          <w:sz w:val="16"/>
          <w:szCs w:val="16"/>
          <w:color w:val="auto"/>
        </w:rPr>
        <w:t>b. Exercise and Term of Options. Each option shall be exercisable at such time or times, during such period and for such number of shares as shall be determined by the Plan Administrator and set forth in the documents evidencing the option. However, no option shall have a term in excess of ten</w:t>
      </w:r>
    </w:p>
    <w:p>
      <w:pPr>
        <w:spacing w:after="0" w:line="3" w:lineRule="exact"/>
        <w:rPr>
          <w:sz w:val="20"/>
          <w:szCs w:val="20"/>
          <w:color w:val="auto"/>
        </w:rPr>
      </w:pPr>
    </w:p>
    <w:p>
      <w:pPr>
        <w:ind w:left="540" w:hanging="532"/>
        <w:spacing w:after="0"/>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years measured from the Grant Date.</w:t>
      </w:r>
    </w:p>
    <w:p>
      <w:pPr>
        <w:spacing w:after="0" w:line="169" w:lineRule="exact"/>
        <w:rPr>
          <w:rFonts w:ascii="Courier New" w:cs="Courier New" w:eastAsia="Courier New" w:hAnsi="Courier New"/>
          <w:sz w:val="18"/>
          <w:szCs w:val="18"/>
          <w:color w:val="auto"/>
        </w:rPr>
      </w:pPr>
    </w:p>
    <w:p>
      <w:pPr>
        <w:ind w:left="1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 Effect of Termination of Service</w:t>
      </w:r>
    </w:p>
    <w:p>
      <w:pPr>
        <w:spacing w:after="0" w:line="201" w:lineRule="exact"/>
        <w:rPr>
          <w:rFonts w:ascii="Courier New" w:cs="Courier New" w:eastAsia="Courier New" w:hAnsi="Courier New"/>
          <w:sz w:val="18"/>
          <w:szCs w:val="18"/>
          <w:color w:val="auto"/>
        </w:rPr>
      </w:pPr>
    </w:p>
    <w:p>
      <w:pPr>
        <w:ind w:right="1779" w:firstLine="2115"/>
        <w:spacing w:after="0" w:line="347" w:lineRule="auto"/>
        <w:tabs>
          <w:tab w:leader="none" w:pos="2528"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provisions shall govern the exercise of any options held by the Optionee at the time of cessation of Service:</w:t>
      </w:r>
    </w:p>
    <w:p>
      <w:pPr>
        <w:spacing w:after="0" w:line="18" w:lineRule="exact"/>
        <w:rPr>
          <w:rFonts w:ascii="Courier New" w:cs="Courier New" w:eastAsia="Courier New" w:hAnsi="Courier New"/>
          <w:sz w:val="18"/>
          <w:szCs w:val="18"/>
          <w:color w:val="auto"/>
        </w:rPr>
      </w:pPr>
    </w:p>
    <w:p>
      <w:pPr>
        <w:jc w:val="both"/>
        <w:ind w:left="1380" w:right="1779" w:firstLine="1367"/>
        <w:spacing w:after="0" w:line="265" w:lineRule="auto"/>
        <w:tabs>
          <w:tab w:leader="none" w:pos="3276" w:val="left"/>
        </w:tabs>
        <w:numPr>
          <w:ilvl w:val="3"/>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option outstanding at the time of the Optionee's cessation of Service for any reason except death, Permanent Disability or Misconduct shall remain exercisable for a three (3) month period thereafter, provided no option shall be exercisable after the Expiration Date.</w:t>
      </w:r>
    </w:p>
    <w:p>
      <w:pPr>
        <w:spacing w:after="0" w:line="89" w:lineRule="exact"/>
        <w:rPr>
          <w:rFonts w:ascii="Courier New" w:cs="Courier New" w:eastAsia="Courier New" w:hAnsi="Courier New"/>
          <w:sz w:val="18"/>
          <w:szCs w:val="18"/>
          <w:color w:val="auto"/>
        </w:rPr>
      </w:pPr>
    </w:p>
    <w:p>
      <w:pPr>
        <w:jc w:val="both"/>
        <w:ind w:left="1380" w:right="1779" w:firstLine="1367"/>
        <w:spacing w:after="0" w:line="285" w:lineRule="auto"/>
        <w:tabs>
          <w:tab w:leader="none" w:pos="3276" w:val="left"/>
        </w:tabs>
        <w:numPr>
          <w:ilvl w:val="3"/>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option outstanding at the time of the Optionee's cessation of Service due to death or Permanent Disability shall remain exercisable for a twelve (12) month period thereafter, provided no option shall be exercisable after the Expiration Date. Subject to the foregoing, any option exercisable in whole or in part by the Optionee at the time of death may be exercised subsequently by the personal representative of the Optionee's estate or by the person or persons to whom the option is transferred pursuant to the Optionee's will or in accordance with the laws of descent and distribution.</w:t>
      </w:r>
    </w:p>
    <w:p>
      <w:pPr>
        <w:spacing w:after="0" w:line="291" w:lineRule="exact"/>
        <w:rPr>
          <w:rFonts w:ascii="Courier New" w:cs="Courier New" w:eastAsia="Courier New" w:hAnsi="Courier New"/>
          <w:sz w:val="16"/>
          <w:szCs w:val="16"/>
          <w:color w:val="auto"/>
        </w:rPr>
      </w:pPr>
    </w:p>
    <w:p>
      <w:pPr>
        <w:jc w:val="both"/>
        <w:ind w:left="1380" w:right="1779" w:firstLine="1367"/>
        <w:spacing w:after="0" w:line="292" w:lineRule="auto"/>
        <w:tabs>
          <w:tab w:leader="none" w:pos="3171" w:val="left"/>
        </w:tabs>
        <w:numPr>
          <w:ilvl w:val="3"/>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Should the Optionee's Service be terminated for Misconduct, then all outstanding options held by the Optionee shall terminate immediately and cease to be outstanding.</w:t>
      </w:r>
    </w:p>
    <w:p>
      <w:pPr>
        <w:spacing w:after="0" w:line="66" w:lineRule="exact"/>
        <w:rPr>
          <w:rFonts w:ascii="Courier New" w:cs="Courier New" w:eastAsia="Courier New" w:hAnsi="Courier New"/>
          <w:sz w:val="18"/>
          <w:szCs w:val="18"/>
          <w:color w:val="auto"/>
        </w:rPr>
      </w:pPr>
    </w:p>
    <w:p>
      <w:pPr>
        <w:jc w:val="both"/>
        <w:ind w:left="1380" w:right="1779" w:firstLine="1367"/>
        <w:spacing w:after="0" w:line="285" w:lineRule="auto"/>
        <w:tabs>
          <w:tab w:leader="none" w:pos="3276" w:val="left"/>
        </w:tabs>
        <w:numPr>
          <w:ilvl w:val="3"/>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applicable post-Service exercise period, the option may not be exercised in the aggregate for more than the number of shares for which the option is exercisable on the date of the Optionee's cessation of Service; the option shall, immediately upon the Optionee's cessation of Service, terminate and cease to be outstanding to the extent the option is not otherwise at that time exercisable. Upon the expiration of the applicable exercise period or (if earlier) upon the Expiration Date, the option shall terminate and cease to be outstanding for any shares for which the option has not been exercised.</w:t>
      </w:r>
    </w:p>
    <w:p>
      <w:pPr>
        <w:spacing w:after="0" w:line="291" w:lineRule="exact"/>
        <w:rPr>
          <w:rFonts w:ascii="Courier New" w:cs="Courier New" w:eastAsia="Courier New" w:hAnsi="Courier New"/>
          <w:sz w:val="16"/>
          <w:szCs w:val="16"/>
          <w:color w:val="auto"/>
        </w:rPr>
      </w:pPr>
    </w:p>
    <w:p>
      <w:pPr>
        <w:jc w:val="both"/>
        <w:ind w:right="1779" w:firstLine="2115"/>
        <w:spacing w:after="0" w:line="292" w:lineRule="auto"/>
        <w:tabs>
          <w:tab w:leader="none" w:pos="2634" w:val="left"/>
        </w:tabs>
        <w:numPr>
          <w:ilvl w:val="2"/>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Plan Administrator shall have the discretion, exercisable either at the time an option is granted or at any time while the option remains outstanding, to:</w:t>
      </w:r>
    </w:p>
    <w:p>
      <w:pPr>
        <w:spacing w:after="0" w:line="66" w:lineRule="exact"/>
        <w:rPr>
          <w:rFonts w:ascii="Courier New" w:cs="Courier New" w:eastAsia="Courier New" w:hAnsi="Courier New"/>
          <w:sz w:val="18"/>
          <w:szCs w:val="18"/>
          <w:color w:val="auto"/>
        </w:rPr>
      </w:pPr>
    </w:p>
    <w:p>
      <w:pPr>
        <w:jc w:val="both"/>
        <w:ind w:left="1380" w:right="1779" w:firstLine="1367"/>
        <w:spacing w:after="0" w:line="420" w:lineRule="auto"/>
        <w:tabs>
          <w:tab w:leader="none" w:pos="3276" w:val="left"/>
        </w:tabs>
        <w:numPr>
          <w:ilvl w:val="3"/>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period of time for which the option is to remain exercisable following the Optionee's cessation of Service</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893" w:right="1440" w:bottom="1440" w:gutter="0" w:footer="0" w:header="0"/>
        </w:sectPr>
      </w:pPr>
    </w:p>
    <w:bookmarkStart w:id="34" w:name="page35"/>
    <w:bookmarkEnd w:id="34"/>
    <w:p>
      <w:pPr>
        <w:jc w:val="both"/>
        <w:ind w:left="1380" w:right="1779"/>
        <w:spacing w:after="0" w:line="292" w:lineRule="auto"/>
        <w:rPr>
          <w:sz w:val="20"/>
          <w:szCs w:val="20"/>
          <w:color w:val="auto"/>
        </w:rPr>
      </w:pPr>
      <w:r>
        <w:rPr>
          <w:rFonts w:ascii="Courier New" w:cs="Courier New" w:eastAsia="Courier New" w:hAnsi="Courier New"/>
          <w:sz w:val="18"/>
          <w:szCs w:val="18"/>
          <w:color w:val="auto"/>
        </w:rPr>
        <w:t>from the period otherwise in effect for that option to such greater period of time as the Plan Administrator shall deem appropriate, but in no event beyond the Expiration Date, and/or</w:t>
      </w:r>
    </w:p>
    <w:p>
      <w:pPr>
        <w:spacing w:after="0" w:line="66" w:lineRule="exact"/>
        <w:rPr>
          <w:sz w:val="20"/>
          <w:szCs w:val="20"/>
          <w:color w:val="auto"/>
        </w:rPr>
      </w:pPr>
    </w:p>
    <w:p>
      <w:pPr>
        <w:jc w:val="both"/>
        <w:ind w:left="1380" w:right="1779" w:firstLine="1367"/>
        <w:spacing w:after="0" w:line="298" w:lineRule="auto"/>
        <w:tabs>
          <w:tab w:leader="none" w:pos="3276"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 the option to be exercised, during the applicable post-Service exercise period, not only with respect to the number of shares of Common Stock for which such option is exercisable at the time of the Optionee's cessation of Service but also with respect to one or more additional shares that would have vested under the option had the Optionee continued in Service.</w:t>
      </w:r>
    </w:p>
    <w:p>
      <w:pPr>
        <w:spacing w:after="0" w:line="67" w:lineRule="exact"/>
        <w:rPr>
          <w:rFonts w:ascii="Courier New" w:cs="Courier New" w:eastAsia="Courier New" w:hAnsi="Courier New"/>
          <w:sz w:val="16"/>
          <w:szCs w:val="16"/>
          <w:color w:val="auto"/>
        </w:rPr>
      </w:pPr>
    </w:p>
    <w:p>
      <w:pPr>
        <w:jc w:val="both"/>
        <w:ind w:right="1779" w:firstLine="1588"/>
        <w:spacing w:after="0" w:line="274" w:lineRule="auto"/>
        <w:tabs>
          <w:tab w:leader="none" w:pos="200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Rights. The holder of an option shall have no stockholder rights with respect to the shares subject to the option until such person shall have exercised the option, paid the Exercise Price, and become a holder of record of the Purchased Shares.</w:t>
      </w:r>
    </w:p>
    <w:p>
      <w:pPr>
        <w:spacing w:after="0" w:line="81" w:lineRule="exact"/>
        <w:rPr>
          <w:rFonts w:ascii="Courier New" w:cs="Courier New" w:eastAsia="Courier New" w:hAnsi="Courier New"/>
          <w:sz w:val="18"/>
          <w:szCs w:val="18"/>
          <w:color w:val="auto"/>
        </w:rPr>
      </w:pPr>
    </w:p>
    <w:p>
      <w:pPr>
        <w:jc w:val="both"/>
        <w:ind w:right="1779" w:firstLine="1588"/>
        <w:spacing w:after="0" w:line="246" w:lineRule="auto"/>
        <w:tabs>
          <w:tab w:leader="none" w:pos="189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Limited Transferability of Options. During the lifetime of the Optionee, Incentive Options may be exercised only by the Optionee, and shall not be assignable or transferable except by will or the laws of descent and distribution following the Optionee's death. Non-Statutory Options may be assigned or transferred in whole or in part only (i) during the Optionee's lifetime if in connection with the Optionee's estate plan to one or more members of the Optionee's immediate family (spouse and children) or to a trust established exclusively for the benefit of one or more such immediate family members, or (ii) by will or the laws of descent and distribution following the Optionee's death. The assigned portion may only be exercised by the person or persons who acquire a proprietary interest in the option pursuant to the assignment. The terms applicable to the assigned portion shall be the same as those in effect for the option immediately prior to such assignment and shall be set forth in such documents issued to the assignee as the Plan Administrator may deem appropriate.</w:t>
      </w:r>
    </w:p>
    <w:p>
      <w:pPr>
        <w:spacing w:after="0" w:line="106"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INCENTIVE OPTIONS</w:t>
      </w:r>
    </w:p>
    <w:p>
      <w:pPr>
        <w:spacing w:after="0" w:line="201" w:lineRule="exact"/>
        <w:rPr>
          <w:sz w:val="20"/>
          <w:szCs w:val="20"/>
          <w:color w:val="auto"/>
        </w:rPr>
      </w:pPr>
    </w:p>
    <w:p>
      <w:pPr>
        <w:jc w:val="both"/>
        <w:ind w:right="1779" w:firstLine="1580"/>
        <w:spacing w:after="0" w:line="265" w:lineRule="auto"/>
        <w:rPr>
          <w:sz w:val="20"/>
          <w:szCs w:val="20"/>
          <w:color w:val="auto"/>
        </w:rPr>
      </w:pPr>
      <w:r>
        <w:rPr>
          <w:rFonts w:ascii="Courier New" w:cs="Courier New" w:eastAsia="Courier New" w:hAnsi="Courier New"/>
          <w:sz w:val="18"/>
          <w:szCs w:val="18"/>
          <w:color w:val="auto"/>
        </w:rPr>
        <w:t>The terms specified below shall apply to all Incentive Options. Except as modified by the provisions of this Article 2.2, all the provisions of this Plan shall apply to Incentive Options. Options specifically designated as Non-Statutory Options when issued under the Plan shall not be subject to the terms of this Article 2.2.</w:t>
      </w:r>
    </w:p>
    <w:p>
      <w:pPr>
        <w:spacing w:after="0" w:line="90" w:lineRule="exact"/>
        <w:rPr>
          <w:sz w:val="20"/>
          <w:szCs w:val="20"/>
          <w:color w:val="auto"/>
        </w:rPr>
      </w:pPr>
    </w:p>
    <w:p>
      <w:pPr>
        <w:jc w:val="right"/>
        <w:ind w:right="1779"/>
        <w:spacing w:after="0"/>
        <w:tabs>
          <w:tab w:leader="none" w:pos="4940" w:val="left"/>
          <w:tab w:leader="none" w:pos="3780" w:val="left"/>
          <w:tab w:leader="none" w:pos="2820" w:val="left"/>
          <w:tab w:leader="none" w:pos="2300" w:val="left"/>
          <w:tab w:leader="none" w:pos="1560" w:val="left"/>
          <w:tab w:leader="none" w:pos="1140" w:val="left"/>
          <w:tab w:leader="none" w:pos="200" w:val="left"/>
        </w:tabs>
        <w:rPr>
          <w:sz w:val="20"/>
          <w:szCs w:val="20"/>
          <w:color w:val="auto"/>
        </w:rPr>
      </w:pPr>
      <w:r>
        <w:rPr>
          <w:rFonts w:ascii="Courier New" w:cs="Courier New" w:eastAsia="Courier New" w:hAnsi="Courier New"/>
          <w:sz w:val="18"/>
          <w:szCs w:val="18"/>
          <w:color w:val="auto"/>
        </w:rPr>
        <w:t>a. Eligibility.</w:t>
      </w:r>
      <w:r>
        <w:rPr>
          <w:sz w:val="20"/>
          <w:szCs w:val="20"/>
          <w:color w:val="auto"/>
        </w:rPr>
        <w:tab/>
      </w:r>
      <w:r>
        <w:rPr>
          <w:rFonts w:ascii="Courier New" w:cs="Courier New" w:eastAsia="Courier New" w:hAnsi="Courier New"/>
          <w:sz w:val="18"/>
          <w:szCs w:val="18"/>
          <w:color w:val="auto"/>
        </w:rPr>
        <w:t>Incentive</w:t>
        <w:tab/>
        <w:t>Options</w:t>
        <w:tab/>
        <w:t>may</w:t>
        <w:tab/>
        <w:t>only</w:t>
      </w:r>
      <w:r>
        <w:rPr>
          <w:sz w:val="20"/>
          <w:szCs w:val="20"/>
          <w:color w:val="auto"/>
        </w:rPr>
        <w:tab/>
      </w:r>
      <w:r>
        <w:rPr>
          <w:rFonts w:ascii="Courier New" w:cs="Courier New" w:eastAsia="Courier New" w:hAnsi="Courier New"/>
          <w:sz w:val="18"/>
          <w:szCs w:val="18"/>
          <w:color w:val="auto"/>
        </w:rPr>
        <w:t>be</w:t>
        <w:tab/>
        <w:t>granted</w:t>
        <w:tab/>
        <w:t>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169" w:lineRule="exact"/>
        <w:rPr>
          <w:sz w:val="20"/>
          <w:szCs w:val="20"/>
          <w:color w:val="auto"/>
        </w:rPr>
      </w:pPr>
    </w:p>
    <w:p>
      <w:pPr>
        <w:jc w:val="both"/>
        <w:ind w:right="1779" w:firstLine="1580"/>
        <w:spacing w:after="0" w:line="292" w:lineRule="auto"/>
        <w:rPr>
          <w:sz w:val="20"/>
          <w:szCs w:val="20"/>
          <w:color w:val="auto"/>
        </w:rPr>
      </w:pPr>
      <w:r>
        <w:rPr>
          <w:rFonts w:ascii="Courier New" w:cs="Courier New" w:eastAsia="Courier New" w:hAnsi="Courier New"/>
          <w:sz w:val="18"/>
          <w:szCs w:val="18"/>
          <w:color w:val="auto"/>
        </w:rPr>
        <w:t>b. Exercise Price. The Exercise Price shall not be less than one hundred percent (100%) of the Fair Market Value per share of Common Stock on the Grant Date.</w:t>
      </w:r>
    </w:p>
    <w:p>
      <w:pPr>
        <w:spacing w:after="0" w:line="66" w:lineRule="exact"/>
        <w:rPr>
          <w:sz w:val="20"/>
          <w:szCs w:val="20"/>
          <w:color w:val="auto"/>
        </w:rPr>
      </w:pPr>
    </w:p>
    <w:p>
      <w:pPr>
        <w:jc w:val="both"/>
        <w:ind w:right="1779" w:firstLine="1580"/>
        <w:spacing w:after="0" w:line="250" w:lineRule="auto"/>
        <w:rPr>
          <w:sz w:val="20"/>
          <w:szCs w:val="20"/>
          <w:color w:val="auto"/>
        </w:rPr>
      </w:pPr>
      <w:r>
        <w:rPr>
          <w:rFonts w:ascii="Courier New" w:cs="Courier New" w:eastAsia="Courier New" w:hAnsi="Courier New"/>
          <w:sz w:val="18"/>
          <w:szCs w:val="18"/>
          <w:color w:val="auto"/>
        </w:rPr>
        <w:t>c. Dollar Limitation. The aggregate Fair Market Value of the shares of Common Stock (determined as of the respective date or dates of grant) for which one or more options granted to any Employee under the Plan (or any other option plan of the Corporation or any Parent or Subsidiary) may for the first time become exercisable as Incentive Options during any one (1) calendar year shall not exceed the sum of One Hundred Thousand Dollars ($100,000). To the extent the Employee holds two (2) or more such options which become exercisable for the first time in the same calendar year, the foregoing limitation on the exercisability of such options as Incentive Options shall be applied in the order in which such options are granted.</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691" w:right="1440" w:bottom="1440" w:gutter="0" w:footer="0" w:header="0"/>
        </w:sectPr>
      </w:pPr>
    </w:p>
    <w:bookmarkStart w:id="35" w:name="page36"/>
    <w:bookmarkEnd w:id="35"/>
    <w:p>
      <w:pPr>
        <w:jc w:val="both"/>
        <w:ind w:right="1779" w:firstLine="1580"/>
        <w:spacing w:after="0" w:line="265" w:lineRule="auto"/>
        <w:rPr>
          <w:sz w:val="20"/>
          <w:szCs w:val="20"/>
          <w:color w:val="auto"/>
        </w:rPr>
      </w:pPr>
      <w:r>
        <w:rPr>
          <w:rFonts w:ascii="Courier New" w:cs="Courier New" w:eastAsia="Courier New" w:hAnsi="Courier New"/>
          <w:sz w:val="18"/>
          <w:szCs w:val="18"/>
          <w:color w:val="auto"/>
        </w:rPr>
        <w:t>d. 10% Stockholder. If an Employee to whom an Incentive Option is granted is a 10% Stockholder, then the Exercise Price shall not be less than one hundred ten percent (110%) of the Fair Market Value per share of Common Stock on the Grant Date, and the option term shall not exceed five (5) years measured from the Grant Date.</w:t>
      </w:r>
    </w:p>
    <w:p>
      <w:pPr>
        <w:spacing w:after="0" w:line="90" w:lineRule="exact"/>
        <w:rPr>
          <w:sz w:val="20"/>
          <w:szCs w:val="20"/>
          <w:color w:val="auto"/>
        </w:rPr>
      </w:pPr>
    </w:p>
    <w:p>
      <w:pPr>
        <w:jc w:val="both"/>
        <w:ind w:right="1779" w:firstLine="1580"/>
        <w:spacing w:after="0" w:line="274" w:lineRule="auto"/>
        <w:rPr>
          <w:sz w:val="20"/>
          <w:szCs w:val="20"/>
          <w:color w:val="auto"/>
        </w:rPr>
      </w:pPr>
      <w:r>
        <w:rPr>
          <w:rFonts w:ascii="Courier New" w:cs="Courier New" w:eastAsia="Courier New" w:hAnsi="Courier New"/>
          <w:sz w:val="18"/>
          <w:szCs w:val="18"/>
          <w:color w:val="auto"/>
        </w:rPr>
        <w:t>e. Holding Period. Shares purchased pursuant to an option shall cease to qualify for favorable tax treatment as Incentive Option Shares if and to the extent Optionee disposes of such shares within two (2) years of the Grant Date or within one (1) year of Optionee's purchase of said shares.</w:t>
      </w:r>
    </w:p>
    <w:p>
      <w:pPr>
        <w:spacing w:after="0" w:line="8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CORPORATE TRANSACTION/CHANGE IN CONTROL</w:t>
      </w:r>
    </w:p>
    <w:p>
      <w:pPr>
        <w:spacing w:after="0" w:line="201" w:lineRule="exact"/>
        <w:rPr>
          <w:sz w:val="20"/>
          <w:szCs w:val="20"/>
          <w:color w:val="auto"/>
        </w:rPr>
      </w:pPr>
    </w:p>
    <w:p>
      <w:pPr>
        <w:jc w:val="both"/>
        <w:ind w:right="1779" w:firstLine="1580"/>
        <w:spacing w:after="0" w:line="277" w:lineRule="auto"/>
        <w:rPr>
          <w:sz w:val="20"/>
          <w:szCs w:val="20"/>
          <w:color w:val="auto"/>
        </w:rPr>
      </w:pPr>
      <w:r>
        <w:rPr>
          <w:rFonts w:ascii="Courier New" w:cs="Courier New" w:eastAsia="Courier New" w:hAnsi="Courier New"/>
          <w:sz w:val="16"/>
          <w:szCs w:val="16"/>
          <w:color w:val="auto"/>
        </w:rPr>
        <w:t>a. In the event of any Corporate Transaction, and subject to the terms set forth in an Optionee's Stock Option Grant, the Board of Directors shall have the sole authority to elect that each outstanding option shall automatically accelerate so that each such option shall, immediately prior to the effective date of the Corporate Transaction, shall become fully exercisable for all of the shares of Common Stock at the time subject to such option and may be exercised for any or all of those shares as fully-vested shares of Common Stock. The Board may exercise its discretion to accelerate the vesting of options whether or not (i) such option is, in connection with the Corporate Transaction, either to be assumed by the successor corporation or parent thereof or to be replaced with a comparable option to purchase shares of the capital stock of the successor corporation or parent thereof, (ii) such option is to be replaced with a cash incentive program of the successor corporation which preserves the spread existing on the unvested option shares at the time of the Corporate Transaction and provides for subsequent payout in accordance with the same vesting schedule applicable to such option, except to the extent that the acceleration of such option is subject to other limitations imposed by the Plan Administrator at the time of the option grant.</w:t>
      </w:r>
    </w:p>
    <w:p>
      <w:pPr>
        <w:spacing w:after="0" w:line="293" w:lineRule="exact"/>
        <w:rPr>
          <w:sz w:val="20"/>
          <w:szCs w:val="20"/>
          <w:color w:val="auto"/>
        </w:rPr>
      </w:pPr>
    </w:p>
    <w:p>
      <w:pPr>
        <w:jc w:val="both"/>
        <w:ind w:right="1779" w:firstLine="1580"/>
        <w:spacing w:after="0" w:line="298" w:lineRule="auto"/>
        <w:rPr>
          <w:sz w:val="20"/>
          <w:szCs w:val="20"/>
          <w:color w:val="auto"/>
        </w:rPr>
      </w:pPr>
      <w:r>
        <w:rPr>
          <w:rFonts w:ascii="Courier New" w:cs="Courier New" w:eastAsia="Courier New" w:hAnsi="Courier New"/>
          <w:sz w:val="16"/>
          <w:szCs w:val="16"/>
          <w:color w:val="auto"/>
        </w:rPr>
        <w:t>b. The Plan Administrator's discretion under Article 2.3.a. above shall be exercisable either at the time the option is granted or at any time while the option remains outstanding, whether or not those options are to be assumed or replaced in the Corporate Transaction. The Plan Administrator shall also have the discretion to grant options which do not accelerate whether or not such options are assumed in connection with a Corporate Transaction.</w:t>
      </w:r>
    </w:p>
    <w:p>
      <w:pPr>
        <w:spacing w:after="0" w:line="68" w:lineRule="exact"/>
        <w:rPr>
          <w:sz w:val="20"/>
          <w:szCs w:val="20"/>
          <w:color w:val="auto"/>
        </w:rPr>
      </w:pPr>
    </w:p>
    <w:p>
      <w:pPr>
        <w:jc w:val="both"/>
        <w:ind w:right="1779" w:firstLine="1580"/>
        <w:spacing w:after="0" w:line="260" w:lineRule="auto"/>
        <w:rPr>
          <w:sz w:val="20"/>
          <w:szCs w:val="20"/>
          <w:color w:val="auto"/>
        </w:rPr>
      </w:pPr>
      <w:r>
        <w:rPr>
          <w:rFonts w:ascii="Courier New" w:cs="Courier New" w:eastAsia="Courier New" w:hAnsi="Courier New"/>
          <w:sz w:val="18"/>
          <w:szCs w:val="18"/>
          <w:color w:val="auto"/>
        </w:rPr>
        <w:t>c. If the Board of Directors elects the automatic acceleration of some or all of the outstanding options upon the occurrence of a Corporate Transaction, all such outstanding options shall terminate and cease to be outstanding, except to the extent assumed by the successor corporation (or parent thereof) immediately following the consummation of the Corporate Transaction.</w:t>
      </w:r>
    </w:p>
    <w:p>
      <w:pPr>
        <w:spacing w:after="0" w:line="93" w:lineRule="exact"/>
        <w:rPr>
          <w:sz w:val="20"/>
          <w:szCs w:val="20"/>
          <w:color w:val="auto"/>
        </w:rPr>
      </w:pPr>
    </w:p>
    <w:p>
      <w:pPr>
        <w:jc w:val="both"/>
        <w:ind w:right="1779" w:firstLine="1580"/>
        <w:spacing w:after="0" w:line="256" w:lineRule="auto"/>
        <w:rPr>
          <w:sz w:val="20"/>
          <w:szCs w:val="20"/>
          <w:color w:val="auto"/>
        </w:rPr>
      </w:pPr>
      <w:r>
        <w:rPr>
          <w:rFonts w:ascii="Courier New" w:cs="Courier New" w:eastAsia="Courier New" w:hAnsi="Courier New"/>
          <w:sz w:val="18"/>
          <w:szCs w:val="18"/>
          <w:color w:val="auto"/>
        </w:rPr>
        <w:t>d. Each option which is assumed in connection with a Corporate Transaction shall be appropriately adjusted, immediately after such Corporate Transaction, to apply to the number and class of securities that would have been issuable to the Optionee in consummation of such Corporate Transaction had the option been exercised immediately prior to such Corporate Transaction. Appropriate adjustments shall also be made to (i) the number and class of securities available for issuance under the Plan following the consummation of</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691" w:right="1440" w:bottom="1440" w:gutter="0" w:footer="0" w:header="0"/>
        </w:sectPr>
      </w:pPr>
    </w:p>
    <w:bookmarkStart w:id="36" w:name="page37"/>
    <w:bookmarkEnd w:id="36"/>
    <w:p>
      <w:pPr>
        <w:jc w:val="both"/>
        <w:ind w:right="1779"/>
        <w:spacing w:after="0" w:line="265" w:lineRule="auto"/>
        <w:rPr>
          <w:sz w:val="20"/>
          <w:szCs w:val="20"/>
          <w:color w:val="auto"/>
        </w:rPr>
      </w:pPr>
      <w:r>
        <w:rPr>
          <w:rFonts w:ascii="Courier New" w:cs="Courier New" w:eastAsia="Courier New" w:hAnsi="Courier New"/>
          <w:sz w:val="18"/>
          <w:szCs w:val="18"/>
          <w:color w:val="auto"/>
        </w:rPr>
        <w:t>such Corporate Transaction, (ii) the exercise price payable per share under each outstanding option, provided the aggregate exercise price payable for such securities shall remain the same and (iii) the maximum number of securities and/or class of securities for which any one person may be granted stock options.</w:t>
      </w:r>
    </w:p>
    <w:p>
      <w:pPr>
        <w:spacing w:after="0" w:line="90" w:lineRule="exact"/>
        <w:rPr>
          <w:sz w:val="20"/>
          <w:szCs w:val="20"/>
          <w:color w:val="auto"/>
        </w:rPr>
      </w:pPr>
    </w:p>
    <w:p>
      <w:pPr>
        <w:jc w:val="both"/>
        <w:ind w:right="1779" w:firstLine="1580"/>
        <w:spacing w:after="0" w:line="285" w:lineRule="auto"/>
        <w:rPr>
          <w:sz w:val="20"/>
          <w:szCs w:val="20"/>
          <w:color w:val="auto"/>
        </w:rPr>
      </w:pPr>
      <w:r>
        <w:rPr>
          <w:rFonts w:ascii="Courier New" w:cs="Courier New" w:eastAsia="Courier New" w:hAnsi="Courier New"/>
          <w:sz w:val="16"/>
          <w:szCs w:val="16"/>
          <w:color w:val="auto"/>
        </w:rPr>
        <w:t>e. The Plan Administrator shall have the discretion, exercisable at the time the option is granted or at any time while the option remains outstanding, to provide for the automatic acceleration of any options assumed or replaced in a Corporate Transaction that do not otherwise accelerate at that time in the event the Optionee's Service should subsequently terminate by reason of an Involuntary Termination within eighteen (18) months following the effective date of such Corporate Transaction. Any options so accelerated shall remain exercisable for shares until the earlier of (i) the expiration of the option term or (ii) the expiration of the one (1)-year period measured from the effective date of the Involuntary Termination.</w:t>
      </w:r>
    </w:p>
    <w:p>
      <w:pPr>
        <w:spacing w:after="0" w:line="291" w:lineRule="exact"/>
        <w:rPr>
          <w:sz w:val="20"/>
          <w:szCs w:val="20"/>
          <w:color w:val="auto"/>
        </w:rPr>
      </w:pPr>
    </w:p>
    <w:p>
      <w:pPr>
        <w:jc w:val="both"/>
        <w:ind w:right="1779" w:firstLine="1580"/>
        <w:spacing w:after="0" w:line="287" w:lineRule="auto"/>
        <w:rPr>
          <w:sz w:val="20"/>
          <w:szCs w:val="20"/>
          <w:color w:val="auto"/>
        </w:rPr>
      </w:pPr>
      <w:r>
        <w:rPr>
          <w:rFonts w:ascii="Courier New" w:cs="Courier New" w:eastAsia="Courier New" w:hAnsi="Courier New"/>
          <w:sz w:val="16"/>
          <w:szCs w:val="16"/>
          <w:color w:val="auto"/>
        </w:rPr>
        <w:t>f. The Plan Administrator shall have the discretion, exercisable either at the time the option is granted or at any time while the option remains outstanding, to (i) provide for the automatic acceleration of one or more outstanding options upon the occurrence of a Change in Control or (ii) condition any such option acceleration upon the subsequent Involuntary Termination of the Optionee's Service within a specified period (not to exceed eighteen (18) months) following the effective date of such Change in Control. Any options accelerated in connection with a Change in Control shall remain fully exercisable until the Expiration Date or sooner termination of the option term.</w:t>
      </w:r>
    </w:p>
    <w:p>
      <w:pPr>
        <w:spacing w:after="0" w:line="75" w:lineRule="exact"/>
        <w:rPr>
          <w:sz w:val="20"/>
          <w:szCs w:val="20"/>
          <w:color w:val="auto"/>
        </w:rPr>
      </w:pPr>
    </w:p>
    <w:p>
      <w:pPr>
        <w:jc w:val="both"/>
        <w:ind w:right="1779" w:firstLine="1580"/>
        <w:spacing w:after="0" w:line="260" w:lineRule="auto"/>
        <w:rPr>
          <w:sz w:val="20"/>
          <w:szCs w:val="20"/>
          <w:color w:val="auto"/>
        </w:rPr>
      </w:pPr>
      <w:r>
        <w:rPr>
          <w:rFonts w:ascii="Courier New" w:cs="Courier New" w:eastAsia="Courier New" w:hAnsi="Courier New"/>
          <w:sz w:val="18"/>
          <w:szCs w:val="18"/>
          <w:color w:val="auto"/>
        </w:rPr>
        <w:t>g. The portion of any Incentive Option accelerated in connection with a Corporate Transaction or Change in Control shall remain exercisable as an Incentive Option only to the extent the applicable One Hundred Thousand Dollar ($100,000) limitation is not exceeded. To the extent such dollar limitation is exceeded, the accelerated portion of such option shall be exercisable as a Non-Statutory Option under the federal tax laws.</w:t>
      </w:r>
    </w:p>
    <w:p>
      <w:pPr>
        <w:spacing w:after="0" w:line="93" w:lineRule="exact"/>
        <w:rPr>
          <w:sz w:val="20"/>
          <w:szCs w:val="20"/>
          <w:color w:val="auto"/>
        </w:rPr>
      </w:pPr>
    </w:p>
    <w:p>
      <w:pPr>
        <w:jc w:val="both"/>
        <w:ind w:right="1779" w:firstLine="1580"/>
        <w:spacing w:after="0" w:line="274" w:lineRule="auto"/>
        <w:rPr>
          <w:sz w:val="20"/>
          <w:szCs w:val="20"/>
          <w:color w:val="auto"/>
        </w:rPr>
      </w:pPr>
      <w:r>
        <w:rPr>
          <w:rFonts w:ascii="Courier New" w:cs="Courier New" w:eastAsia="Courier New" w:hAnsi="Courier New"/>
          <w:sz w:val="18"/>
          <w:szCs w:val="18"/>
          <w:color w:val="auto"/>
        </w:rPr>
        <w:t>h. The grant of options under the Plan shall in no way affect the right of the Corporation to adjust, reclassify, reorganize or otherwise change its capital or business structure or to merge, consolidate, dissolve, liquidate or sell or transfer all or any part of its business or assets.</w:t>
      </w:r>
    </w:p>
    <w:p>
      <w:pPr>
        <w:spacing w:after="0" w:line="8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3.</w:t>
      </w:r>
    </w:p>
    <w:p>
      <w:pPr>
        <w:spacing w:after="0" w:line="2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ind w:left="35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FINANCING</w:t>
      </w:r>
    </w:p>
    <w:p>
      <w:pPr>
        <w:spacing w:after="0" w:line="201" w:lineRule="exact"/>
        <w:rPr>
          <w:sz w:val="20"/>
          <w:szCs w:val="20"/>
          <w:color w:val="auto"/>
        </w:rPr>
      </w:pPr>
    </w:p>
    <w:p>
      <w:pPr>
        <w:jc w:val="both"/>
        <w:ind w:right="1779" w:firstLine="1580"/>
        <w:spacing w:after="0" w:line="250" w:lineRule="auto"/>
        <w:rPr>
          <w:sz w:val="20"/>
          <w:szCs w:val="20"/>
          <w:color w:val="auto"/>
        </w:rPr>
      </w:pPr>
      <w:r>
        <w:rPr>
          <w:rFonts w:ascii="Courier New" w:cs="Courier New" w:eastAsia="Courier New" w:hAnsi="Courier New"/>
          <w:sz w:val="18"/>
          <w:szCs w:val="18"/>
          <w:color w:val="auto"/>
        </w:rPr>
        <w:t>a. The Plan Administrator may permit any Optionee to pay the option Exercise Price by delivering a promissory note payable in one or more installments. The terms of any such promissory note (including the interest rate and the terms of repayment) shall be established by the Plan Administrator in its sole discretion. Promissory notes may be authorized with or without security or collateral. In all events, the maximum credit available to the Optionee may not exceed the sum of (i) the aggregate option Exercise Price payable for the Purchased Shares plus (ii) the amount of any federal, state and local income and employment tax liability incurred by the Optionee in connection with the option exercise.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893" w:right="1440" w:bottom="1440" w:gutter="0" w:footer="0" w:header="0"/>
        </w:sectPr>
      </w:pPr>
    </w:p>
    <w:bookmarkStart w:id="37" w:name="page38"/>
    <w:bookmarkEnd w:id="37"/>
    <w:p>
      <w:pPr>
        <w:jc w:val="both"/>
        <w:ind w:right="1779" w:firstLine="1580"/>
        <w:spacing w:after="0" w:line="274" w:lineRule="auto"/>
        <w:rPr>
          <w:sz w:val="20"/>
          <w:szCs w:val="20"/>
          <w:color w:val="auto"/>
        </w:rPr>
      </w:pPr>
      <w:r>
        <w:rPr>
          <w:rFonts w:ascii="Courier New" w:cs="Courier New" w:eastAsia="Courier New" w:hAnsi="Courier New"/>
          <w:sz w:val="18"/>
          <w:szCs w:val="18"/>
          <w:color w:val="auto"/>
        </w:rPr>
        <w:t>b. The Plan Administrator may, in its discretion, determine that one or more such promissory notes shall be subject to forgiveness by the Corporation in whole or in part upon such terms as the Plan Administrator may deem appropriate.</w:t>
      </w:r>
    </w:p>
    <w:p>
      <w:pPr>
        <w:spacing w:after="0" w:line="82"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TAX WITHHOLDING</w:t>
      </w:r>
    </w:p>
    <w:p>
      <w:pPr>
        <w:spacing w:after="0" w:line="201" w:lineRule="exact"/>
        <w:rPr>
          <w:sz w:val="20"/>
          <w:szCs w:val="20"/>
          <w:color w:val="auto"/>
        </w:rPr>
      </w:pPr>
    </w:p>
    <w:p>
      <w:pPr>
        <w:jc w:val="both"/>
        <w:ind w:right="1779" w:firstLine="1580"/>
        <w:spacing w:after="0" w:line="274" w:lineRule="auto"/>
        <w:rPr>
          <w:sz w:val="20"/>
          <w:szCs w:val="20"/>
          <w:color w:val="auto"/>
        </w:rPr>
      </w:pPr>
      <w:r>
        <w:rPr>
          <w:rFonts w:ascii="Courier New" w:cs="Courier New" w:eastAsia="Courier New" w:hAnsi="Courier New"/>
          <w:sz w:val="18"/>
          <w:szCs w:val="18"/>
          <w:color w:val="auto"/>
        </w:rPr>
        <w:t>a. The Corporation's obligation to deliver shares of Common Stock upon the exercise of options under the Plan shall be subject to the satisfaction of all applicable federal, state and local income and employment tax withholding requirements.</w:t>
      </w:r>
    </w:p>
    <w:p>
      <w:pPr>
        <w:spacing w:after="0" w:line="82" w:lineRule="exact"/>
        <w:rPr>
          <w:sz w:val="20"/>
          <w:szCs w:val="20"/>
          <w:color w:val="auto"/>
        </w:rPr>
      </w:pPr>
    </w:p>
    <w:p>
      <w:pPr>
        <w:jc w:val="both"/>
        <w:ind w:right="1779" w:firstLine="1580"/>
        <w:spacing w:after="0" w:line="265" w:lineRule="auto"/>
        <w:rPr>
          <w:sz w:val="20"/>
          <w:szCs w:val="20"/>
          <w:color w:val="auto"/>
        </w:rPr>
      </w:pPr>
      <w:r>
        <w:rPr>
          <w:rFonts w:ascii="Courier New" w:cs="Courier New" w:eastAsia="Courier New" w:hAnsi="Courier New"/>
          <w:sz w:val="18"/>
          <w:szCs w:val="18"/>
          <w:color w:val="auto"/>
        </w:rPr>
        <w:t>b. The Plan Administrator may, in its discretion, provide any or all holders of Non-Statutory Options under the Plan with the right to use shares of Common Stock in satisfaction of all or part of the Taxes incurred by such holders in connection with the exercise of their options. Such right may be provided to any such holder in either or both of the following formats:</w:t>
      </w:r>
    </w:p>
    <w:p>
      <w:pPr>
        <w:spacing w:after="0" w:line="90" w:lineRule="exact"/>
        <w:rPr>
          <w:sz w:val="20"/>
          <w:szCs w:val="20"/>
          <w:color w:val="auto"/>
        </w:rPr>
      </w:pPr>
    </w:p>
    <w:p>
      <w:pPr>
        <w:jc w:val="both"/>
        <w:ind w:left="860" w:right="1779" w:firstLine="1466"/>
        <w:spacing w:after="0" w:line="260" w:lineRule="auto"/>
        <w:tabs>
          <w:tab w:leader="none" w:pos="286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Withholding: The election to have the Corporation withhold, from the shares of Common Stock otherwise issuable upon the exercise of such Non-Statutory Option, a portion of those shares with an aggregate Fair Market Value equal to the percentage of the Taxes (not to exceed one hundred percent (100%)) designated by the holder.</w:t>
      </w:r>
    </w:p>
    <w:p>
      <w:pPr>
        <w:spacing w:after="0" w:line="92" w:lineRule="exact"/>
        <w:rPr>
          <w:rFonts w:ascii="Courier New" w:cs="Courier New" w:eastAsia="Courier New" w:hAnsi="Courier New"/>
          <w:sz w:val="18"/>
          <w:szCs w:val="18"/>
          <w:color w:val="auto"/>
        </w:rPr>
      </w:pPr>
    </w:p>
    <w:p>
      <w:pPr>
        <w:jc w:val="both"/>
        <w:ind w:left="860" w:right="1779" w:firstLine="1466"/>
        <w:spacing w:after="0" w:line="260" w:lineRule="auto"/>
        <w:tabs>
          <w:tab w:leader="none" w:pos="286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Delivery: The election to deliver to the Corporation, at the time the Non-Statutory Option is exercised, one or more shares of Common Stock previously acquired by such holder (other than in connection with the option exercise triggering the Taxes) with an aggregate Fair Market Value equal to the percentage of the Taxes (not to exceed one hundred percent (100%)) designated by the holder.</w:t>
      </w:r>
    </w:p>
    <w:p>
      <w:pPr>
        <w:spacing w:after="0" w:line="93"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6"/>
          <w:szCs w:val="16"/>
          <w:color w:val="auto"/>
        </w:rPr>
        <w:t>EFFECTIVE DATE AND TERM OF THE PLAN</w:t>
      </w:r>
    </w:p>
    <w:p>
      <w:pPr>
        <w:spacing w:after="0" w:line="201" w:lineRule="exact"/>
        <w:rPr>
          <w:sz w:val="20"/>
          <w:szCs w:val="20"/>
          <w:color w:val="auto"/>
        </w:rPr>
      </w:pPr>
    </w:p>
    <w:p>
      <w:pPr>
        <w:jc w:val="both"/>
        <w:ind w:right="1779" w:firstLine="1580"/>
        <w:spacing w:after="0" w:line="260" w:lineRule="auto"/>
        <w:rPr>
          <w:sz w:val="20"/>
          <w:szCs w:val="20"/>
          <w:color w:val="auto"/>
        </w:rPr>
      </w:pPr>
      <w:r>
        <w:rPr>
          <w:rFonts w:ascii="Courier New" w:cs="Courier New" w:eastAsia="Courier New" w:hAnsi="Courier New"/>
          <w:sz w:val="18"/>
          <w:szCs w:val="18"/>
          <w:color w:val="auto"/>
        </w:rPr>
        <w:t>a. The Plan shall become effective on the Plan Effective Date. However, no shares shall be issued under the Plan pursuant to Incentive Options until the Plan is approved by the Corporation's stockholders. If such stockholder approval is not obtained within twelve (12) months after the Plan Effective Date, then all Incentive Options previously granted under this Plan shall automatically convert into Non-Statutory Options.</w:t>
      </w:r>
    </w:p>
    <w:p>
      <w:pPr>
        <w:spacing w:after="0" w:line="93" w:lineRule="exact"/>
        <w:rPr>
          <w:sz w:val="20"/>
          <w:szCs w:val="20"/>
          <w:color w:val="auto"/>
        </w:rPr>
      </w:pPr>
    </w:p>
    <w:p>
      <w:pPr>
        <w:jc w:val="both"/>
        <w:ind w:right="1779" w:firstLine="1580"/>
        <w:spacing w:after="0" w:line="260" w:lineRule="auto"/>
        <w:rPr>
          <w:sz w:val="20"/>
          <w:szCs w:val="20"/>
          <w:color w:val="auto"/>
        </w:rPr>
      </w:pPr>
      <w:r>
        <w:rPr>
          <w:rFonts w:ascii="Courier New" w:cs="Courier New" w:eastAsia="Courier New" w:hAnsi="Courier New"/>
          <w:sz w:val="18"/>
          <w:szCs w:val="18"/>
          <w:color w:val="auto"/>
        </w:rPr>
        <w:t>b. The Plan shall terminate upon the earliest of (i) June 10, 2008, (ii) the date on which all shares available for issuance under the Plan shall have been issued, or (iii) the termination of all outstanding options in connection with a Corporate Transaction. Upon such Plan termination, all outstanding options shall continue to have force and effect in accordance with the provisions of the documents evidencing such options.</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691" w:right="1440" w:bottom="1440" w:gutter="0" w:footer="0" w:header="0"/>
        </w:sectPr>
      </w:pPr>
    </w:p>
    <w:bookmarkStart w:id="38" w:name="page39"/>
    <w:bookmarkEnd w:id="38"/>
    <w:p>
      <w:pPr>
        <w:ind w:left="860"/>
        <w:spacing w:after="0"/>
        <w:tabs>
          <w:tab w:leader="none" w:pos="156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6"/>
          <w:szCs w:val="16"/>
          <w:color w:val="auto"/>
        </w:rPr>
        <w:t>AMENDMENT OF THE PLAN</w:t>
      </w:r>
    </w:p>
    <w:p>
      <w:pPr>
        <w:spacing w:after="0" w:line="201" w:lineRule="exact"/>
        <w:rPr>
          <w:sz w:val="20"/>
          <w:szCs w:val="20"/>
          <w:color w:val="auto"/>
        </w:rPr>
      </w:pPr>
    </w:p>
    <w:p>
      <w:pPr>
        <w:jc w:val="both"/>
        <w:ind w:right="1779" w:firstLine="1580"/>
        <w:spacing w:after="0" w:line="252" w:lineRule="auto"/>
        <w:rPr>
          <w:sz w:val="20"/>
          <w:szCs w:val="20"/>
          <w:color w:val="auto"/>
        </w:rPr>
      </w:pPr>
      <w:r>
        <w:rPr>
          <w:rFonts w:ascii="Courier New" w:cs="Courier New" w:eastAsia="Courier New" w:hAnsi="Courier New"/>
          <w:sz w:val="18"/>
          <w:szCs w:val="18"/>
          <w:color w:val="auto"/>
        </w:rPr>
        <w:t>a. The Board shall have complete and exclusive power and authority to amend or modify the Plan in any or all respects, or to cancel any grants made thereunder; provided, however, that no such amendment, modification, or cancellation shall adversely affect any rights and obligations with respect to options at the time outstanding under the Plan unless each affected Optionee consents to such amendment, modification, or cancellation. In addition, amendments to the Plan shall be subject to approval of the Corporation's stockholders to the extent required by applicable laws, regulations, or Nasdaq or Stock Exchange requirements.</w:t>
      </w:r>
    </w:p>
    <w:p>
      <w:pPr>
        <w:spacing w:after="0" w:line="99" w:lineRule="exact"/>
        <w:rPr>
          <w:sz w:val="20"/>
          <w:szCs w:val="20"/>
          <w:color w:val="auto"/>
        </w:rPr>
      </w:pPr>
    </w:p>
    <w:p>
      <w:pPr>
        <w:jc w:val="both"/>
        <w:ind w:right="1779" w:firstLine="1588"/>
        <w:spacing w:after="0" w:line="256" w:lineRule="auto"/>
        <w:tabs>
          <w:tab w:leader="none" w:pos="2002"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to purchase shares of Common Stock may be granted under the Plan that are in each instance in excess of the number of shares then available for issuance under the Plan, provided any excess shares actually issued are held in escrow until there is obtained Board approval (and shareholder approval if required by applicable laws, regulations, or Stock Exchange requirements) of an amendment sufficiently increasing the number of shares of Common Stock available for issuance under the Plan.</w:t>
      </w:r>
    </w:p>
    <w:p>
      <w:pPr>
        <w:spacing w:after="0" w:line="98"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6"/>
          <w:szCs w:val="16"/>
          <w:color w:val="auto"/>
        </w:rPr>
        <w:t>USE OF PROCEEDS</w:t>
      </w:r>
    </w:p>
    <w:p>
      <w:pPr>
        <w:spacing w:after="0" w:line="201" w:lineRule="exact"/>
        <w:rPr>
          <w:sz w:val="20"/>
          <w:szCs w:val="20"/>
          <w:color w:val="auto"/>
        </w:rPr>
      </w:pPr>
    </w:p>
    <w:p>
      <w:pPr>
        <w:jc w:val="both"/>
        <w:ind w:right="1779" w:firstLine="1580"/>
        <w:spacing w:after="0" w:line="292" w:lineRule="auto"/>
        <w:rPr>
          <w:sz w:val="20"/>
          <w:szCs w:val="20"/>
          <w:color w:val="auto"/>
        </w:rPr>
      </w:pPr>
      <w:r>
        <w:rPr>
          <w:rFonts w:ascii="Courier New" w:cs="Courier New" w:eastAsia="Courier New" w:hAnsi="Courier New"/>
          <w:sz w:val="18"/>
          <w:szCs w:val="18"/>
          <w:color w:val="auto"/>
        </w:rPr>
        <w:t>Any cash proceeds received by the Corporation from the sale of shares of Common Stock under the Plan shall be used for general corporate purposes.</w:t>
      </w:r>
    </w:p>
    <w:p>
      <w:pPr>
        <w:spacing w:after="0" w:line="66"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REGULATORY APPROVALS</w:t>
      </w:r>
    </w:p>
    <w:p>
      <w:pPr>
        <w:spacing w:after="0" w:line="201" w:lineRule="exact"/>
        <w:rPr>
          <w:sz w:val="20"/>
          <w:szCs w:val="20"/>
          <w:color w:val="auto"/>
        </w:rPr>
      </w:pPr>
    </w:p>
    <w:p>
      <w:pPr>
        <w:jc w:val="both"/>
        <w:ind w:right="1779" w:firstLine="1580"/>
        <w:spacing w:after="0" w:line="260" w:lineRule="auto"/>
        <w:rPr>
          <w:sz w:val="20"/>
          <w:szCs w:val="20"/>
          <w:color w:val="auto"/>
        </w:rPr>
      </w:pPr>
      <w:r>
        <w:rPr>
          <w:rFonts w:ascii="Courier New" w:cs="Courier New" w:eastAsia="Courier New" w:hAnsi="Courier New"/>
          <w:sz w:val="18"/>
          <w:szCs w:val="18"/>
          <w:color w:val="auto"/>
        </w:rPr>
        <w:t>a. The implementation of the Plan, the granting of any option under the Plan, and the issuance of any shares of Common Stock upon the exercise of any option shall be subject to the Corporation's obtaining all approvals and permits required by regulatory authorities having jurisdiction over the Plan and the options granted under it, and the shares of Common Stock issued pursuant to the Plan.</w:t>
      </w:r>
    </w:p>
    <w:p>
      <w:pPr>
        <w:spacing w:after="0" w:line="93" w:lineRule="exact"/>
        <w:rPr>
          <w:sz w:val="20"/>
          <w:szCs w:val="20"/>
          <w:color w:val="auto"/>
        </w:rPr>
      </w:pPr>
    </w:p>
    <w:p>
      <w:pPr>
        <w:jc w:val="both"/>
        <w:ind w:right="1779" w:firstLine="1580"/>
        <w:spacing w:after="0" w:line="265" w:lineRule="auto"/>
        <w:rPr>
          <w:sz w:val="20"/>
          <w:szCs w:val="20"/>
          <w:color w:val="auto"/>
        </w:rPr>
      </w:pPr>
      <w:r>
        <w:rPr>
          <w:rFonts w:ascii="Courier New" w:cs="Courier New" w:eastAsia="Courier New" w:hAnsi="Courier New"/>
          <w:sz w:val="18"/>
          <w:szCs w:val="18"/>
          <w:color w:val="auto"/>
        </w:rPr>
        <w:t>b. No shares of Common Stock shall be issued or delivered under the Plan unless and until there shall have been compliance with all applicable requirements of federal and state securities laws and all applicable listing requirements of any stock exchange (or the Nasdaq market, if applicable) on which Common Stock is then listed for trading.</w:t>
      </w:r>
    </w:p>
    <w:p>
      <w:pPr>
        <w:spacing w:after="0" w:line="90"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6"/>
          <w:szCs w:val="16"/>
          <w:color w:val="auto"/>
        </w:rPr>
        <w:t>NO EMPLOYMENT/SERVICE RIGHTS</w:t>
      </w:r>
    </w:p>
    <w:p>
      <w:pPr>
        <w:spacing w:after="0" w:line="201" w:lineRule="exact"/>
        <w:rPr>
          <w:sz w:val="20"/>
          <w:szCs w:val="20"/>
          <w:color w:val="auto"/>
        </w:rPr>
      </w:pPr>
    </w:p>
    <w:p>
      <w:pPr>
        <w:jc w:val="both"/>
        <w:ind w:right="1779" w:firstLine="1580"/>
        <w:spacing w:after="0" w:line="260" w:lineRule="auto"/>
        <w:rPr>
          <w:sz w:val="20"/>
          <w:szCs w:val="20"/>
          <w:color w:val="auto"/>
        </w:rPr>
      </w:pPr>
      <w:r>
        <w:rPr>
          <w:rFonts w:ascii="Courier New" w:cs="Courier New" w:eastAsia="Courier New" w:hAnsi="Courier New"/>
          <w:sz w:val="18"/>
          <w:szCs w:val="18"/>
          <w:color w:val="auto"/>
        </w:rPr>
        <w:t>Nothing in the Plan shall confer upon the Optionee any right to continue in Service for any period of specific duration or interfere with or otherwise restrict in any way the rights of the Corporation (or any Parent or Subsidiary employing or retaining such person) or of the Optionee, which rights are hereby expressly reserved by each, to terminate such person's Service at any time for any reason, with or without cause.</w:t>
      </w: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WITH ALL AMENDMENTS THROUGH AUGUST 7,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893" w:right="1440" w:bottom="1440" w:gutter="0" w:footer="0" w:header="0"/>
        </w:sectPr>
      </w:pPr>
    </w:p>
    <w:bookmarkStart w:id="39" w:name="page40"/>
    <w:bookmarkEnd w:id="39"/>
    <w:p>
      <w:pPr>
        <w:ind w:left="3800"/>
        <w:spacing w:after="0"/>
        <w:rPr>
          <w:sz w:val="20"/>
          <w:szCs w:val="20"/>
          <w:color w:val="auto"/>
        </w:rPr>
      </w:pPr>
      <w:r>
        <w:rPr>
          <w:rFonts w:ascii="Courier New" w:cs="Courier New" w:eastAsia="Courier New" w:hAnsi="Courier New"/>
          <w:sz w:val="18"/>
          <w:szCs w:val="18"/>
          <w:color w:val="auto"/>
        </w:rPr>
        <w:t>APPENDIX</w:t>
      </w:r>
    </w:p>
    <w:p>
      <w:pPr>
        <w:spacing w:after="0" w:line="3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1779" w:firstLine="1580"/>
        <w:spacing w:after="0" w:line="347" w:lineRule="auto"/>
        <w:rPr>
          <w:sz w:val="20"/>
          <w:szCs w:val="20"/>
          <w:color w:val="auto"/>
        </w:rPr>
      </w:pPr>
      <w:r>
        <w:rPr>
          <w:rFonts w:ascii="Courier New" w:cs="Courier New" w:eastAsia="Courier New" w:hAnsi="Courier New"/>
          <w:sz w:val="18"/>
          <w:szCs w:val="18"/>
          <w:color w:val="auto"/>
        </w:rPr>
        <w:t>The following definitions shall be in effect under the Plan and the Plan Documents:</w:t>
      </w: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0.1. Board shall mean the Corporation's Board of Directors.</w:t>
      </w:r>
    </w:p>
    <w:p>
      <w:pPr>
        <w:spacing w:after="0" w:line="201" w:lineRule="exact"/>
        <w:rPr>
          <w:sz w:val="20"/>
          <w:szCs w:val="20"/>
          <w:color w:val="auto"/>
        </w:rPr>
      </w:pPr>
    </w:p>
    <w:p>
      <w:pPr>
        <w:ind w:right="1779" w:firstLine="851"/>
        <w:spacing w:after="0" w:line="347" w:lineRule="auto"/>
        <w:tabs>
          <w:tab w:leader="none" w:pos="115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Control shall mean a change in ownership or control of the Corporation effected through either of the following transactions:</w:t>
      </w:r>
    </w:p>
    <w:p>
      <w:pPr>
        <w:spacing w:after="0" w:line="18" w:lineRule="exact"/>
        <w:rPr>
          <w:rFonts w:ascii="Courier New" w:cs="Courier New" w:eastAsia="Courier New" w:hAnsi="Courier New"/>
          <w:sz w:val="18"/>
          <w:szCs w:val="18"/>
          <w:color w:val="auto"/>
        </w:rPr>
      </w:pPr>
    </w:p>
    <w:p>
      <w:pPr>
        <w:jc w:val="both"/>
        <w:ind w:left="860" w:right="1779" w:firstLine="1466"/>
        <w:spacing w:after="0" w:line="252" w:lineRule="auto"/>
        <w:tabs>
          <w:tab w:leader="none" w:pos="2756"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directly or indirectly, by any person or related group of persons (other than the Corporation or a person that directly or indirectly controls, is controlled by, or is under common control with, the Corporation), of beneficial ownership (within the meaning of Rule 13d-3 of the 1934 Act) of securities possessing more than fifty percent (50%) of the total combined voting power of the Corporation's outstanding securities pursuant to a tender or exchange offer made directly to the Corporation's stockholders, which the Board does not recommend such stockholders to accept, or</w:t>
      </w:r>
    </w:p>
    <w:p>
      <w:pPr>
        <w:spacing w:after="0" w:line="98" w:lineRule="exact"/>
        <w:rPr>
          <w:rFonts w:ascii="Courier New" w:cs="Courier New" w:eastAsia="Courier New" w:hAnsi="Courier New"/>
          <w:sz w:val="18"/>
          <w:szCs w:val="18"/>
          <w:color w:val="auto"/>
        </w:rPr>
      </w:pPr>
    </w:p>
    <w:p>
      <w:pPr>
        <w:jc w:val="both"/>
        <w:ind w:left="860" w:right="1779" w:firstLine="1466"/>
        <w:spacing w:after="0" w:line="252" w:lineRule="auto"/>
        <w:tabs>
          <w:tab w:leader="none" w:pos="286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change in the composition of the Board over a period of thirty-six (36) consecutive months or less such that a majority of the Board members ceases, by reason of one or more contested elections for Board membership, to be comprised of individuals who either (A) have been Board members continuously since the beginning of such period or (B) have been elected or nominated for election as Board members during such period by at least a majority of the Board members described in clause (A) who were still in office at the time the Board approved such election or nomination.</w:t>
      </w:r>
    </w:p>
    <w:p>
      <w:pPr>
        <w:spacing w:after="0" w:line="98"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Code shall mean the Internal Revenue Code of 1986, as amended.</w:t>
      </w:r>
    </w:p>
    <w:p>
      <w:pPr>
        <w:spacing w:after="0" w:line="201" w:lineRule="exact"/>
        <w:rPr>
          <w:rFonts w:ascii="Courier New" w:cs="Courier New" w:eastAsia="Courier New" w:hAnsi="Courier New"/>
          <w:sz w:val="18"/>
          <w:szCs w:val="18"/>
          <w:color w:val="auto"/>
        </w:rPr>
      </w:pPr>
    </w:p>
    <w:p>
      <w:pPr>
        <w:ind w:left="1160" w:hanging="309"/>
        <w:spacing w:after="0"/>
        <w:tabs>
          <w:tab w:leader="none" w:pos="116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shall mean the Corporation's common stock.</w:t>
      </w:r>
    </w:p>
    <w:p>
      <w:pPr>
        <w:spacing w:after="0" w:line="201" w:lineRule="exact"/>
        <w:rPr>
          <w:rFonts w:ascii="Courier New" w:cs="Courier New" w:eastAsia="Courier New" w:hAnsi="Courier New"/>
          <w:sz w:val="18"/>
          <w:szCs w:val="18"/>
          <w:color w:val="auto"/>
        </w:rPr>
      </w:pPr>
    </w:p>
    <w:p>
      <w:pPr>
        <w:ind w:right="1779" w:firstLine="851"/>
        <w:spacing w:after="0" w:line="347" w:lineRule="auto"/>
        <w:tabs>
          <w:tab w:leader="none" w:pos="136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Transaction shall mean either of the following stockholder-approved transactions to which the Corporation is a party:</w:t>
      </w:r>
    </w:p>
    <w:p>
      <w:pPr>
        <w:spacing w:after="0" w:line="18" w:lineRule="exact"/>
        <w:rPr>
          <w:rFonts w:ascii="Courier New" w:cs="Courier New" w:eastAsia="Courier New" w:hAnsi="Courier New"/>
          <w:sz w:val="18"/>
          <w:szCs w:val="18"/>
          <w:color w:val="auto"/>
        </w:rPr>
      </w:pPr>
    </w:p>
    <w:p>
      <w:pPr>
        <w:jc w:val="both"/>
        <w:ind w:left="860" w:right="1779" w:firstLine="1466"/>
        <w:spacing w:after="0" w:line="265" w:lineRule="auto"/>
        <w:tabs>
          <w:tab w:leader="none" w:pos="286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in which securities possessing more than fifty percent (50%) of the total combined voting power of the Corporation's outstanding securities are transferred to a person or persons different from the persons holding those securities immediately prior to such transaction; or</w:t>
      </w:r>
    </w:p>
    <w:p>
      <w:pPr>
        <w:spacing w:after="0" w:line="89" w:lineRule="exact"/>
        <w:rPr>
          <w:rFonts w:ascii="Courier New" w:cs="Courier New" w:eastAsia="Courier New" w:hAnsi="Courier New"/>
          <w:sz w:val="18"/>
          <w:szCs w:val="18"/>
          <w:color w:val="auto"/>
        </w:rPr>
      </w:pPr>
    </w:p>
    <w:p>
      <w:pPr>
        <w:jc w:val="both"/>
        <w:ind w:left="860" w:right="1779" w:firstLine="1466"/>
        <w:spacing w:after="0" w:line="292" w:lineRule="auto"/>
        <w:tabs>
          <w:tab w:leader="none" w:pos="2861"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transfer or other disposition of all or substantially all of the Corporation's assets in complete liquidation or dissolution of the Corporation.</w:t>
      </w:r>
    </w:p>
    <w:p>
      <w:pPr>
        <w:spacing w:after="0" w:line="66" w:lineRule="exact"/>
        <w:rPr>
          <w:rFonts w:ascii="Courier New" w:cs="Courier New" w:eastAsia="Courier New" w:hAnsi="Courier New"/>
          <w:sz w:val="18"/>
          <w:szCs w:val="18"/>
          <w:color w:val="auto"/>
        </w:rPr>
      </w:pPr>
    </w:p>
    <w:p>
      <w:pPr>
        <w:ind w:right="1779" w:firstLine="851"/>
        <w:spacing w:after="0" w:line="347" w:lineRule="auto"/>
        <w:tabs>
          <w:tab w:leader="none" w:pos="1159"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Eligible Director shall mean a non-employee Board member eligible to participate in the Plan.</w:t>
      </w:r>
    </w:p>
    <w:p>
      <w:pPr>
        <w:spacing w:after="0" w:line="18" w:lineRule="exact"/>
        <w:rPr>
          <w:rFonts w:ascii="Courier New" w:cs="Courier New" w:eastAsia="Courier New" w:hAnsi="Courier New"/>
          <w:sz w:val="18"/>
          <w:szCs w:val="18"/>
          <w:color w:val="auto"/>
        </w:rPr>
      </w:pPr>
    </w:p>
    <w:p>
      <w:pPr>
        <w:jc w:val="both"/>
        <w:ind w:right="1779" w:firstLine="851"/>
        <w:spacing w:after="0" w:line="420" w:lineRule="auto"/>
        <w:tabs>
          <w:tab w:leader="none" w:pos="1264"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shall mean an individual who is in the employ of the Corporation (or any Parent or Subsidiary), subject to the control and direction</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1298" w:right="1440" w:bottom="1440" w:gutter="0" w:footer="0" w:header="0"/>
        </w:sectPr>
      </w:pPr>
    </w:p>
    <w:bookmarkStart w:id="40" w:name="page41"/>
    <w:bookmarkEnd w:id="40"/>
    <w:p>
      <w:pPr>
        <w:ind w:right="1779"/>
        <w:spacing w:after="0" w:line="347" w:lineRule="auto"/>
        <w:rPr>
          <w:sz w:val="20"/>
          <w:szCs w:val="20"/>
          <w:color w:val="auto"/>
        </w:rPr>
      </w:pPr>
      <w:r>
        <w:rPr>
          <w:rFonts w:ascii="Courier New" w:cs="Courier New" w:eastAsia="Courier New" w:hAnsi="Courier New"/>
          <w:sz w:val="18"/>
          <w:szCs w:val="18"/>
          <w:color w:val="auto"/>
        </w:rPr>
        <w:t>of the employer entity as to both the work to be performed and the manner and method of performance.</w:t>
      </w:r>
    </w:p>
    <w:p>
      <w:pPr>
        <w:spacing w:after="0" w:line="18" w:lineRule="exact"/>
        <w:rPr>
          <w:sz w:val="20"/>
          <w:szCs w:val="20"/>
          <w:color w:val="auto"/>
        </w:rPr>
      </w:pPr>
    </w:p>
    <w:p>
      <w:pPr>
        <w:ind w:right="1779" w:firstLine="851"/>
        <w:spacing w:after="0" w:line="347" w:lineRule="auto"/>
        <w:tabs>
          <w:tab w:leader="none" w:pos="115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Date shall mean the date on which the Corporation shall have received written notice of the option exercise.</w:t>
      </w:r>
    </w:p>
    <w:p>
      <w:pPr>
        <w:spacing w:after="0" w:line="18" w:lineRule="exact"/>
        <w:rPr>
          <w:rFonts w:ascii="Courier New" w:cs="Courier New" w:eastAsia="Courier New" w:hAnsi="Courier New"/>
          <w:sz w:val="18"/>
          <w:szCs w:val="18"/>
          <w:color w:val="auto"/>
        </w:rPr>
      </w:pPr>
    </w:p>
    <w:p>
      <w:pPr>
        <w:ind w:right="1779" w:firstLine="851"/>
        <w:spacing w:after="0" w:line="347" w:lineRule="auto"/>
        <w:tabs>
          <w:tab w:leader="none" w:pos="115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shall mean the exercise price per share as specified in the Stock Option Grant.</w:t>
      </w:r>
    </w:p>
    <w:p>
      <w:pPr>
        <w:spacing w:after="0" w:line="18" w:lineRule="exact"/>
        <w:rPr>
          <w:rFonts w:ascii="Courier New" w:cs="Courier New" w:eastAsia="Courier New" w:hAnsi="Courier New"/>
          <w:sz w:val="18"/>
          <w:szCs w:val="18"/>
          <w:color w:val="auto"/>
        </w:rPr>
      </w:pPr>
    </w:p>
    <w:p>
      <w:pPr>
        <w:ind w:right="1779" w:firstLine="851"/>
        <w:spacing w:after="0" w:line="347"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Date shall mean the date on which the option expires as specified in the Stock Option Grant.</w:t>
      </w:r>
    </w:p>
    <w:p>
      <w:pPr>
        <w:spacing w:after="0" w:line="18" w:lineRule="exact"/>
        <w:rPr>
          <w:rFonts w:ascii="Courier New" w:cs="Courier New" w:eastAsia="Courier New" w:hAnsi="Courier New"/>
          <w:sz w:val="18"/>
          <w:szCs w:val="18"/>
          <w:color w:val="auto"/>
        </w:rPr>
      </w:pPr>
    </w:p>
    <w:p>
      <w:pPr>
        <w:ind w:right="1779" w:firstLine="851"/>
        <w:spacing w:after="0" w:line="347" w:lineRule="auto"/>
        <w:tabs>
          <w:tab w:leader="none" w:pos="1264"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Fair Market Value per share of Common Stock on any relevant date shall be determined in accordance with the following provisions:</w:t>
      </w:r>
    </w:p>
    <w:p>
      <w:pPr>
        <w:spacing w:after="0" w:line="18" w:lineRule="exact"/>
        <w:rPr>
          <w:rFonts w:ascii="Courier New" w:cs="Courier New" w:eastAsia="Courier New" w:hAnsi="Courier New"/>
          <w:sz w:val="18"/>
          <w:szCs w:val="18"/>
          <w:color w:val="auto"/>
        </w:rPr>
      </w:pPr>
    </w:p>
    <w:p>
      <w:pPr>
        <w:jc w:val="both"/>
        <w:ind w:left="860" w:right="1779" w:firstLine="1466"/>
        <w:spacing w:after="0" w:line="289" w:lineRule="auto"/>
        <w:tabs>
          <w:tab w:leader="none" w:pos="2756"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traded at the time on the Nasdaq National Market, then the Fair Market Value shall be the closing selling price per share of Common Stock on the date in question, as such price is reported by the National Association of Securities Dealers on the Nasdaq National Market or any successor system. If there is no closing selling price for the Common Stock on the date in question, then the Fair Market Value shall be the closing selling price on the last preceding date for which such quotation exists.</w:t>
      </w:r>
    </w:p>
    <w:p>
      <w:pPr>
        <w:spacing w:after="0" w:line="77" w:lineRule="exact"/>
        <w:rPr>
          <w:rFonts w:ascii="Courier New" w:cs="Courier New" w:eastAsia="Courier New" w:hAnsi="Courier New"/>
          <w:sz w:val="16"/>
          <w:szCs w:val="16"/>
          <w:color w:val="auto"/>
        </w:rPr>
      </w:pPr>
    </w:p>
    <w:p>
      <w:pPr>
        <w:jc w:val="both"/>
        <w:ind w:left="860" w:right="1779" w:firstLine="1466"/>
        <w:spacing w:after="0" w:line="252" w:lineRule="auto"/>
        <w:tabs>
          <w:tab w:leader="none" w:pos="2861"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Common Stock is at the time listed on any Stock Exchange, then the Fair Market Value shall be the closing selling price per share of Common Stock on the date in question on the Stock Exchange determined by the Plan Administrator to be the primary market for the Common Stock, as such price is officially quoted in the composite tape of transactions on such exchange. If there is no closing selling price for the Common Stock on the date in question, then the Fair Market Value shall be the closing selling price on the last preceding date for which such quotation exists.</w:t>
      </w:r>
    </w:p>
    <w:p>
      <w:pPr>
        <w:spacing w:after="0" w:line="98" w:lineRule="exact"/>
        <w:rPr>
          <w:rFonts w:ascii="Courier New" w:cs="Courier New" w:eastAsia="Courier New" w:hAnsi="Courier New"/>
          <w:sz w:val="18"/>
          <w:szCs w:val="18"/>
          <w:color w:val="auto"/>
        </w:rPr>
      </w:pPr>
    </w:p>
    <w:p>
      <w:pPr>
        <w:jc w:val="both"/>
        <w:ind w:left="860" w:right="1779" w:firstLine="1466"/>
        <w:spacing w:after="0" w:line="318" w:lineRule="auto"/>
        <w:tabs>
          <w:tab w:leader="none" w:pos="2967"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not listed on any Stock Exchange nor traded on the Nasdaq National Market, then the Fair Market Value shall be determined by the Plan Administrator after taking into account such factors as the Plan Administrator shall deem appropriate.</w:t>
      </w:r>
    </w:p>
    <w:p>
      <w:pPr>
        <w:spacing w:after="0" w:line="52" w:lineRule="exact"/>
        <w:rPr>
          <w:rFonts w:ascii="Courier New" w:cs="Courier New" w:eastAsia="Courier New" w:hAnsi="Courier New"/>
          <w:sz w:val="16"/>
          <w:szCs w:val="16"/>
          <w:color w:val="auto"/>
        </w:rPr>
      </w:pPr>
    </w:p>
    <w:p>
      <w:pPr>
        <w:jc w:val="both"/>
        <w:ind w:left="860" w:right="1779" w:firstLine="1466"/>
        <w:spacing w:after="0" w:line="274" w:lineRule="auto"/>
        <w:tabs>
          <w:tab w:leader="none" w:pos="2967"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any option grants made on the Underwriting Date, the Fair Market Value shall be deemed to be equal to the price per share at which the Common Stock is sold in the initial public offering pursuant to the Underwriting Agreement.</w:t>
      </w:r>
    </w:p>
    <w:p>
      <w:pPr>
        <w:spacing w:after="0" w:line="81" w:lineRule="exact"/>
        <w:rPr>
          <w:rFonts w:ascii="Courier New" w:cs="Courier New" w:eastAsia="Courier New" w:hAnsi="Courier New"/>
          <w:sz w:val="18"/>
          <w:szCs w:val="18"/>
          <w:color w:val="auto"/>
        </w:rPr>
      </w:pPr>
    </w:p>
    <w:p>
      <w:pPr>
        <w:ind w:right="1779" w:firstLine="851"/>
        <w:spacing w:after="0" w:line="347" w:lineRule="auto"/>
        <w:tabs>
          <w:tab w:leader="none" w:pos="1369"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Date shall mean the date on which the option is granted to Optionee as specified in the Stock Option Grant.</w:t>
      </w:r>
    </w:p>
    <w:p>
      <w:pPr>
        <w:spacing w:after="0" w:line="220" w:lineRule="exact"/>
        <w:rPr>
          <w:rFonts w:ascii="Courier New" w:cs="Courier New" w:eastAsia="Courier New" w:hAnsi="Courier New"/>
          <w:sz w:val="18"/>
          <w:szCs w:val="18"/>
          <w:color w:val="auto"/>
        </w:rPr>
      </w:pPr>
    </w:p>
    <w:p>
      <w:pPr>
        <w:ind w:right="1779" w:firstLine="851"/>
        <w:spacing w:after="0" w:line="347" w:lineRule="auto"/>
        <w:tabs>
          <w:tab w:leader="none" w:pos="147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Incentive Option shall mean an option which satisfies the requirements of Code Section 422.</w:t>
      </w: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893" w:right="1440" w:bottom="1440" w:gutter="0" w:footer="0" w:header="0"/>
        </w:sectPr>
      </w:pPr>
    </w:p>
    <w:bookmarkStart w:id="41" w:name="page42"/>
    <w:bookmarkEnd w:id="41"/>
    <w:p>
      <w:pPr>
        <w:ind w:right="1779" w:firstLine="851"/>
        <w:spacing w:after="0" w:line="347"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Involuntary Termination shall mean the termination of the Service of any individual which occurs by reason of:</w:t>
      </w:r>
    </w:p>
    <w:p>
      <w:pPr>
        <w:spacing w:after="0" w:line="18" w:lineRule="exact"/>
        <w:rPr>
          <w:rFonts w:ascii="Courier New" w:cs="Courier New" w:eastAsia="Courier New" w:hAnsi="Courier New"/>
          <w:sz w:val="18"/>
          <w:szCs w:val="18"/>
          <w:color w:val="auto"/>
        </w:rPr>
      </w:pPr>
    </w:p>
    <w:p>
      <w:pPr>
        <w:ind w:left="860" w:right="1779" w:firstLine="1466"/>
        <w:spacing w:after="0" w:line="347" w:lineRule="auto"/>
        <w:tabs>
          <w:tab w:leader="none" w:pos="2861"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individual's involuntary dismissal or discharge by the Corporation for reasons other than Misconduct, or</w:t>
      </w:r>
    </w:p>
    <w:p>
      <w:pPr>
        <w:spacing w:after="0" w:line="18" w:lineRule="exact"/>
        <w:rPr>
          <w:rFonts w:ascii="Courier New" w:cs="Courier New" w:eastAsia="Courier New" w:hAnsi="Courier New"/>
          <w:sz w:val="18"/>
          <w:szCs w:val="18"/>
          <w:color w:val="auto"/>
        </w:rPr>
      </w:pPr>
    </w:p>
    <w:p>
      <w:pPr>
        <w:jc w:val="both"/>
        <w:ind w:left="860" w:right="1779" w:firstLine="1466"/>
        <w:spacing w:after="0" w:line="252" w:lineRule="auto"/>
        <w:tabs>
          <w:tab w:leader="none" w:pos="2861"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individual's voluntary resignation following (A) a change in his or her position with the Corporation which materially reduces his or her level of responsibility, (B) a reduction in his or her level of compensation (including base salary, fringe benefits and participation in corporate-performance based bonus or incentive programs) by more than fifteen percent (15%) or (C) a relocation of such individual's place of employment by more than fifty (50) miles, provided and only if such change, reduction or relocation is effected by the Corporation without the individual's consent.</w:t>
      </w:r>
    </w:p>
    <w:p>
      <w:pPr>
        <w:spacing w:after="0" w:line="98" w:lineRule="exact"/>
        <w:rPr>
          <w:rFonts w:ascii="Courier New" w:cs="Courier New" w:eastAsia="Courier New" w:hAnsi="Courier New"/>
          <w:sz w:val="18"/>
          <w:szCs w:val="18"/>
          <w:color w:val="auto"/>
        </w:rPr>
      </w:pPr>
    </w:p>
    <w:p>
      <w:pPr>
        <w:jc w:val="both"/>
        <w:ind w:right="1779" w:firstLine="851"/>
        <w:spacing w:after="0" w:line="292"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Stand Off shall mean the market stand off restriction on disposition of the Purchased Shares as identified under such title in the Stock Option Exercise Notice and Purchase Agreement.</w:t>
      </w:r>
    </w:p>
    <w:p>
      <w:pPr>
        <w:spacing w:after="0" w:line="66" w:lineRule="exact"/>
        <w:rPr>
          <w:rFonts w:ascii="Courier New" w:cs="Courier New" w:eastAsia="Courier New" w:hAnsi="Courier New"/>
          <w:sz w:val="18"/>
          <w:szCs w:val="18"/>
          <w:color w:val="auto"/>
        </w:rPr>
      </w:pPr>
    </w:p>
    <w:p>
      <w:pPr>
        <w:jc w:val="both"/>
        <w:ind w:right="1779" w:firstLine="851"/>
        <w:spacing w:after="0" w:line="250" w:lineRule="auto"/>
        <w:tabs>
          <w:tab w:leader="none" w:pos="147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Misconduct shall mean the commission of any act of fraud, embezzlement or dishonesty by the Optionee, any unauthorized use or disclosure by such person of confidential information or trade secrets of the Corporation (or any Parent or Subsidiary), or any other intentional misconduct by such person adversely affecting the business or affairs of the Corporation (or any Parent or Subsidiary) in a material manner. The foregoing definition shall not be deemed to be inclusive of all the acts or omissions which the Corporation (or any Parent or Subsidiary) may consider as grounds for the dismissal or discharge of any Optionee or other person in the Service of the Corporation (or any Parent or Subsidiary).</w:t>
      </w:r>
    </w:p>
    <w:p>
      <w:pPr>
        <w:spacing w:after="0" w:line="104"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1933 Act shall mean the Securities Act of 1933, as amended.</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shall mean the Securities Exchange Act of 1934, as amended.</w:t>
      </w:r>
    </w:p>
    <w:p>
      <w:pPr>
        <w:spacing w:after="0" w:line="223" w:lineRule="exact"/>
        <w:rPr>
          <w:rFonts w:ascii="Courier New" w:cs="Courier New" w:eastAsia="Courier New" w:hAnsi="Courier New"/>
          <w:sz w:val="16"/>
          <w:szCs w:val="16"/>
          <w:color w:val="auto"/>
        </w:rPr>
      </w:pPr>
    </w:p>
    <w:p>
      <w:pPr>
        <w:ind w:right="1779" w:firstLine="851"/>
        <w:spacing w:after="0" w:line="347"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Non-Statutory Option shall mean an option not intended to satisfy the requirements of Code Section 422.</w:t>
      </w:r>
    </w:p>
    <w:p>
      <w:pPr>
        <w:spacing w:after="0" w:line="18"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shall mean any person to whom an option is granted  under</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Plan.</w:t>
      </w:r>
    </w:p>
    <w:p>
      <w:pPr>
        <w:spacing w:after="0" w:line="169" w:lineRule="exact"/>
        <w:rPr>
          <w:rFonts w:ascii="Courier New" w:cs="Courier New" w:eastAsia="Courier New" w:hAnsi="Courier New"/>
          <w:sz w:val="16"/>
          <w:szCs w:val="16"/>
          <w:color w:val="auto"/>
        </w:rPr>
      </w:pPr>
    </w:p>
    <w:p>
      <w:pPr>
        <w:ind w:right="1779" w:firstLine="851"/>
        <w:spacing w:after="0" w:line="347"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Shares shall mean the number of shares of Common Stock subject to the option as specified in the Stock Option Grant.</w:t>
      </w:r>
    </w:p>
    <w:p>
      <w:pPr>
        <w:spacing w:after="0" w:line="18" w:lineRule="exact"/>
        <w:rPr>
          <w:rFonts w:ascii="Courier New" w:cs="Courier New" w:eastAsia="Courier New" w:hAnsi="Courier New"/>
          <w:sz w:val="18"/>
          <w:szCs w:val="18"/>
          <w:color w:val="auto"/>
        </w:rPr>
      </w:pPr>
    </w:p>
    <w:p>
      <w:pPr>
        <w:jc w:val="both"/>
        <w:ind w:right="1779" w:firstLine="851"/>
        <w:spacing w:after="0" w:line="292" w:lineRule="auto"/>
        <w:tabs>
          <w:tab w:leader="none" w:pos="1369"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 shall mean Optionee and all subsequent holders of the Purchased Shares who derive their claim of ownership through a Permitted Transfer from Optionee.</w:t>
      </w:r>
    </w:p>
    <w:p>
      <w:pPr>
        <w:spacing w:after="0" w:line="66" w:lineRule="exact"/>
        <w:rPr>
          <w:rFonts w:ascii="Courier New" w:cs="Courier New" w:eastAsia="Courier New" w:hAnsi="Courier New"/>
          <w:sz w:val="18"/>
          <w:szCs w:val="18"/>
          <w:color w:val="auto"/>
        </w:rPr>
      </w:pPr>
    </w:p>
    <w:p>
      <w:pPr>
        <w:jc w:val="both"/>
        <w:ind w:right="1779" w:firstLine="851"/>
        <w:spacing w:after="0" w:line="260" w:lineRule="auto"/>
        <w:tabs>
          <w:tab w:leader="none" w:pos="1264"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mean any corporation (other than the Corporation) in an unbroken chain of corporations ending with the Corporation, provided each corporation in the unbroken chain (other than the Corporation) owns, at the time of the determination, stock possessing fifty percent (50%) or more of the total combined voting power of all classes of stock in one or the other corporations in such chain.</w:t>
      </w: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893" w:right="1440" w:bottom="1440" w:gutter="0" w:footer="0" w:header="0"/>
        </w:sectPr>
      </w:pPr>
    </w:p>
    <w:bookmarkStart w:id="42" w:name="page43"/>
    <w:bookmarkEnd w:id="42"/>
    <w:p>
      <w:pPr>
        <w:jc w:val="both"/>
        <w:ind w:right="1779" w:firstLine="851"/>
        <w:spacing w:after="0" w:line="274"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Permanent Disability or Permanently Disabled shall mean the inability of the Optionee to engage in any substantial gainful activity by reason of any medically determinable physical or mental impairment expected to result in death or to be of continuous duration of twelve (12) months or more.</w:t>
      </w:r>
    </w:p>
    <w:p>
      <w:pPr>
        <w:spacing w:after="0" w:line="81" w:lineRule="exact"/>
        <w:rPr>
          <w:rFonts w:ascii="Courier New" w:cs="Courier New" w:eastAsia="Courier New" w:hAnsi="Courier New"/>
          <w:sz w:val="18"/>
          <w:szCs w:val="18"/>
          <w:color w:val="auto"/>
        </w:rPr>
      </w:pPr>
    </w:p>
    <w:p>
      <w:pPr>
        <w:jc w:val="both"/>
        <w:ind w:right="1779" w:firstLine="851"/>
        <w:spacing w:after="0" w:line="256" w:lineRule="auto"/>
        <w:tabs>
          <w:tab w:leader="none" w:pos="1369"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Transfer shall mean (i) a gratuitous transfer of the Purchased Shares, provided and only if Optionee obtains the Corporation's prior written consent to such transfer, (ii) a transfer of title to the Purchased Shares effected pursuant to Optionee's will or the laws of intestate succession following Optionee's death, or (iii) a transfer to the Corporation in pledge as security for any purchase-money indebtedness incurred by Optionee in connection with the acquisition of the Purchased Shares.</w:t>
      </w:r>
    </w:p>
    <w:p>
      <w:pPr>
        <w:spacing w:after="0" w:line="98" w:lineRule="exact"/>
        <w:rPr>
          <w:rFonts w:ascii="Courier New" w:cs="Courier New" w:eastAsia="Courier New" w:hAnsi="Courier New"/>
          <w:sz w:val="18"/>
          <w:szCs w:val="18"/>
          <w:color w:val="auto"/>
        </w:rPr>
      </w:pPr>
    </w:p>
    <w:p>
      <w:pPr>
        <w:jc w:val="both"/>
        <w:ind w:right="1779" w:firstLine="851"/>
        <w:spacing w:after="0" w:line="265"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Administrator shall mean the particular entity, whether the Board or a committee of the Board, which is authorized to administer the Plan with respect to one or more classes of eligible persons, to the extent such entity is carrying out its administrative functions under the Plan with respect to the persons under its jurisdiction.</w:t>
      </w:r>
    </w:p>
    <w:p>
      <w:pPr>
        <w:spacing w:after="0" w:line="89" w:lineRule="exact"/>
        <w:rPr>
          <w:rFonts w:ascii="Courier New" w:cs="Courier New" w:eastAsia="Courier New" w:hAnsi="Courier New"/>
          <w:sz w:val="18"/>
          <w:szCs w:val="18"/>
          <w:color w:val="auto"/>
        </w:rPr>
      </w:pPr>
    </w:p>
    <w:p>
      <w:pPr>
        <w:ind w:right="1779" w:firstLine="851"/>
        <w:spacing w:after="0" w:line="347" w:lineRule="auto"/>
        <w:tabs>
          <w:tab w:leader="none" w:pos="126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Plan Documents shall mean the Plan, the Stock Option Grant, and Stock Option Exercise Notice and Purchase Agreement, collectively.</w:t>
      </w:r>
    </w:p>
    <w:p>
      <w:pPr>
        <w:spacing w:after="0" w:line="18" w:lineRule="exact"/>
        <w:rPr>
          <w:sz w:val="20"/>
          <w:szCs w:val="20"/>
          <w:color w:val="auto"/>
        </w:rPr>
      </w:pPr>
    </w:p>
    <w:p>
      <w:pPr>
        <w:ind w:right="1779" w:firstLine="843"/>
        <w:spacing w:after="0" w:line="347" w:lineRule="auto"/>
        <w:rPr>
          <w:sz w:val="20"/>
          <w:szCs w:val="20"/>
          <w:color w:val="auto"/>
        </w:rPr>
      </w:pPr>
      <w:r>
        <w:rPr>
          <w:rFonts w:ascii="Courier New" w:cs="Courier New" w:eastAsia="Courier New" w:hAnsi="Courier New"/>
          <w:sz w:val="18"/>
          <w:szCs w:val="18"/>
          <w:color w:val="auto"/>
        </w:rPr>
        <w:t>28. Plan Effective Date shall mean , the date on which the Plan was adopted by the Board.</w:t>
      </w:r>
    </w:p>
    <w:p>
      <w:pPr>
        <w:spacing w:after="0" w:line="18" w:lineRule="exact"/>
        <w:rPr>
          <w:sz w:val="20"/>
          <w:szCs w:val="20"/>
          <w:color w:val="auto"/>
        </w:rPr>
      </w:pPr>
    </w:p>
    <w:p>
      <w:pPr>
        <w:jc w:val="both"/>
        <w:ind w:right="1779" w:firstLine="851"/>
        <w:spacing w:after="0" w:line="274" w:lineRule="auto"/>
        <w:tabs>
          <w:tab w:leader="none" w:pos="136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Primary Committee shall mean the committee of two (2) or more non-employee Board members (as defined in the regulations to Section 16 of the 1934 Act) appointed by the Board to administer the Plan with respect to Section 16 Insiders.</w:t>
      </w:r>
    </w:p>
    <w:p>
      <w:pPr>
        <w:spacing w:after="0" w:line="81" w:lineRule="exact"/>
        <w:rPr>
          <w:rFonts w:ascii="Courier New" w:cs="Courier New" w:eastAsia="Courier New" w:hAnsi="Courier New"/>
          <w:sz w:val="18"/>
          <w:szCs w:val="18"/>
          <w:color w:val="auto"/>
        </w:rPr>
      </w:pPr>
    </w:p>
    <w:p>
      <w:pPr>
        <w:ind w:left="1380" w:hanging="529"/>
        <w:spacing w:after="0"/>
        <w:tabs>
          <w:tab w:leader="none" w:pos="13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Purchased  Shares shall mean the shares  purchased upon exercise of</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the Option.</w:t>
      </w:r>
    </w:p>
    <w:p>
      <w:pPr>
        <w:sectPr>
          <w:pgSz w:w="11900" w:h="16838" w:orient="portrait"/>
          <w:cols w:equalWidth="0" w:num="1">
            <w:col w:w="10219"/>
          </w:cols>
          <w:pgMar w:left="240" w:top="893" w:right="1440" w:bottom="1440" w:gutter="0" w:footer="0" w:header="0"/>
        </w:sectPr>
      </w:pPr>
    </w:p>
    <w:p>
      <w:pPr>
        <w:spacing w:after="0" w:line="169" w:lineRule="exact"/>
        <w:rPr>
          <w:sz w:val="20"/>
          <w:szCs w:val="20"/>
          <w:color w:val="auto"/>
        </w:rPr>
      </w:pPr>
    </w:p>
    <w:p>
      <w:pPr>
        <w:jc w:val="both"/>
        <w:ind w:firstLine="851"/>
        <w:spacing w:after="0" w:line="274" w:lineRule="auto"/>
        <w:tabs>
          <w:tab w:leader="none" w:pos="136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Recapitalization shall mean recapitalization, combination of shares, affecting the Corporation's outstanding Corporation's receipt of consideration.</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both"/>
        <w:ind w:right="1779"/>
        <w:spacing w:after="0" w:line="292" w:lineRule="auto"/>
        <w:rPr>
          <w:sz w:val="20"/>
          <w:szCs w:val="20"/>
          <w:color w:val="auto"/>
        </w:rPr>
      </w:pPr>
      <w:r>
        <w:rPr>
          <w:rFonts w:ascii="Courier New" w:cs="Courier New" w:eastAsia="Courier New" w:hAnsi="Courier New"/>
          <w:sz w:val="18"/>
          <w:szCs w:val="18"/>
          <w:color w:val="auto"/>
        </w:rPr>
        <w:t>any stock split, stock dividend, exchange of shares or other charge Common Stock as a class without the</w:t>
      </w:r>
    </w:p>
    <w:p>
      <w:pPr>
        <w:spacing w:after="0" w:line="268" w:lineRule="exact"/>
        <w:rPr>
          <w:sz w:val="20"/>
          <w:szCs w:val="20"/>
          <w:color w:val="auto"/>
        </w:rPr>
      </w:pPr>
    </w:p>
    <w:p>
      <w:pPr>
        <w:sectPr>
          <w:pgSz w:w="11900" w:h="16838" w:orient="portrait"/>
          <w:cols w:equalWidth="0" w:num="2">
            <w:col w:w="4440" w:space="200"/>
            <w:col w:w="5579"/>
          </w:cols>
          <w:pgMar w:left="240" w:top="893" w:right="1440" w:bottom="1440" w:gutter="0" w:footer="0" w:header="0"/>
          <w:type w:val="continuous"/>
        </w:sectPr>
      </w:pPr>
    </w:p>
    <w:p>
      <w:pPr>
        <w:ind w:left="1280" w:hanging="429"/>
        <w:spacing w:after="0"/>
        <w:tabs>
          <w:tab w:leader="none" w:pos="12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Reorganization shall mean any of the following transactions:</w:t>
      </w:r>
    </w:p>
    <w:p>
      <w:pPr>
        <w:spacing w:after="0" w:line="201" w:lineRule="exact"/>
        <w:rPr>
          <w:rFonts w:ascii="Courier New" w:cs="Courier New" w:eastAsia="Courier New" w:hAnsi="Courier New"/>
          <w:sz w:val="18"/>
          <w:szCs w:val="18"/>
          <w:color w:val="auto"/>
        </w:rPr>
      </w:pPr>
    </w:p>
    <w:p>
      <w:pPr>
        <w:ind w:left="1160" w:right="1779" w:firstLine="1166"/>
        <w:spacing w:after="0" w:line="347" w:lineRule="auto"/>
        <w:tabs>
          <w:tab w:leader="none" w:pos="274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in which the Corporation is not the surviving entity;</w:t>
      </w:r>
    </w:p>
    <w:p>
      <w:pPr>
        <w:spacing w:after="0" w:line="18" w:lineRule="exact"/>
        <w:rPr>
          <w:rFonts w:ascii="Courier New" w:cs="Courier New" w:eastAsia="Courier New" w:hAnsi="Courier New"/>
          <w:sz w:val="18"/>
          <w:szCs w:val="18"/>
          <w:color w:val="auto"/>
        </w:rPr>
      </w:pPr>
    </w:p>
    <w:p>
      <w:pPr>
        <w:ind w:left="1160" w:right="1779" w:firstLine="1166"/>
        <w:spacing w:after="0" w:line="347" w:lineRule="auto"/>
        <w:tabs>
          <w:tab w:leader="none" w:pos="28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transfer or other disposition of all or substantially all of the Corporation's assets;</w:t>
      </w:r>
    </w:p>
    <w:p>
      <w:pPr>
        <w:spacing w:after="0" w:line="18" w:lineRule="exact"/>
        <w:rPr>
          <w:rFonts w:ascii="Courier New" w:cs="Courier New" w:eastAsia="Courier New" w:hAnsi="Courier New"/>
          <w:sz w:val="18"/>
          <w:szCs w:val="18"/>
          <w:color w:val="auto"/>
        </w:rPr>
      </w:pPr>
    </w:p>
    <w:p>
      <w:pPr>
        <w:jc w:val="both"/>
        <w:ind w:left="1160" w:right="1779" w:firstLine="1166"/>
        <w:spacing w:after="0" w:line="265" w:lineRule="auto"/>
        <w:tabs>
          <w:tab w:leader="none" w:pos="2951"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reverse merger in which the Corporation is the surviving entity but in which the Corporation's outstanding voting securities are transferred in whole or in part to a person or persons different from the persons holding those securities immediately prior to the merger; or</w:t>
      </w:r>
    </w:p>
    <w:p>
      <w:pPr>
        <w:spacing w:after="0" w:line="2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893" w:right="1440" w:bottom="1440" w:gutter="0" w:footer="0" w:header="0"/>
          <w:type w:val="continuous"/>
        </w:sectPr>
      </w:pPr>
    </w:p>
    <w:bookmarkStart w:id="43" w:name="page44"/>
    <w:bookmarkEnd w:id="43"/>
    <w:p>
      <w:pPr>
        <w:jc w:val="both"/>
        <w:ind w:left="309" w:right="1779" w:firstLine="1166"/>
        <w:spacing w:after="0" w:line="292" w:lineRule="auto"/>
        <w:tabs>
          <w:tab w:leader="none" w:pos="199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effected primarily to change the state in which the Corporation is incorporated or to create a holding company structure.</w:t>
      </w:r>
    </w:p>
    <w:p>
      <w:pPr>
        <w:spacing w:after="0" w:line="66" w:lineRule="exact"/>
        <w:rPr>
          <w:rFonts w:ascii="Courier New" w:cs="Courier New" w:eastAsia="Courier New" w:hAnsi="Courier New"/>
          <w:sz w:val="18"/>
          <w:szCs w:val="18"/>
          <w:color w:val="auto"/>
        </w:rPr>
      </w:pPr>
    </w:p>
    <w:p>
      <w:pPr>
        <w:ind w:left="429" w:hanging="429"/>
        <w:spacing w:after="0"/>
        <w:tabs>
          <w:tab w:leader="none" w:pos="42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shall mean the Securities Exchange Commission.</w:t>
      </w:r>
    </w:p>
    <w:p>
      <w:pPr>
        <w:spacing w:after="0" w:line="201" w:lineRule="exact"/>
        <w:rPr>
          <w:rFonts w:ascii="Courier New" w:cs="Courier New" w:eastAsia="Courier New" w:hAnsi="Courier New"/>
          <w:sz w:val="18"/>
          <w:szCs w:val="18"/>
          <w:color w:val="auto"/>
        </w:rPr>
      </w:pPr>
    </w:p>
    <w:p>
      <w:pPr>
        <w:jc w:val="both"/>
        <w:ind w:left="-851" w:right="1779" w:firstLine="851"/>
        <w:spacing w:after="0" w:line="292"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Secondary Committee shall mean a committee of two (2) or more Board members appointed by the Board to administer the Plan with respect to eligible persons other than Section 16 Insiders.</w:t>
      </w:r>
    </w:p>
    <w:p>
      <w:pPr>
        <w:spacing w:after="0" w:line="66" w:lineRule="exact"/>
        <w:rPr>
          <w:rFonts w:ascii="Courier New" w:cs="Courier New" w:eastAsia="Courier New" w:hAnsi="Courier New"/>
          <w:sz w:val="18"/>
          <w:szCs w:val="18"/>
          <w:color w:val="auto"/>
        </w:rPr>
      </w:pPr>
    </w:p>
    <w:p>
      <w:pPr>
        <w:jc w:val="both"/>
        <w:ind w:left="-851" w:right="1779" w:firstLine="851"/>
        <w:spacing w:after="0" w:line="292" w:lineRule="auto"/>
        <w:tabs>
          <w:tab w:leader="none" w:pos="519"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16 Insider shall mean an officer or director of the Corporation subject to the short-swing profit liabilities of Section 16 of the 1934 Act.</w:t>
      </w:r>
    </w:p>
    <w:p>
      <w:pPr>
        <w:spacing w:after="0" w:line="66" w:lineRule="exact"/>
        <w:rPr>
          <w:rFonts w:ascii="Courier New" w:cs="Courier New" w:eastAsia="Courier New" w:hAnsi="Courier New"/>
          <w:sz w:val="18"/>
          <w:szCs w:val="18"/>
          <w:color w:val="auto"/>
        </w:rPr>
      </w:pPr>
    </w:p>
    <w:p>
      <w:pPr>
        <w:jc w:val="both"/>
        <w:ind w:left="-851" w:right="1779" w:firstLine="851"/>
        <w:spacing w:after="0" w:line="265"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 shall mean the performance of services to the Corporation (or any Parent or Subsidiary) by a person in the capacity of an Employee, a non-employee member of the board of directors or a consultant or independent advisor, except to the extent otherwise specifically provided in the documents evidencing the option grant.</w:t>
      </w:r>
    </w:p>
    <w:p>
      <w:pPr>
        <w:spacing w:after="0" w:line="89" w:lineRule="exact"/>
        <w:rPr>
          <w:rFonts w:ascii="Courier New" w:cs="Courier New" w:eastAsia="Courier New" w:hAnsi="Courier New"/>
          <w:sz w:val="18"/>
          <w:szCs w:val="18"/>
          <w:color w:val="auto"/>
        </w:rPr>
      </w:pPr>
    </w:p>
    <w:p>
      <w:pPr>
        <w:jc w:val="both"/>
        <w:ind w:left="-851" w:right="1779" w:firstLine="851"/>
        <w:spacing w:after="0" w:line="292"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Exchange shall mean either the American Stock Exchange, the New York Stock Exchange, another regional stock exchange, or the Nasdaq market as established by the National Association of Securities Dealers.</w:t>
      </w:r>
    </w:p>
    <w:p>
      <w:pPr>
        <w:spacing w:after="0" w:line="66" w:lineRule="exact"/>
        <w:rPr>
          <w:rFonts w:ascii="Courier New" w:cs="Courier New" w:eastAsia="Courier New" w:hAnsi="Courier New"/>
          <w:sz w:val="18"/>
          <w:szCs w:val="18"/>
          <w:color w:val="auto"/>
        </w:rPr>
      </w:pPr>
    </w:p>
    <w:p>
      <w:pPr>
        <w:jc w:val="both"/>
        <w:ind w:left="-851" w:right="1779" w:firstLine="851"/>
        <w:spacing w:after="0" w:line="274" w:lineRule="auto"/>
        <w:tabs>
          <w:tab w:leader="none" w:pos="41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Exercise Notice and Purchase Agreement shall mean the agreement of said title in substantially the form of Exhibit A to the Stock Option Grant, pursuant to which Optionee gives notice of his intent to exercise the option and purchase Shares.</w:t>
      </w:r>
    </w:p>
    <w:p>
      <w:pPr>
        <w:sectPr>
          <w:pgSz w:w="11900" w:h="16838" w:orient="portrait"/>
          <w:cols w:equalWidth="0" w:num="1">
            <w:col w:w="9368"/>
          </w:cols>
          <w:pgMar w:left="1091" w:top="893" w:right="1440" w:bottom="1440" w:gutter="0" w:footer="0" w:header="0"/>
        </w:sectPr>
      </w:pPr>
    </w:p>
    <w:p>
      <w:pPr>
        <w:spacing w:after="0" w:line="82" w:lineRule="exact"/>
        <w:rPr>
          <w:sz w:val="20"/>
          <w:szCs w:val="20"/>
          <w:color w:val="auto"/>
        </w:rPr>
      </w:pPr>
    </w:p>
    <w:p>
      <w:pPr>
        <w:ind w:left="-851" w:firstLine="851"/>
        <w:spacing w:after="0" w:line="292" w:lineRule="auto"/>
        <w:tabs>
          <w:tab w:leader="none" w:pos="519"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pursuant to which Optionee granted under the Plan.</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right"/>
        <w:ind w:right="1779"/>
        <w:spacing w:after="0" w:line="420" w:lineRule="auto"/>
        <w:rPr>
          <w:sz w:val="20"/>
          <w:szCs w:val="20"/>
          <w:color w:val="auto"/>
        </w:rPr>
      </w:pPr>
      <w:r>
        <w:rPr>
          <w:rFonts w:ascii="Courier New" w:cs="Courier New" w:eastAsia="Courier New" w:hAnsi="Courier New"/>
          <w:sz w:val="16"/>
          <w:szCs w:val="16"/>
          <w:color w:val="auto"/>
        </w:rPr>
        <w:t>Grant shall mean the Stock  Option  Grant  document, has been  informed of the basic terms of the option</w:t>
      </w:r>
    </w:p>
    <w:p>
      <w:pPr>
        <w:spacing w:after="0" w:line="175" w:lineRule="exact"/>
        <w:rPr>
          <w:sz w:val="20"/>
          <w:szCs w:val="20"/>
          <w:color w:val="auto"/>
        </w:rPr>
      </w:pPr>
    </w:p>
    <w:p>
      <w:pPr>
        <w:sectPr>
          <w:pgSz w:w="11900" w:h="16838" w:orient="portrait"/>
          <w:cols w:equalWidth="0" w:num="2">
            <w:col w:w="2009" w:space="100"/>
            <w:col w:w="7259"/>
          </w:cols>
          <w:pgMar w:left="1091" w:top="893" w:right="1440" w:bottom="1440" w:gutter="0" w:footer="0" w:header="0"/>
          <w:type w:val="continuous"/>
        </w:sectPr>
      </w:pPr>
    </w:p>
    <w:p>
      <w:pPr>
        <w:jc w:val="both"/>
        <w:ind w:left="-851" w:right="1779" w:firstLine="851"/>
        <w:spacing w:after="0" w:line="260" w:lineRule="auto"/>
        <w:tabs>
          <w:tab w:leader="none" w:pos="51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shall mean any corporation (other than the Corporation) in an unbroken chain of corporations beginning with the Corporation, provided each corporation (other than the last corporation) in the unbroken chain owns, at the time of the determination, stock possessing fifty percent (50%) or more of the total combined voting power of all classes of stock in one of the other corporations in such chain.</w:t>
      </w:r>
    </w:p>
    <w:p>
      <w:pPr>
        <w:spacing w:after="0" w:line="92" w:lineRule="exact"/>
        <w:rPr>
          <w:rFonts w:ascii="Courier New" w:cs="Courier New" w:eastAsia="Courier New" w:hAnsi="Courier New"/>
          <w:sz w:val="18"/>
          <w:szCs w:val="18"/>
          <w:color w:val="auto"/>
        </w:rPr>
      </w:pPr>
    </w:p>
    <w:p>
      <w:pPr>
        <w:jc w:val="both"/>
        <w:ind w:left="-851" w:right="1779" w:firstLine="851"/>
        <w:spacing w:after="0" w:line="292" w:lineRule="auto"/>
        <w:tabs>
          <w:tab w:leader="none" w:pos="41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shall mean the Federal, state and local income and employment tax liabilities incurred by the holder of Non-Statutory Options in connection with the exercise of those options.</w:t>
      </w:r>
    </w:p>
    <w:p>
      <w:pPr>
        <w:spacing w:after="0" w:line="66" w:lineRule="exact"/>
        <w:rPr>
          <w:rFonts w:ascii="Courier New" w:cs="Courier New" w:eastAsia="Courier New" w:hAnsi="Courier New"/>
          <w:sz w:val="18"/>
          <w:szCs w:val="18"/>
          <w:color w:val="auto"/>
        </w:rPr>
      </w:pPr>
    </w:p>
    <w:p>
      <w:pPr>
        <w:jc w:val="both"/>
        <w:ind w:left="-851" w:right="1779" w:firstLine="851"/>
        <w:spacing w:after="0" w:line="274" w:lineRule="auto"/>
        <w:tabs>
          <w:tab w:leader="none" w:pos="41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 Stockholder shall mean the owner of stock (as determined under Code Section 424(d)) possessing more than ten percent (10%) of the total combined voting power of all classes of stock of the Corporation (or any Parent or Subsidiary).</w:t>
      </w:r>
    </w:p>
    <w:p>
      <w:pPr>
        <w:spacing w:after="0" w:line="200" w:lineRule="exact"/>
        <w:rPr>
          <w:sz w:val="20"/>
          <w:szCs w:val="20"/>
          <w:color w:val="auto"/>
        </w:rPr>
      </w:pPr>
    </w:p>
    <w:p>
      <w:pPr>
        <w:spacing w:after="0" w:line="287" w:lineRule="exact"/>
        <w:rPr>
          <w:sz w:val="20"/>
          <w:szCs w:val="20"/>
          <w:color w:val="auto"/>
        </w:rPr>
      </w:pPr>
    </w:p>
    <w:p>
      <w:pPr>
        <w:ind w:left="3269"/>
        <w:spacing w:after="0"/>
        <w:rPr>
          <w:sz w:val="20"/>
          <w:szCs w:val="20"/>
          <w:color w:val="auto"/>
        </w:rPr>
      </w:pPr>
      <w:r>
        <w:rPr>
          <w:rFonts w:ascii="Courier New" w:cs="Courier New" w:eastAsia="Courier New" w:hAnsi="Courier New"/>
          <w:sz w:val="18"/>
          <w:szCs w:val="18"/>
          <w:color w:val="auto"/>
        </w:rPr>
        <w:t>43</w:t>
      </w:r>
    </w:p>
    <w:sectPr>
      <w:pgSz w:w="11900" w:h="16838" w:orient="portrait"/>
      <w:cols w:equalWidth="0" w:num="1">
        <w:col w:w="9368"/>
      </w:cols>
      <w:pgMar w:left="1091" w:top="89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lvl w:ilvl="1">
      <w:lvlJc w:val="left"/>
      <w:lvlText w:val="%2)"/>
      <w:numFmt w:val="decimal"/>
      <w:start w:val="1"/>
    </w:lvl>
  </w:abstractNum>
  <w:abstractNum w:abstractNumId="2">
    <w:nsid w:val="333AB105"/>
    <w:multiLevelType w:val="hybridMultilevel"/>
    <w:lvl w:ilvl="0">
      <w:lvlJc w:val="left"/>
      <w:lvlText w:val="["/>
      <w:numFmt w:val="bullet"/>
      <w:start w:val="1"/>
    </w:lvl>
    <w:lvl w:ilvl="1">
      <w:lvlJc w:val="left"/>
      <w:lvlText w:val="%2)"/>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lowerRoman"/>
      <w:start w:val="3"/>
    </w:lvl>
  </w:abstractNum>
  <w:abstractNum w:abstractNumId="5">
    <w:nsid w:val="2D1D5AE9"/>
    <w:multiLevelType w:val="hybridMultilevel"/>
    <w:lvl w:ilvl="0">
      <w:lvlJc w:val="left"/>
      <w:lvlText w:val="1"/>
      <w:numFmt w:val="bullet"/>
      <w:start w:val="1"/>
    </w:lvl>
  </w:abstractNum>
  <w:abstractNum w:abstractNumId="6">
    <w:nsid w:val="6763845E"/>
    <w:multiLevelType w:val="hybridMultilevel"/>
    <w:lvl w:ilvl="0">
      <w:lvlJc w:val="left"/>
      <w:lvlText w:val="2"/>
      <w:numFmt w:val="bullet"/>
      <w:start w:val="1"/>
    </w:lvl>
  </w:abstractNum>
  <w:abstractNum w:abstractNumId="7">
    <w:nsid w:val="75A2A8D4"/>
    <w:multiLevelType w:val="hybridMultilevel"/>
    <w:lvl w:ilvl="0">
      <w:lvlJc w:val="left"/>
      <w:lvlText w:val="3"/>
      <w:numFmt w:val="bullet"/>
      <w:start w:val="1"/>
    </w:lvl>
  </w:abstractNum>
  <w:abstractNum w:abstractNumId="8">
    <w:nsid w:val="8EDBDAB"/>
    <w:multiLevelType w:val="hybridMultilevel"/>
    <w:lvl w:ilvl="0">
      <w:lvlJc w:val="left"/>
      <w:lvlText w:val="4"/>
      <w:numFmt w:val="bullet"/>
      <w:start w:val="1"/>
    </w:lvl>
  </w:abstractNum>
  <w:abstractNum w:abstractNumId="9">
    <w:nsid w:val="79838CB2"/>
    <w:multiLevelType w:val="hybridMultilevel"/>
    <w:lvl w:ilvl="0">
      <w:lvlJc w:val="left"/>
      <w:lvlText w:val="5"/>
      <w:numFmt w:val="bullet"/>
      <w:start w:val="1"/>
    </w:lvl>
  </w:abstractNum>
  <w:abstractNum w:abstractNumId="10">
    <w:nsid w:val="4353D0CD"/>
    <w:multiLevelType w:val="hybridMultilevel"/>
    <w:lvl w:ilvl="0">
      <w:lvlJc w:val="left"/>
      <w:lvlText w:val="6"/>
      <w:numFmt w:val="bullet"/>
      <w:start w:val="1"/>
    </w:lvl>
  </w:abstractNum>
  <w:abstractNum w:abstractNumId="11">
    <w:nsid w:val="B03E0C6"/>
    <w:multiLevelType w:val="hybridMultilevel"/>
    <w:lvl w:ilvl="0">
      <w:lvlJc w:val="left"/>
      <w:lvlText w:val="7"/>
      <w:numFmt w:val="bullet"/>
      <w:start w:val="1"/>
    </w:lvl>
  </w:abstractNum>
  <w:abstractNum w:abstractNumId="12">
    <w:nsid w:val="189A769B"/>
    <w:multiLevelType w:val="hybridMultilevel"/>
    <w:lvl w:ilvl="0">
      <w:lvlJc w:val="left"/>
      <w:lvlText w:val="8"/>
      <w:numFmt w:val="bullet"/>
      <w:start w:val="1"/>
    </w:lvl>
  </w:abstractNum>
  <w:abstractNum w:abstractNumId="13">
    <w:nsid w:val="54E49EB4"/>
    <w:multiLevelType w:val="hybridMultilevel"/>
    <w:lvl w:ilvl="0">
      <w:lvlJc w:val="left"/>
      <w:lvlText w:val="9"/>
      <w:numFmt w:val="bullet"/>
      <w:start w:val="1"/>
    </w:lvl>
  </w:abstractNum>
  <w:abstractNum w:abstractNumId="14">
    <w:nsid w:val="71F32454"/>
    <w:multiLevelType w:val="hybridMultilevel"/>
    <w:lvl w:ilvl="0">
      <w:lvlJc w:val="left"/>
      <w:lvlText w:val="%1"/>
      <w:numFmt w:val="decimal"/>
      <w:start w:val="10"/>
    </w:lvl>
  </w:abstractNum>
  <w:abstractNum w:abstractNumId="15">
    <w:nsid w:val="2CA88611"/>
    <w:multiLevelType w:val="hybridMultilevel"/>
    <w:lvl w:ilvl="0">
      <w:lvlJc w:val="left"/>
      <w:lvlText w:val="2"/>
      <w:numFmt w:val="bullet"/>
      <w:start w:val="1"/>
    </w:lvl>
  </w:abstractNum>
  <w:abstractNum w:abstractNumId="16">
    <w:nsid w:val="836C40E"/>
    <w:multiLevelType w:val="hybridMultilevel"/>
    <w:lvl w:ilvl="0">
      <w:lvlJc w:val="left"/>
      <w:lvlText w:val="o"/>
      <w:numFmt w:val="bullet"/>
      <w:start w:val="1"/>
    </w:lvl>
  </w:abstractNum>
  <w:abstractNum w:abstractNumId="17">
    <w:nsid w:val="2901D82"/>
    <w:multiLevelType w:val="hybridMultilevel"/>
    <w:lvl w:ilvl="0">
      <w:lvlJc w:val="left"/>
      <w:lvlText w:val="o"/>
      <w:numFmt w:val="bullet"/>
      <w:start w:val="1"/>
    </w:lvl>
  </w:abstractNum>
  <w:abstractNum w:abstractNumId="18">
    <w:nsid w:val="3A95F874"/>
    <w:multiLevelType w:val="hybridMultilevel"/>
    <w:lvl w:ilvl="0">
      <w:lvlJc w:val="left"/>
      <w:lvlText w:val="A"/>
      <w:numFmt w:val="bullet"/>
      <w:start w:val="1"/>
    </w:lvl>
  </w:abstractNum>
  <w:abstractNum w:abstractNumId="19">
    <w:nsid w:val="8138641"/>
    <w:multiLevelType w:val="hybridMultilevel"/>
    <w:lvl w:ilvl="0">
      <w:lvlJc w:val="left"/>
      <w:lvlText w:val="A"/>
      <w:numFmt w:val="bullet"/>
      <w:start w:val="1"/>
    </w:lvl>
  </w:abstractNum>
  <w:abstractNum w:abstractNumId="20">
    <w:nsid w:val="1E7FF521"/>
    <w:multiLevelType w:val="hybridMultilevel"/>
    <w:lvl w:ilvl="0">
      <w:lvlJc w:val="left"/>
      <w:lvlText w:val="(%1)"/>
      <w:numFmt w:val="decimal"/>
      <w:start w:val="45"/>
    </w:lvl>
  </w:abstractNum>
  <w:abstractNum w:abstractNumId="21">
    <w:nsid w:val="7C3DBD3D"/>
    <w:multiLevelType w:val="hybridMultilevel"/>
    <w:lvl w:ilvl="0">
      <w:lvlJc w:val="left"/>
      <w:lvlText w:val="o"/>
      <w:numFmt w:val="bullet"/>
      <w:start w:val="1"/>
    </w:lvl>
  </w:abstractNum>
  <w:abstractNum w:abstractNumId="22">
    <w:nsid w:val="737B8DDC"/>
    <w:multiLevelType w:val="hybridMultilevel"/>
    <w:lvl w:ilvl="0">
      <w:lvlJc w:val="left"/>
      <w:lvlText w:val="%1."/>
      <w:numFmt w:val="lowerLetter"/>
      <w:start w:val="1"/>
    </w:lvl>
  </w:abstractNum>
  <w:abstractNum w:abstractNumId="23">
    <w:nsid w:val="6CEAF08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
    <w:nsid w:val="22221A70"/>
    <w:multiLevelType w:val="hybridMultilevel"/>
    <w:lvl w:ilvl="0">
      <w:lvlJc w:val="left"/>
      <w:lvlText w:val="(%1)"/>
      <w:numFmt w:val="decimal"/>
      <w:start w:val="10"/>
    </w:lvl>
    <w:lvl w:ilvl="1">
      <w:lvlJc w:val="left"/>
      <w:lvlText w:val="%2"/>
      <w:numFmt w:val="lowerLetter"/>
      <w:start w:val="1"/>
    </w:lvl>
    <w:lvl w:ilvl="2">
      <w:lvlJc w:val="left"/>
      <w:lvlText w:val="(%3)"/>
      <w:numFmt w:val="decimal"/>
      <w:start w:val="1"/>
    </w:lvl>
    <w:lvl w:ilvl="3">
      <w:lvlJc w:val="left"/>
      <w:lvlText w:val="(%4)"/>
      <w:numFmt w:val="lowerLetter"/>
      <w:start w:val="1"/>
    </w:lvl>
  </w:abstractNum>
  <w:abstractNum w:abstractNumId="25">
    <w:nsid w:val="4516DDE9"/>
    <w:multiLevelType w:val="hybridMultilevel"/>
    <w:lvl w:ilvl="0">
      <w:lvlJc w:val="left"/>
      <w:lvlText w:val="%1"/>
      <w:numFmt w:val="lowerLetter"/>
      <w:start w:val="1"/>
    </w:lvl>
    <w:lvl w:ilvl="1">
      <w:lvlJc w:val="left"/>
      <w:lvlText w:val="(%2)"/>
      <w:numFmt w:val="lowerLetter"/>
      <w:start w:val="2"/>
    </w:lvl>
  </w:abstractNum>
  <w:abstractNum w:abstractNumId="26">
    <w:nsid w:val="3006C83E"/>
    <w:multiLevelType w:val="hybridMultilevel"/>
    <w:lvl w:ilvl="0">
      <w:lvlJc w:val="left"/>
      <w:lvlText w:val="%1."/>
      <w:numFmt w:val="lowerLetter"/>
      <w:start w:val="4"/>
    </w:lvl>
    <w:lvl w:ilvl="1">
      <w:lvlJc w:val="left"/>
      <w:lvlText w:val="%2"/>
      <w:numFmt w:val="lowerLetter"/>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decimal"/>
      <w:start w:val="2"/>
    </w:lvl>
    <w:lvl w:ilvl="1">
      <w:lvlJc w:val="left"/>
      <w:lvlText w:val="(%2)"/>
      <w:numFmt w:val="lowerRoman"/>
      <w:start w:val="1"/>
    </w:lvl>
  </w:abstractNum>
  <w:abstractNum w:abstractNumId="30">
    <w:nsid w:val="440BADFC"/>
    <w:multiLevelType w:val="hybridMultilevel"/>
    <w:lvl w:ilvl="0">
      <w:lvlJc w:val="left"/>
      <w:lvlText w:val="%1."/>
      <w:numFmt w:val="decimal"/>
      <w:start w:val="8"/>
    </w:lvl>
    <w:lvl w:ilvl="1">
      <w:lvlJc w:val="left"/>
      <w:lvlText w:val="(%2)"/>
      <w:numFmt w:val="lowerRoman"/>
      <w:start w:val="1"/>
    </w:lvl>
  </w:abstractNum>
  <w:abstractNum w:abstractNumId="31">
    <w:nsid w:val="5072367"/>
    <w:multiLevelType w:val="hybridMultilevel"/>
    <w:lvl w:ilvl="0">
      <w:lvlJc w:val="left"/>
      <w:lvlText w:val="%1."/>
      <w:numFmt w:val="decimal"/>
      <w:start w:val="14"/>
    </w:lvl>
    <w:lvl w:ilvl="1">
      <w:lvlJc w:val="left"/>
      <w:lvlText w:val="(%2)"/>
      <w:numFmt w:val="lowerRoman"/>
      <w:start w:val="1"/>
    </w:lvl>
  </w:abstractNum>
  <w:abstractNum w:abstractNumId="32">
    <w:nsid w:val="3804823E"/>
    <w:multiLevelType w:val="hybridMultilevel"/>
    <w:lvl w:ilvl="0">
      <w:lvlJc w:val="left"/>
      <w:lvlText w:val="%1."/>
      <w:numFmt w:val="decimal"/>
      <w:start w:val="24"/>
    </w:lvl>
  </w:abstractNum>
  <w:abstractNum w:abstractNumId="33">
    <w:nsid w:val="77465F01"/>
    <w:multiLevelType w:val="hybridMultilevel"/>
    <w:lvl w:ilvl="0">
      <w:lvlJc w:val="left"/>
      <w:lvlText w:val="%1."/>
      <w:numFmt w:val="decimal"/>
      <w:start w:val="29"/>
    </w:lvl>
  </w:abstractNum>
  <w:abstractNum w:abstractNumId="34">
    <w:nsid w:val="7724C67E"/>
    <w:multiLevelType w:val="hybridMultilevel"/>
    <w:lvl w:ilvl="0">
      <w:lvlJc w:val="left"/>
      <w:lvlText w:val="%1."/>
      <w:numFmt w:val="decimal"/>
      <w:start w:val="31"/>
    </w:lvl>
  </w:abstractNum>
  <w:abstractNum w:abstractNumId="35">
    <w:nsid w:val="5C482A97"/>
    <w:multiLevelType w:val="hybridMultilevel"/>
    <w:lvl w:ilvl="0">
      <w:lvlJc w:val="left"/>
      <w:lvlText w:val="%1."/>
      <w:numFmt w:val="decimal"/>
      <w:start w:val="32"/>
    </w:lvl>
    <w:lvl w:ilvl="1">
      <w:lvlJc w:val="left"/>
      <w:lvlText w:val="(%2)"/>
      <w:numFmt w:val="lowerRoman"/>
      <w:start w:val="1"/>
    </w:lvl>
  </w:abstractNum>
  <w:abstractNum w:abstractNumId="36">
    <w:nsid w:val="2463B9EA"/>
    <w:multiLevelType w:val="hybridMultilevel"/>
    <w:lvl w:ilvl="0">
      <w:lvlJc w:val="left"/>
      <w:lvlText w:val="%1"/>
      <w:numFmt w:val="decimal"/>
      <w:start w:val="1"/>
    </w:lvl>
    <w:lvl w:ilvl="1">
      <w:lvlJc w:val="left"/>
      <w:lvlText w:val="(%2)"/>
      <w:numFmt w:val="lowerRoman"/>
      <w:start w:val="4"/>
    </w:lvl>
  </w:abstractNum>
  <w:abstractNum w:abstractNumId="37">
    <w:nsid w:val="5E884ADC"/>
    <w:multiLevelType w:val="hybridMultilevel"/>
    <w:lvl w:ilvl="0">
      <w:lvlJc w:val="left"/>
      <w:lvlText w:val="%1."/>
      <w:numFmt w:val="decimal"/>
      <w:start w:val="33"/>
    </w:lvl>
    <w:lvl w:ilvl="1">
      <w:lvlJc w:val="left"/>
      <w:lvlText w:val="%2"/>
      <w:numFmt w:val="lowerRoman"/>
      <w:start w:val="1"/>
    </w:lvl>
  </w:abstractNum>
  <w:abstractNum w:abstractNumId="38">
    <w:nsid w:val="51EAD36B"/>
    <w:multiLevelType w:val="hybridMultilevel"/>
    <w:lvl w:ilvl="0">
      <w:lvlJc w:val="left"/>
      <w:lvlText w:val="%1."/>
      <w:numFmt w:val="decimal"/>
      <w:start w:val="39"/>
    </w:lvl>
  </w:abstractNum>
  <w:abstractNum w:abstractNumId="39">
    <w:nsid w:val="2D517796"/>
    <w:multiLevelType w:val="hybridMultilevel"/>
    <w:lvl w:ilvl="0">
      <w:lvlJc w:val="left"/>
      <w:lvlText w:val="%1."/>
      <w:numFmt w:val="decimal"/>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2019-12-13T18:08:10Z</dcterms:created>
  <dcterms:modified xsi:type="dcterms:W3CDTF">2019-12-13T18:08:10Z</dcterms:modified>
</cp:coreProperties>
</file>