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2000</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(Exact name of small business issuer as specified in its charter)</w:t>
      </w:r>
    </w:p>
    <w:p>
      <w:pPr>
        <w:spacing w:after="0" w:line="200" w:lineRule="exact"/>
        <w:rPr>
          <w:sz w:val="24"/>
          <w:szCs w:val="24"/>
          <w:color w:val="auto"/>
        </w:rPr>
      </w:pPr>
    </w:p>
    <w:p>
      <w:pPr>
        <w:spacing w:after="0" w:line="203" w:lineRule="exact"/>
        <w:rPr>
          <w:sz w:val="24"/>
          <w:szCs w:val="24"/>
          <w:color w:val="auto"/>
        </w:rPr>
      </w:pPr>
    </w:p>
    <w:p>
      <w:pPr>
        <w:ind w:left="1380"/>
        <w:spacing w:after="0"/>
        <w:tabs>
          <w:tab w:leader="none" w:pos="67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87-0398877</w:t>
      </w:r>
    </w:p>
    <w:p>
      <w:pPr>
        <w:ind w:left="13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tabs>
          <w:tab w:leader="none" w:pos="662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tabs>
          <w:tab w:leader="none" w:pos="630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1060"/>
        <w:spacing w:after="0"/>
        <w:tabs>
          <w:tab w:leader="none" w:pos="6520" w:val="left"/>
        </w:tabs>
        <w:rPr>
          <w:sz w:val="20"/>
          <w:szCs w:val="20"/>
          <w:color w:val="auto"/>
        </w:rPr>
      </w:pPr>
      <w:r>
        <w:rPr>
          <w:rFonts w:ascii="Courier New" w:cs="Courier New" w:eastAsia="Courier New" w:hAnsi="Courier New"/>
          <w:sz w:val="18"/>
          <w:szCs w:val="18"/>
          <w:color w:val="auto"/>
        </w:rPr>
        <w:t>1825 Research Way, Salt Lake City, Utah</w:t>
      </w:r>
      <w:r>
        <w:rPr>
          <w:sz w:val="20"/>
          <w:szCs w:val="20"/>
          <w:color w:val="auto"/>
        </w:rPr>
        <w:tab/>
      </w:r>
      <w:r>
        <w:rPr>
          <w:rFonts w:ascii="Courier New" w:cs="Courier New" w:eastAsia="Courier New" w:hAnsi="Courier New"/>
          <w:sz w:val="16"/>
          <w:szCs w:val="16"/>
          <w:color w:val="auto"/>
        </w:rPr>
        <w:t>84119</w:t>
      </w:r>
    </w:p>
    <w:p>
      <w:pPr>
        <w:ind w:left="10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6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(Issuer's telephone number)</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w:t>
      </w:r>
    </w:p>
    <w:p>
      <w:pPr>
        <w:jc w:val="center"/>
        <w:ind w:right="1879"/>
        <w:spacing w:after="0"/>
        <w:rPr>
          <w:sz w:val="20"/>
          <w:szCs w:val="20"/>
          <w:color w:val="auto"/>
        </w:rPr>
      </w:pPr>
      <w:r>
        <w:rPr>
          <w:rFonts w:ascii="Courier New" w:cs="Courier New" w:eastAsia="Courier New" w:hAnsi="Courier New"/>
          <w:sz w:val="18"/>
          <w:szCs w:val="18"/>
          <w:color w:val="auto"/>
        </w:rPr>
        <w:t>since last report.)</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 Yes [ ] No</w:t>
      </w:r>
    </w:p>
    <w:p>
      <w:pPr>
        <w:spacing w:after="0" w:line="207"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stock as of the latest practicable date.</w:t>
      </w:r>
    </w:p>
    <w:p>
      <w:pPr>
        <w:spacing w:after="0" w:line="203" w:lineRule="exact"/>
        <w:rPr>
          <w:sz w:val="24"/>
          <w:szCs w:val="24"/>
          <w:color w:val="auto"/>
        </w:rPr>
      </w:pPr>
    </w:p>
    <w:p>
      <w:pPr>
        <w:ind w:left="640"/>
        <w:spacing w:after="0"/>
        <w:tabs>
          <w:tab w:leader="none" w:pos="6100" w:val="left"/>
        </w:tabs>
        <w:rPr>
          <w:sz w:val="20"/>
          <w:szCs w:val="20"/>
          <w:color w:val="auto"/>
        </w:rPr>
      </w:pPr>
      <w:r>
        <w:rPr>
          <w:rFonts w:ascii="Courier New" w:cs="Courier New" w:eastAsia="Courier New" w:hAnsi="Courier New"/>
          <w:sz w:val="18"/>
          <w:szCs w:val="18"/>
          <w:color w:val="auto"/>
        </w:rPr>
        <w:t>Class of Common Stock</w:t>
      </w:r>
      <w:r>
        <w:rPr>
          <w:sz w:val="20"/>
          <w:szCs w:val="20"/>
          <w:color w:val="auto"/>
        </w:rPr>
        <w:tab/>
      </w:r>
      <w:r>
        <w:rPr>
          <w:rFonts w:ascii="Courier New" w:cs="Courier New" w:eastAsia="Courier New" w:hAnsi="Courier New"/>
          <w:sz w:val="16"/>
          <w:szCs w:val="16"/>
          <w:color w:val="auto"/>
        </w:rPr>
        <w:t>May 15, 2000</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$0.001 par value</w:t>
      </w:r>
      <w:r>
        <w:rPr>
          <w:sz w:val="20"/>
          <w:szCs w:val="20"/>
          <w:color w:val="auto"/>
        </w:rPr>
        <w:tab/>
      </w:r>
      <w:r>
        <w:rPr>
          <w:rFonts w:ascii="Courier New" w:cs="Courier New" w:eastAsia="Courier New" w:hAnsi="Courier New"/>
          <w:sz w:val="16"/>
          <w:szCs w:val="16"/>
          <w:color w:val="auto"/>
        </w:rPr>
        <w:t>8,372,038 shares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Transitional Small Business Disclosure Format (check one)</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 ] Yes [X]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7800"/>
        <w:spacing w:after="0"/>
        <w:rPr>
          <w:sz w:val="20"/>
          <w:szCs w:val="20"/>
          <w:color w:val="auto"/>
        </w:rPr>
      </w:pPr>
      <w:r>
        <w:rPr>
          <w:rFonts w:ascii="Courier New" w:cs="Courier New" w:eastAsia="Courier New" w:hAnsi="Courier New"/>
          <w:sz w:val="16"/>
          <w:szCs w:val="16"/>
          <w:color w:val="auto"/>
        </w:rPr>
        <w:t>Page</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7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Number</w:t>
            </w:r>
          </w:p>
        </w:tc>
      </w:tr>
      <w:tr>
        <w:trPr>
          <w:trHeight w:val="203"/>
        </w:trPr>
        <w:tc>
          <w:tcPr>
            <w:tcW w:w="77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700" w:type="dxa"/>
            <w:vAlign w:val="bottom"/>
          </w:tcPr>
          <w:p>
            <w:pPr>
              <w:spacing w:after="0"/>
              <w:rPr>
                <w:sz w:val="20"/>
                <w:szCs w:val="20"/>
                <w:color w:val="auto"/>
              </w:rPr>
            </w:pPr>
            <w:r>
              <w:rPr>
                <w:rFonts w:ascii="Courier New" w:cs="Courier New" w:eastAsia="Courier New" w:hAnsi="Courier New"/>
                <w:sz w:val="18"/>
                <w:szCs w:val="18"/>
                <w:color w:val="auto"/>
              </w:rPr>
              <w:t>PART I - FINANCIAL  INFORMATION</w:t>
            </w:r>
          </w:p>
        </w:tc>
        <w:tc>
          <w:tcPr>
            <w:tcW w:w="640" w:type="dxa"/>
            <w:vAlign w:val="bottom"/>
          </w:tcPr>
          <w:p>
            <w:pPr>
              <w:spacing w:after="0"/>
              <w:rPr>
                <w:sz w:val="24"/>
                <w:szCs w:val="24"/>
                <w:color w:val="auto"/>
              </w:rPr>
            </w:pPr>
          </w:p>
        </w:tc>
      </w:tr>
      <w:tr>
        <w:trPr>
          <w:trHeight w:val="405"/>
        </w:trPr>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rPr>
              <w:t>Item 1. Financial Statements</w:t>
            </w:r>
          </w:p>
        </w:tc>
        <w:tc>
          <w:tcPr>
            <w:tcW w:w="640" w:type="dxa"/>
            <w:vAlign w:val="bottom"/>
          </w:tcPr>
          <w:p>
            <w:pPr>
              <w:spacing w:after="0"/>
              <w:rPr>
                <w:sz w:val="24"/>
                <w:szCs w:val="24"/>
                <w:color w:val="auto"/>
              </w:rPr>
            </w:pPr>
          </w:p>
        </w:tc>
      </w:tr>
      <w:tr>
        <w:trPr>
          <w:trHeight w:val="405"/>
        </w:trPr>
        <w:tc>
          <w:tcPr>
            <w:tcW w:w="7700" w:type="dxa"/>
            <w:vAlign w:val="bottom"/>
          </w:tcPr>
          <w:p>
            <w:pPr>
              <w:ind w:left="960"/>
              <w:spacing w:after="0"/>
              <w:rPr>
                <w:sz w:val="20"/>
                <w:szCs w:val="20"/>
                <w:color w:val="auto"/>
              </w:rPr>
            </w:pPr>
            <w:r>
              <w:rPr>
                <w:rFonts w:ascii="Courier New" w:cs="Courier New" w:eastAsia="Courier New" w:hAnsi="Courier New"/>
                <w:sz w:val="18"/>
                <w:szCs w:val="18"/>
                <w:color w:val="auto"/>
              </w:rPr>
              <w:t>Balance Sheets</w:t>
            </w:r>
          </w:p>
        </w:tc>
        <w:tc>
          <w:tcPr>
            <w:tcW w:w="640" w:type="dxa"/>
            <w:vAlign w:val="bottom"/>
          </w:tcPr>
          <w:p>
            <w:pPr>
              <w:spacing w:after="0"/>
              <w:rPr>
                <w:sz w:val="24"/>
                <w:szCs w:val="24"/>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March 31, 2000 (unaudited) and June 30, 1999....................</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77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Income</w:t>
            </w:r>
          </w:p>
        </w:tc>
        <w:tc>
          <w:tcPr>
            <w:tcW w:w="640" w:type="dxa"/>
            <w:vAlign w:val="bottom"/>
          </w:tcPr>
          <w:p>
            <w:pPr>
              <w:spacing w:after="0"/>
              <w:rPr>
                <w:sz w:val="24"/>
                <w:szCs w:val="24"/>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Three Months Ended March 31, 2000 and</w:t>
            </w:r>
          </w:p>
        </w:tc>
        <w:tc>
          <w:tcPr>
            <w:tcW w:w="640" w:type="dxa"/>
            <w:vAlign w:val="bottom"/>
          </w:tcPr>
          <w:p>
            <w:pPr>
              <w:spacing w:after="0"/>
              <w:rPr>
                <w:sz w:val="17"/>
                <w:szCs w:val="17"/>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1999 (unaudited)................................................</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77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Income</w:t>
            </w:r>
          </w:p>
        </w:tc>
        <w:tc>
          <w:tcPr>
            <w:tcW w:w="640" w:type="dxa"/>
            <w:vAlign w:val="bottom"/>
          </w:tcPr>
          <w:p>
            <w:pPr>
              <w:spacing w:after="0"/>
              <w:rPr>
                <w:sz w:val="24"/>
                <w:szCs w:val="24"/>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Nine Months Ended March 31, 2000 and</w:t>
            </w:r>
          </w:p>
        </w:tc>
        <w:tc>
          <w:tcPr>
            <w:tcW w:w="640" w:type="dxa"/>
            <w:vAlign w:val="bottom"/>
          </w:tcPr>
          <w:p>
            <w:pPr>
              <w:spacing w:after="0"/>
              <w:rPr>
                <w:sz w:val="17"/>
                <w:szCs w:val="17"/>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1999 (unaudited)................................................</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7700" w:type="dxa"/>
            <w:vAlign w:val="bottom"/>
          </w:tcPr>
          <w:p>
            <w:pPr>
              <w:ind w:left="960"/>
              <w:spacing w:after="0"/>
              <w:rPr>
                <w:sz w:val="20"/>
                <w:szCs w:val="20"/>
                <w:color w:val="auto"/>
              </w:rPr>
            </w:pPr>
            <w:r>
              <w:rPr>
                <w:rFonts w:ascii="Courier New" w:cs="Courier New" w:eastAsia="Courier New" w:hAnsi="Courier New"/>
                <w:sz w:val="18"/>
                <w:szCs w:val="18"/>
                <w:color w:val="auto"/>
              </w:rPr>
              <w:t>Statements of Cash Flows</w:t>
            </w:r>
          </w:p>
        </w:tc>
        <w:tc>
          <w:tcPr>
            <w:tcW w:w="640" w:type="dxa"/>
            <w:vAlign w:val="bottom"/>
          </w:tcPr>
          <w:p>
            <w:pPr>
              <w:spacing w:after="0"/>
              <w:rPr>
                <w:sz w:val="24"/>
                <w:szCs w:val="24"/>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Nine Months Ended March 31, 2000 and</w:t>
            </w:r>
          </w:p>
        </w:tc>
        <w:tc>
          <w:tcPr>
            <w:tcW w:w="640" w:type="dxa"/>
            <w:vAlign w:val="bottom"/>
          </w:tcPr>
          <w:p>
            <w:pPr>
              <w:spacing w:after="0"/>
              <w:rPr>
                <w:sz w:val="17"/>
                <w:szCs w:val="17"/>
                <w:color w:val="auto"/>
              </w:rPr>
            </w:pPr>
          </w:p>
        </w:tc>
      </w:tr>
      <w:tr>
        <w:trPr>
          <w:trHeight w:val="203"/>
        </w:trPr>
        <w:tc>
          <w:tcPr>
            <w:tcW w:w="7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4"/>
              </w:rPr>
              <w:t>1999 (unaudited)................................................</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7700" w:type="dxa"/>
            <w:vAlign w:val="bottom"/>
          </w:tcPr>
          <w:p>
            <w:pPr>
              <w:ind w:left="960"/>
              <w:spacing w:after="0"/>
              <w:rPr>
                <w:sz w:val="20"/>
                <w:szCs w:val="20"/>
                <w:color w:val="auto"/>
              </w:rPr>
            </w:pPr>
            <w:r>
              <w:rPr>
                <w:rFonts w:ascii="Courier New" w:cs="Courier New" w:eastAsia="Courier New" w:hAnsi="Courier New"/>
                <w:sz w:val="18"/>
                <w:szCs w:val="18"/>
                <w:color w:val="auto"/>
                <w:w w:val="94"/>
              </w:rPr>
              <w:t>Notes to Financial Statements.....................................</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r>
      <w:tr>
        <w:trPr>
          <w:trHeight w:val="608"/>
        </w:trPr>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rPr>
              <w:t>Item 2. Management's Discussion and Analysis of Financial</w:t>
            </w:r>
          </w:p>
        </w:tc>
        <w:tc>
          <w:tcPr>
            <w:tcW w:w="640" w:type="dxa"/>
            <w:vAlign w:val="bottom"/>
          </w:tcPr>
          <w:p>
            <w:pPr>
              <w:spacing w:after="0"/>
              <w:rPr>
                <w:sz w:val="24"/>
                <w:szCs w:val="24"/>
                <w:color w:val="auto"/>
              </w:rPr>
            </w:pPr>
          </w:p>
        </w:tc>
      </w:tr>
      <w:tr>
        <w:trPr>
          <w:trHeight w:val="203"/>
        </w:trPr>
        <w:tc>
          <w:tcPr>
            <w:tcW w:w="7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4"/>
              </w:rPr>
              <w:t>Condition and Results of Operations...............................</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810"/>
        </w:trPr>
        <w:tc>
          <w:tcPr>
            <w:tcW w:w="7700" w:type="dxa"/>
            <w:vAlign w:val="bottom"/>
          </w:tcPr>
          <w:p>
            <w:pPr>
              <w:spacing w:after="0"/>
              <w:rPr>
                <w:sz w:val="20"/>
                <w:szCs w:val="20"/>
                <w:color w:val="auto"/>
              </w:rPr>
            </w:pPr>
            <w:r>
              <w:rPr>
                <w:rFonts w:ascii="Courier New" w:cs="Courier New" w:eastAsia="Courier New" w:hAnsi="Courier New"/>
                <w:sz w:val="18"/>
                <w:szCs w:val="18"/>
                <w:color w:val="auto"/>
              </w:rPr>
              <w:t>PART II - OTHER  INFORMATION</w:t>
            </w:r>
          </w:p>
        </w:tc>
        <w:tc>
          <w:tcPr>
            <w:tcW w:w="640" w:type="dxa"/>
            <w:vAlign w:val="bottom"/>
          </w:tcPr>
          <w:p>
            <w:pPr>
              <w:spacing w:after="0"/>
              <w:rPr>
                <w:sz w:val="24"/>
                <w:szCs w:val="24"/>
                <w:color w:val="auto"/>
              </w:rPr>
            </w:pPr>
          </w:p>
        </w:tc>
      </w:tr>
      <w:tr>
        <w:trPr>
          <w:trHeight w:val="405"/>
        </w:trPr>
        <w:tc>
          <w:tcPr>
            <w:tcW w:w="7700" w:type="dxa"/>
            <w:vAlign w:val="bottom"/>
          </w:tcPr>
          <w:p>
            <w:pPr>
              <w:ind w:left="220"/>
              <w:spacing w:after="0"/>
              <w:rPr>
                <w:sz w:val="20"/>
                <w:szCs w:val="20"/>
                <w:color w:val="auto"/>
              </w:rPr>
            </w:pPr>
            <w:r>
              <w:rPr>
                <w:rFonts w:ascii="Courier New" w:cs="Courier New" w:eastAsia="Courier New" w:hAnsi="Courier New"/>
                <w:sz w:val="18"/>
                <w:szCs w:val="18"/>
                <w:color w:val="auto"/>
                <w:w w:val="94"/>
              </w:rPr>
              <w:t>Item 6.  Exhibits and Reports on Form 8-K................................</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w:t>
            </w:r>
          </w:p>
        </w:tc>
      </w:tr>
      <w:tr>
        <w:trPr>
          <w:trHeight w:val="810"/>
        </w:trPr>
        <w:tc>
          <w:tcPr>
            <w:tcW w:w="7700" w:type="dxa"/>
            <w:vAlign w:val="bottom"/>
          </w:tcPr>
          <w:p>
            <w:pPr>
              <w:ind w:left="4120"/>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(Unaudited)</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6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Cash and cash equivalents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$ 5,372,790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$ 3,922,183</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net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3,620,967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2,242,294</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3,459,214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2,858,835</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taxes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347,482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143,441</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12,915,453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9,281,753</w:t>
            </w:r>
          </w:p>
        </w:tc>
      </w:tr>
      <w:tr>
        <w:trPr>
          <w:trHeight w:val="405"/>
        </w:trPr>
        <w:tc>
          <w:tcPr>
            <w:tcW w:w="6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and equipment, net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2,572,657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2,125,959</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net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62,484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111,702</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assets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$15,550,594</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$11,519,414</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90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LIABILITIES AND SHAREHOLDERS' EQUITY</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747,493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725,193</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compensation and other benefits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726,975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762,345</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income tax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378,087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229,087</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accrued expenses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935,186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562,187</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capital lease obligations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244,190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215,854</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3,031,931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2,494,666</w:t>
            </w:r>
          </w:p>
        </w:tc>
      </w:tr>
      <w:tr>
        <w:trPr>
          <w:trHeight w:val="405"/>
        </w:trPr>
        <w:tc>
          <w:tcPr>
            <w:tcW w:w="6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Capital lease obligations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267,349</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455,389</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tax liability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217,000</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3,516,280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3,167,055</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 stock, 50,000,000 shares authorized, par value $.001,</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8,361,880 and 8,129,691 shares issued and outstanding at</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 2000 and June 30, 1999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8,362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8,130</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paid-in capital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5,334,164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5,024,858</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6,691,788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3,319,371</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12,034,314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8,352,359</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liabilities and shareholders' equity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$15,550,594</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$11,519,414</w:t>
            </w:r>
          </w:p>
        </w:tc>
      </w:tr>
      <w:tr>
        <w:trPr>
          <w:trHeight w:val="203"/>
        </w:trPr>
        <w:tc>
          <w:tcPr>
            <w:tcW w:w="690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97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120" w:type="dxa"/>
            <w:vAlign w:val="bottom"/>
          </w:tcPr>
          <w:p>
            <w:pPr>
              <w:spacing w:after="0"/>
              <w:rPr>
                <w:sz w:val="17"/>
                <w:szCs w:val="17"/>
                <w:color w:val="auto"/>
              </w:rPr>
            </w:pPr>
          </w:p>
        </w:tc>
        <w:tc>
          <w:tcPr>
            <w:tcW w:w="3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4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Product sales ................................</w:t>
            </w:r>
          </w:p>
        </w:tc>
        <w:tc>
          <w:tcPr>
            <w:tcW w:w="178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$ 6,161,804</w:t>
            </w:r>
          </w:p>
        </w:tc>
        <w:tc>
          <w:tcPr>
            <w:tcW w:w="1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$ 4,996,200</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Service sales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1,705,629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822,951</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net sales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7,867,433</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5,819,151</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Cost of goods sold - products ................</w:t>
            </w:r>
          </w:p>
        </w:tc>
        <w:tc>
          <w:tcPr>
            <w:tcW w:w="4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2,152,928</w:t>
            </w:r>
          </w:p>
        </w:tc>
        <w:tc>
          <w:tcPr>
            <w:tcW w:w="4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1,895,810</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Cost of goods sold - services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751,526</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541,433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cost of goods sold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2,904,454</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2,437,243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Gross profit .................................</w:t>
            </w:r>
          </w:p>
        </w:tc>
        <w:tc>
          <w:tcPr>
            <w:tcW w:w="4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4,962,979</w:t>
            </w:r>
          </w:p>
        </w:tc>
        <w:tc>
          <w:tcPr>
            <w:tcW w:w="4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3,381,908</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and selling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1,808,549</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1,290,077</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779,953</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723,669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Product development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436,582</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375,850</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3,025,084</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2,389,596</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Operating income .....................</w:t>
            </w:r>
          </w:p>
        </w:tc>
        <w:tc>
          <w:tcPr>
            <w:tcW w:w="4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1,937,895</w:t>
            </w:r>
          </w:p>
        </w:tc>
        <w:tc>
          <w:tcPr>
            <w:tcW w:w="4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992,312</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income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59,355</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21,490</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w:t>
            </w:r>
          </w:p>
        </w:tc>
        <w:tc>
          <w:tcPr>
            <w:tcW w:w="48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(15,689)</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(37,077)</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w:t>
            </w:r>
          </w:p>
        </w:tc>
        <w:tc>
          <w:tcPr>
            <w:tcW w:w="48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(2,576)</w:t>
            </w:r>
          </w:p>
        </w:tc>
        <w:tc>
          <w:tcPr>
            <w:tcW w:w="4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(9,696)</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 other income (expense) .........</w:t>
            </w:r>
          </w:p>
        </w:tc>
        <w:tc>
          <w:tcPr>
            <w:tcW w:w="4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41,090</w:t>
            </w:r>
          </w:p>
        </w:tc>
        <w:tc>
          <w:tcPr>
            <w:tcW w:w="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(25,283)</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Income before income taxes ...................</w:t>
            </w:r>
          </w:p>
        </w:tc>
        <w:tc>
          <w:tcPr>
            <w:tcW w:w="480" w:type="dxa"/>
            <w:vAlign w:val="bottom"/>
          </w:tcPr>
          <w:p>
            <w:pPr>
              <w:spacing w:after="0"/>
              <w:rPr>
                <w:sz w:val="24"/>
                <w:szCs w:val="24"/>
                <w:color w:val="auto"/>
              </w:rPr>
            </w:pP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1,978,985</w:t>
            </w:r>
          </w:p>
        </w:tc>
        <w:tc>
          <w:tcPr>
            <w:tcW w:w="4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967,029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Provision for income taxes ...................</w:t>
            </w:r>
          </w:p>
        </w:tc>
        <w:tc>
          <w:tcPr>
            <w:tcW w:w="48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738,730</w:t>
            </w:r>
          </w:p>
        </w:tc>
        <w:tc>
          <w:tcPr>
            <w:tcW w:w="4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360,700</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w:t>
            </w: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$ 1,240,255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606,329</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Basic earnings per common share ..............</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0.15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0.07</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Diluted earnings per common share ............</w:t>
            </w:r>
          </w:p>
        </w:tc>
        <w:tc>
          <w:tcPr>
            <w:tcW w:w="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0.14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0.07</w:t>
            </w:r>
          </w:p>
        </w:tc>
      </w:tr>
      <w:tr>
        <w:trPr>
          <w:trHeight w:val="203"/>
        </w:trPr>
        <w:tc>
          <w:tcPr>
            <w:tcW w:w="5120" w:type="dxa"/>
            <w:vAlign w:val="bottom"/>
          </w:tcPr>
          <w:p>
            <w:pPr>
              <w:spacing w:after="0"/>
              <w:rPr>
                <w:sz w:val="17"/>
                <w:szCs w:val="17"/>
                <w:color w:val="auto"/>
              </w:rPr>
            </w:pPr>
          </w:p>
        </w:tc>
        <w:tc>
          <w:tcPr>
            <w:tcW w:w="17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Nine Months Ended</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4900" w:type="dxa"/>
            <w:vAlign w:val="bottom"/>
          </w:tcPr>
          <w:p>
            <w:pPr>
              <w:spacing w:after="0"/>
              <w:rPr>
                <w:sz w:val="17"/>
                <w:szCs w:val="17"/>
                <w:color w:val="auto"/>
              </w:rPr>
            </w:pPr>
          </w:p>
        </w:tc>
        <w:tc>
          <w:tcPr>
            <w:tcW w:w="35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2000</w:t>
            </w:r>
          </w:p>
        </w:tc>
        <w:tc>
          <w:tcPr>
            <w:tcW w:w="4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Product sales ..............................</w:t>
            </w:r>
          </w:p>
        </w:tc>
        <w:tc>
          <w:tcPr>
            <w:tcW w:w="19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$ 18,284,087</w:t>
            </w:r>
          </w:p>
        </w:tc>
        <w:tc>
          <w:tcPr>
            <w:tcW w:w="16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$ 14,189,873</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Service sales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4,083,458</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2,380,696</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net sales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22,367,545</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16,570,569</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Cost of goods sold - products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6,516,618</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5,553,051</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Cost of goods sold - services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2,062,123</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1,763,717</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cost of goods sold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8,578,741</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7,316,768</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Gross profit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13,788,804</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9,253,801</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and selling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4,845,321</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3,509,366</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2,276,966</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1,912,388</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Product development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1,393,170</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1,146,785</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8,515,457</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6,568,539</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Operating income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5,273,347</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2,685,262</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income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160,484</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65,926</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w:t>
            </w:r>
          </w:p>
        </w:tc>
        <w:tc>
          <w:tcPr>
            <w:tcW w:w="38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(51,650)</w:t>
            </w:r>
          </w:p>
        </w:tc>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(127,367)</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w:t>
            </w:r>
          </w:p>
        </w:tc>
        <w:tc>
          <w:tcPr>
            <w:tcW w:w="380" w:type="dxa"/>
            <w:vAlign w:val="bottom"/>
          </w:tcPr>
          <w:p>
            <w:pPr>
              <w:spacing w:after="0"/>
              <w:rPr>
                <w:sz w:val="17"/>
                <w:szCs w:val="17"/>
                <w:color w:val="auto"/>
              </w:rPr>
            </w:pP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(4,034)</w:t>
            </w:r>
          </w:p>
        </w:tc>
        <w:tc>
          <w:tcPr>
            <w:tcW w:w="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(14,913)</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 other income (expense)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104,800</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(76,354)</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Income before income taxes .................</w:t>
            </w:r>
          </w:p>
        </w:tc>
        <w:tc>
          <w:tcPr>
            <w:tcW w:w="38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5,378,147</w:t>
            </w:r>
          </w:p>
        </w:tc>
        <w:tc>
          <w:tcPr>
            <w:tcW w:w="42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2,608,908</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Provision for income taxes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2,005,730</w:t>
            </w:r>
          </w:p>
        </w:tc>
        <w:tc>
          <w:tcPr>
            <w:tcW w:w="42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976,700</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w:t>
            </w:r>
          </w:p>
        </w:tc>
        <w:tc>
          <w:tcPr>
            <w:tcW w:w="38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$_3,372,417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1,632,208</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Basic earnings per common share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0.41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0.20</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Diluted earnings per common share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0.39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0.19</w:t>
            </w:r>
          </w:p>
        </w:tc>
      </w:tr>
      <w:tr>
        <w:trPr>
          <w:trHeight w:val="203"/>
        </w:trPr>
        <w:tc>
          <w:tcPr>
            <w:tcW w:w="4900" w:type="dxa"/>
            <w:vAlign w:val="bottom"/>
          </w:tcPr>
          <w:p>
            <w:pPr>
              <w:spacing w:after="0"/>
              <w:rPr>
                <w:sz w:val="17"/>
                <w:szCs w:val="17"/>
                <w:color w:val="auto"/>
              </w:rPr>
            </w:pPr>
          </w:p>
        </w:tc>
        <w:tc>
          <w:tcPr>
            <w:tcW w:w="19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59"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3000" w:type="dxa"/>
            <w:vAlign w:val="bottom"/>
            <w:gridSpan w:val="3"/>
          </w:tcPr>
          <w:p>
            <w:pPr>
              <w:jc w:val="center"/>
              <w:ind w:left="272"/>
              <w:spacing w:after="0"/>
              <w:rPr>
                <w:sz w:val="20"/>
                <w:szCs w:val="20"/>
                <w:color w:val="auto"/>
              </w:rPr>
            </w:pPr>
            <w:r>
              <w:rPr>
                <w:rFonts w:ascii="Courier New" w:cs="Courier New" w:eastAsia="Courier New" w:hAnsi="Courier New"/>
                <w:sz w:val="18"/>
                <w:szCs w:val="18"/>
                <w:color w:val="auto"/>
                <w:w w:val="97"/>
              </w:rPr>
              <w:t>(Unaudited)</w:t>
            </w:r>
          </w:p>
        </w:tc>
      </w:tr>
      <w:tr>
        <w:trPr>
          <w:trHeight w:val="203"/>
        </w:trPr>
        <w:tc>
          <w:tcPr>
            <w:tcW w:w="6700" w:type="dxa"/>
            <w:vAlign w:val="bottom"/>
          </w:tcPr>
          <w:p>
            <w:pPr>
              <w:spacing w:after="0"/>
              <w:rPr>
                <w:sz w:val="17"/>
                <w:szCs w:val="17"/>
                <w:color w:val="auto"/>
              </w:rPr>
            </w:pPr>
          </w:p>
        </w:tc>
        <w:tc>
          <w:tcPr>
            <w:tcW w:w="3000" w:type="dxa"/>
            <w:vAlign w:val="bottom"/>
            <w:gridSpan w:val="3"/>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Nine Months Ended</w:t>
            </w:r>
          </w:p>
        </w:tc>
      </w:tr>
      <w:tr>
        <w:trPr>
          <w:trHeight w:val="203"/>
        </w:trPr>
        <w:tc>
          <w:tcPr>
            <w:tcW w:w="6700" w:type="dxa"/>
            <w:vAlign w:val="bottom"/>
          </w:tcPr>
          <w:p>
            <w:pPr>
              <w:spacing w:after="0"/>
              <w:rPr>
                <w:sz w:val="17"/>
                <w:szCs w:val="17"/>
                <w:color w:val="auto"/>
              </w:rPr>
            </w:pPr>
          </w:p>
        </w:tc>
        <w:tc>
          <w:tcPr>
            <w:tcW w:w="3000" w:type="dxa"/>
            <w:vAlign w:val="bottom"/>
            <w:gridSpan w:val="3"/>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March 31,</w:t>
            </w:r>
          </w:p>
        </w:tc>
      </w:tr>
      <w:tr>
        <w:trPr>
          <w:trHeight w:val="203"/>
        </w:trPr>
        <w:tc>
          <w:tcPr>
            <w:tcW w:w="6700" w:type="dxa"/>
            <w:vAlign w:val="bottom"/>
          </w:tcPr>
          <w:p>
            <w:pPr>
              <w:spacing w:after="0"/>
              <w:rPr>
                <w:sz w:val="17"/>
                <w:szCs w:val="17"/>
                <w:color w:val="auto"/>
              </w:rPr>
            </w:pPr>
          </w:p>
        </w:tc>
        <w:tc>
          <w:tcPr>
            <w:tcW w:w="3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income ...............................................</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$ 3,372,417</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$ 1,632,208</w:t>
            </w:r>
          </w:p>
        </w:tc>
      </w:tr>
      <w:tr>
        <w:trPr>
          <w:trHeight w:val="203"/>
        </w:trPr>
        <w:tc>
          <w:tcPr>
            <w:tcW w:w="670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Depreciation and amortization of property and</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equipment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559,742</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535,633</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other assets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18,224</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16,374</w:t>
            </w:r>
          </w:p>
        </w:tc>
      </w:tr>
      <w:tr>
        <w:trPr>
          <w:trHeight w:val="203"/>
        </w:trPr>
        <w:tc>
          <w:tcPr>
            <w:tcW w:w="6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(1,378,673)</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(997,450)</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(600,379)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277,876</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(204,041)</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(56,495)</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and other accrued expenses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508,929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937,278</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operating activities .........</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2,276,219</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2,345,424</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Purchases of property and equipment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(1,006,440)</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(413,265)</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Repayment of note receivable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30,994</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17,459</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Decrease in other assets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1,752</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used in investing activities .............</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(975,446)</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(394,054)</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Proceeds from issuance of common stock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23,820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2,902</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 of employee stock options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285,718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318,050</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capital lease obligations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(159,704)</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(166,115)</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Principal payments of long-term debt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(688,214)</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cash provided by (used in) financing activities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149,834</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(533,377)</w:t>
            </w: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increase in cash .........................................</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1,450,607</w:t>
            </w:r>
          </w:p>
        </w:tc>
        <w:tc>
          <w:tcPr>
            <w:tcW w:w="3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1,417,993</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Cash at the beginning of the year ............................</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3,922,183</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715,325</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Cash at the end of the period ................................</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$ 5,372,790</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$ 2,133,218</w:t>
            </w:r>
          </w:p>
        </w:tc>
      </w:tr>
      <w:tr>
        <w:trPr>
          <w:trHeight w:val="203"/>
        </w:trPr>
        <w:tc>
          <w:tcPr>
            <w:tcW w:w="67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$(1,856,000)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(708,593)</w:t>
            </w:r>
          </w:p>
        </w:tc>
      </w:tr>
      <w:tr>
        <w:trPr>
          <w:trHeight w:val="203"/>
        </w:trPr>
        <w:tc>
          <w:tcPr>
            <w:tcW w:w="6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paid .....................................</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(51,650)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25" w:right="1440" w:bottom="1440" w:gutter="0" w:footer="0" w:header="0"/>
        </w:sectPr>
      </w:pPr>
    </w:p>
    <w:bookmarkStart w:id="6" w:name="page7"/>
    <w:bookmarkEnd w:id="6"/>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ind w:left="3480"/>
        <w:spacing w:after="0" w:line="238" w:lineRule="auto"/>
        <w:rPr>
          <w:sz w:val="20"/>
          <w:szCs w:val="20"/>
          <w:color w:val="auto"/>
        </w:rPr>
      </w:pPr>
      <w:r>
        <w:rPr>
          <w:rFonts w:ascii="Courier New" w:cs="Courier New" w:eastAsia="Courier New" w:hAnsi="Courier New"/>
          <w:sz w:val="18"/>
          <w:szCs w:val="18"/>
          <w:color w:val="auto"/>
        </w:rPr>
        <w:t>March 31, 2000</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2740"/>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1999 Annual Report and Form 10-KSB.</w:t>
      </w:r>
    </w:p>
    <w:p>
      <w:pPr>
        <w:spacing w:after="0" w:line="188"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The following tables set forth the computation of basic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March</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0" w:type="dxa"/>
            <w:vAlign w:val="bottom"/>
          </w:tcPr>
          <w:p>
            <w:pPr>
              <w:spacing w:after="0" w:line="203" w:lineRule="exact"/>
              <w:rPr>
                <w:sz w:val="20"/>
                <w:szCs w:val="20"/>
                <w:color w:val="auto"/>
              </w:rPr>
            </w:pPr>
            <w:r>
              <w:rPr>
                <w:rFonts w:ascii="Courier New" w:cs="Courier New" w:eastAsia="Courier New" w:hAnsi="Courier New"/>
                <w:sz w:val="18"/>
                <w:szCs w:val="18"/>
                <w:color w:val="auto"/>
              </w:rPr>
              <w:t>Numerator:</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86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Net income .................................................................</w:t>
            </w: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$1,240,255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606,329</w:t>
            </w:r>
          </w:p>
        </w:tc>
      </w:tr>
      <w:tr>
        <w:trPr>
          <w:trHeight w:val="203"/>
        </w:trPr>
        <w:tc>
          <w:tcPr>
            <w:tcW w:w="8600" w:type="dxa"/>
            <w:vAlign w:val="bottom"/>
          </w:tcPr>
          <w:p>
            <w:pPr>
              <w:spacing w:after="0"/>
              <w:rPr>
                <w:sz w:val="17"/>
                <w:szCs w:val="17"/>
                <w:color w:val="auto"/>
              </w:rPr>
            </w:pPr>
          </w:p>
        </w:tc>
        <w:tc>
          <w:tcPr>
            <w:tcW w:w="14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8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 .......</w:t>
            </w:r>
          </w:p>
        </w:tc>
        <w:tc>
          <w:tcPr>
            <w:tcW w:w="2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8,300,841</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8,123,953</w:t>
            </w:r>
          </w:p>
        </w:tc>
      </w:tr>
      <w:tr>
        <w:trPr>
          <w:trHeight w:val="203"/>
        </w:trPr>
        <w:tc>
          <w:tcPr>
            <w:tcW w:w="8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 ..................</w:t>
            </w:r>
          </w:p>
        </w:tc>
        <w:tc>
          <w:tcPr>
            <w:tcW w:w="2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554,964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418,191</w:t>
            </w:r>
          </w:p>
        </w:tc>
      </w:tr>
      <w:tr>
        <w:trPr>
          <w:trHeight w:val="203"/>
        </w:trPr>
        <w:tc>
          <w:tcPr>
            <w:tcW w:w="8600" w:type="dxa"/>
            <w:vAlign w:val="bottom"/>
          </w:tcPr>
          <w:p>
            <w:pPr>
              <w:spacing w:after="0"/>
              <w:rPr>
                <w:sz w:val="17"/>
                <w:szCs w:val="17"/>
                <w:color w:val="auto"/>
              </w:rPr>
            </w:pPr>
          </w:p>
        </w:tc>
        <w:tc>
          <w:tcPr>
            <w:tcW w:w="14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8,855,805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8,542,144</w:t>
            </w:r>
          </w:p>
        </w:tc>
      </w:tr>
      <w:tr>
        <w:trPr>
          <w:trHeight w:val="203"/>
        </w:trPr>
        <w:tc>
          <w:tcPr>
            <w:tcW w:w="8600" w:type="dxa"/>
            <w:vAlign w:val="bottom"/>
          </w:tcPr>
          <w:p>
            <w:pPr>
              <w:spacing w:after="0"/>
              <w:rPr>
                <w:sz w:val="17"/>
                <w:szCs w:val="17"/>
                <w:color w:val="auto"/>
              </w:rPr>
            </w:pPr>
          </w:p>
        </w:tc>
        <w:tc>
          <w:tcPr>
            <w:tcW w:w="14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Net income per share - basic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0.07</w:t>
            </w:r>
          </w:p>
        </w:tc>
      </w:tr>
      <w:tr>
        <w:trPr>
          <w:trHeight w:val="203"/>
        </w:trPr>
        <w:tc>
          <w:tcPr>
            <w:tcW w:w="86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Net income per share - dilutive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Numerator:</w:t>
            </w: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5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2"/>
              </w:rPr>
              <w:t>Net income .................................................................</w:t>
            </w:r>
          </w:p>
        </w:tc>
        <w:tc>
          <w:tcPr>
            <w:tcW w:w="2860" w:type="dxa"/>
            <w:vAlign w:val="bottom"/>
          </w:tcPr>
          <w:p>
            <w:pPr>
              <w:spacing w:after="0"/>
              <w:rPr>
                <w:sz w:val="24"/>
                <w:szCs w:val="24"/>
                <w:color w:val="auto"/>
              </w:rPr>
            </w:pP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$3,372,417</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$ 1,632,208</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8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Denominator for basic net income per share - weighted average shares .......</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8,230,546</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8,064,981</w:t>
            </w:r>
          </w:p>
        </w:tc>
      </w:tr>
      <w:tr>
        <w:trPr>
          <w:trHeight w:val="203"/>
        </w:trPr>
        <w:tc>
          <w:tcPr>
            <w:tcW w:w="380" w:type="dxa"/>
            <w:vAlign w:val="bottom"/>
          </w:tcPr>
          <w:p>
            <w:pPr>
              <w:spacing w:after="0"/>
              <w:rPr>
                <w:sz w:val="17"/>
                <w:szCs w:val="17"/>
                <w:color w:val="auto"/>
              </w:rPr>
            </w:pPr>
          </w:p>
        </w:tc>
        <w:tc>
          <w:tcPr>
            <w:tcW w:w="8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Effect of dilutive securities using treasury stock method ..................</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502,735</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319,380</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8,733,281</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8,384,361</w:t>
            </w:r>
          </w:p>
        </w:tc>
      </w:tr>
      <w:tr>
        <w:trPr>
          <w:trHeight w:val="203"/>
        </w:trPr>
        <w:tc>
          <w:tcPr>
            <w:tcW w:w="3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5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2"/>
              </w:rPr>
              <w:t>income per share - basic ...................................................</w:t>
            </w:r>
          </w:p>
        </w:tc>
        <w:tc>
          <w:tcPr>
            <w:tcW w:w="28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0.41</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0.20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5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2"/>
              </w:rPr>
              <w:t>income per share - dilutive ................................................</w:t>
            </w:r>
          </w:p>
        </w:tc>
        <w:tc>
          <w:tcPr>
            <w:tcW w:w="28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260" w:type="dxa"/>
            <w:vAlign w:val="bottom"/>
          </w:tcPr>
          <w:p>
            <w:pPr>
              <w:ind w:left="40"/>
              <w:spacing w:after="0"/>
              <w:rPr>
                <w:sz w:val="20"/>
                <w:szCs w:val="20"/>
                <w:color w:val="auto"/>
              </w:rPr>
            </w:pPr>
            <w:r>
              <w:rPr>
                <w:rFonts w:ascii="Courier New" w:cs="Courier New" w:eastAsia="Courier New" w:hAnsi="Courier New"/>
                <w:sz w:val="18"/>
                <w:szCs w:val="18"/>
                <w:color w:val="auto"/>
              </w:rPr>
              <w:t>Comprehensive Income</w:t>
            </w:r>
          </w:p>
        </w:tc>
        <w:tc>
          <w:tcPr>
            <w:tcW w:w="1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As of July 1, 1998,  the  Company  adopted</w:t>
            </w:r>
          </w:p>
        </w:tc>
        <w:tc>
          <w:tcPr>
            <w:tcW w:w="1100" w:type="dxa"/>
            <w:vAlign w:val="bottom"/>
          </w:tcPr>
          <w:p>
            <w:pPr>
              <w:spacing w:after="0"/>
              <w:rPr>
                <w:sz w:val="20"/>
                <w:szCs w:val="20"/>
                <w:color w:val="auto"/>
              </w:rPr>
            </w:pPr>
            <w:r>
              <w:rPr>
                <w:rFonts w:ascii="Courier New" w:cs="Courier New" w:eastAsia="Courier New" w:hAnsi="Courier New"/>
                <w:sz w:val="18"/>
                <w:szCs w:val="18"/>
                <w:color w:val="auto"/>
              </w:rPr>
              <w:t>Statement</w:t>
            </w:r>
          </w:p>
        </w:tc>
        <w:tc>
          <w:tcPr>
            <w:tcW w:w="28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of  Financial  Accounting</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Standards No. 130, "Reporting  Comprehensive</w:t>
            </w: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Income."</w:t>
            </w:r>
          </w:p>
        </w:tc>
        <w:tc>
          <w:tcPr>
            <w:tcW w:w="2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Comprehensive income for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82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nine-month periods ended March 31, 2000 and 1999 was equal to net income.</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ectPr>
          <w:pgSz w:w="11900" w:h="16838" w:orient="portrait"/>
          <w:cols w:equalWidth="0" w:num="1">
            <w:col w:w="11180"/>
          </w:cols>
          <w:pgMar w:left="240" w:top="919" w:right="479" w:bottom="159"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547" w:right="1440" w:bottom="1440" w:gutter="0" w:footer="0" w:header="0"/>
        </w:sectPr>
      </w:pPr>
    </w:p>
    <w:bookmarkStart w:id="8" w:name="page9"/>
    <w:bookmarkEnd w:id="8"/>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Inventory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Inventory is summarized as follows:</w:t>
      </w:r>
    </w:p>
    <w:p>
      <w:pPr>
        <w:sectPr>
          <w:pgSz w:w="11900" w:h="16838" w:orient="portrait"/>
          <w:cols w:equalWidth="0" w:num="1">
            <w:col w:w="10219"/>
          </w:cols>
          <w:pgMar w:left="240" w:top="919" w:right="1440" w:bottom="0" w:gutter="0" w:footer="0" w:header="0"/>
        </w:sectPr>
      </w:pP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(Unaudited)</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March 31,</w:t>
      </w:r>
    </w:p>
    <w:p>
      <w:pPr>
        <w:ind w:left="5060"/>
        <w:spacing w:after="0" w:line="238" w:lineRule="auto"/>
        <w:rPr>
          <w:sz w:val="20"/>
          <w:szCs w:val="20"/>
          <w:color w:val="auto"/>
        </w:rPr>
      </w:pPr>
      <w:r>
        <w:rPr>
          <w:rFonts w:ascii="Courier New" w:cs="Courier New" w:eastAsia="Courier New" w:hAnsi="Courier New"/>
          <w:sz w:val="18"/>
          <w:szCs w:val="18"/>
          <w:color w:val="auto"/>
        </w:rPr>
        <w:t>2000</w:t>
      </w:r>
    </w:p>
    <w:p>
      <w:pPr>
        <w:ind w:left="50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(Audited)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June 30,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1999</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ectPr>
          <w:pgSz w:w="11900" w:h="16838" w:orient="portrait"/>
          <w:cols w:equalWidth="0" w:num="2">
            <w:col w:w="6020" w:space="720"/>
            <w:col w:w="3479"/>
          </w:cols>
          <w:pgMar w:left="240" w:top="919" w:right="1440" w:bottom="0" w:gutter="0" w:footer="0" w:header="0"/>
          <w:type w:val="continuous"/>
        </w:sectPr>
      </w:pPr>
    </w:p>
    <w:p>
      <w:pPr>
        <w:ind w:left="860"/>
        <w:spacing w:after="0"/>
        <w:rPr>
          <w:sz w:val="20"/>
          <w:szCs w:val="20"/>
          <w:color w:val="auto"/>
        </w:rPr>
      </w:pPr>
      <w:r>
        <w:rPr>
          <w:rFonts w:ascii="Courier New" w:cs="Courier New" w:eastAsia="Courier New" w:hAnsi="Courier New"/>
          <w:sz w:val="18"/>
          <w:szCs w:val="18"/>
          <w:color w:val="auto"/>
        </w:rPr>
        <w:t>Raw Materials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Work in progress</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Finished Goods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6"/>
          <w:szCs w:val="16"/>
          <w:color w:val="auto"/>
        </w:rPr>
        <w:t>$ 1,507,356</w:t>
      </w:r>
    </w:p>
    <w:p>
      <w:pPr>
        <w:spacing w:after="0" w:line="16" w:lineRule="exact"/>
        <w:rPr>
          <w:sz w:val="20"/>
          <w:szCs w:val="20"/>
          <w:color w:val="auto"/>
        </w:rPr>
      </w:pPr>
    </w:p>
    <w:p>
      <w:pPr>
        <w:jc w:val="right"/>
        <w:ind w:right="20"/>
        <w:spacing w:after="0"/>
        <w:rPr>
          <w:sz w:val="20"/>
          <w:szCs w:val="20"/>
          <w:color w:val="auto"/>
        </w:rPr>
      </w:pPr>
      <w:r>
        <w:rPr>
          <w:rFonts w:ascii="Courier New" w:cs="Courier New" w:eastAsia="Courier New" w:hAnsi="Courier New"/>
          <w:sz w:val="18"/>
          <w:szCs w:val="18"/>
          <w:color w:val="auto"/>
        </w:rPr>
        <w:t>439,747</w:t>
      </w:r>
    </w:p>
    <w:p>
      <w:pPr>
        <w:jc w:val="right"/>
        <w:ind w:right="20"/>
        <w:spacing w:after="0" w:line="238" w:lineRule="auto"/>
        <w:rPr>
          <w:sz w:val="20"/>
          <w:szCs w:val="20"/>
          <w:color w:val="auto"/>
        </w:rPr>
      </w:pPr>
      <w:r>
        <w:rPr>
          <w:rFonts w:ascii="Courier New" w:cs="Courier New" w:eastAsia="Courier New" w:hAnsi="Courier New"/>
          <w:sz w:val="18"/>
          <w:szCs w:val="18"/>
          <w:color w:val="auto"/>
        </w:rPr>
        <w:t>1,512,111</w:t>
      </w:r>
    </w:p>
    <w:p>
      <w:pPr>
        <w:spacing w:after="0" w:line="5" w:lineRule="exact"/>
        <w:rPr>
          <w:sz w:val="20"/>
          <w:szCs w:val="20"/>
          <w:color w:val="auto"/>
        </w:rPr>
      </w:pPr>
    </w:p>
    <w:p>
      <w:pPr>
        <w:jc w:val="right"/>
        <w:ind w:right="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2419"/>
        <w:spacing w:after="0"/>
        <w:rPr>
          <w:sz w:val="20"/>
          <w:szCs w:val="20"/>
          <w:color w:val="auto"/>
        </w:rPr>
      </w:pPr>
      <w:r>
        <w:rPr>
          <w:rFonts w:ascii="Courier New" w:cs="Courier New" w:eastAsia="Courier New" w:hAnsi="Courier New"/>
          <w:sz w:val="16"/>
          <w:szCs w:val="16"/>
          <w:color w:val="auto"/>
        </w:rPr>
        <w:t>$ 1,055,615</w:t>
      </w:r>
    </w:p>
    <w:p>
      <w:pPr>
        <w:spacing w:after="0" w:line="1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347,898</w:t>
      </w:r>
    </w:p>
    <w:p>
      <w:pPr>
        <w:jc w:val="right"/>
        <w:ind w:right="2419"/>
        <w:spacing w:after="0" w:line="238" w:lineRule="auto"/>
        <w:rPr>
          <w:sz w:val="20"/>
          <w:szCs w:val="20"/>
          <w:color w:val="auto"/>
        </w:rPr>
      </w:pPr>
      <w:r>
        <w:rPr>
          <w:rFonts w:ascii="Courier New" w:cs="Courier New" w:eastAsia="Courier New" w:hAnsi="Courier New"/>
          <w:sz w:val="18"/>
          <w:szCs w:val="18"/>
          <w:color w:val="auto"/>
        </w:rPr>
        <w:t>1,455,322</w:t>
      </w:r>
    </w:p>
    <w:p>
      <w:pPr>
        <w:spacing w:after="0" w:line="5"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020" w:space="720"/>
            <w:col w:w="1180" w:space="720"/>
            <w:col w:w="3579"/>
          </w:cols>
          <w:pgMar w:left="240" w:top="919" w:right="1440" w:bottom="0" w:gutter="0" w:footer="0" w:header="0"/>
          <w:type w:val="continuous"/>
        </w:sectPr>
      </w:pPr>
    </w:p>
    <w:p>
      <w:pPr>
        <w:spacing w:after="0" w:line="2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Total inventory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rPr>
          <w:sz w:val="20"/>
          <w:szCs w:val="20"/>
          <w:color w:val="auto"/>
        </w:rPr>
      </w:pPr>
      <w:r>
        <w:rPr>
          <w:rFonts w:ascii="Courier New" w:cs="Courier New" w:eastAsia="Courier New" w:hAnsi="Courier New"/>
          <w:sz w:val="16"/>
          <w:szCs w:val="16"/>
          <w:color w:val="auto"/>
        </w:rPr>
        <w:t>$ 3,459,214</w:t>
      </w:r>
    </w:p>
    <w:p>
      <w:pPr>
        <w:spacing w:after="0" w:line="16" w:lineRule="exact"/>
        <w:rPr>
          <w:sz w:val="20"/>
          <w:szCs w:val="20"/>
          <w:color w:val="auto"/>
        </w:rPr>
      </w:pPr>
    </w:p>
    <w:p>
      <w:pPr>
        <w:jc w:val="right"/>
        <w:ind w:right="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6"/>
          <w:szCs w:val="16"/>
          <w:color w:val="auto"/>
        </w:rPr>
        <w:t>$ 2,858,835</w:t>
      </w:r>
    </w:p>
    <w:p>
      <w:pPr>
        <w:spacing w:after="0" w:line="1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020" w:space="720"/>
            <w:col w:w="1180" w:space="720"/>
            <w:col w:w="3579"/>
          </w:cols>
          <w:pgMar w:left="240" w:top="919" w:right="1440" w:bottom="0" w:gutter="0" w:footer="0" w:header="0"/>
          <w:type w:val="continuous"/>
        </w:sectPr>
      </w:pP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Weighted</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Number</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Shares</w:t>
            </w: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Exercise Price</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outstanding as of June 30, 1999 .......</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1,408,048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expired &amp; canceled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(80,000)</w:t>
            </w:r>
          </w:p>
        </w:tc>
        <w:tc>
          <w:tcPr>
            <w:tcW w:w="38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exercised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(63,750)</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0.93</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granted ...............................</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6.19</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outstanding as of September 30, 1999...</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1,339,298</w:t>
            </w:r>
          </w:p>
        </w:tc>
        <w:tc>
          <w:tcPr>
            <w:tcW w:w="38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2.16</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expired &amp; canceled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(142,500)</w:t>
            </w:r>
          </w:p>
        </w:tc>
        <w:tc>
          <w:tcPr>
            <w:tcW w:w="38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exercised .............................</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(34,900)</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granted ...............................</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224,500</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12.42</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outstanding as of December 31, 1999...</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1,386,398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3.81</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expired &amp; canceled ....................</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(62,000)</w:t>
            </w:r>
          </w:p>
        </w:tc>
        <w:tc>
          <w:tcPr>
            <w:tcW w:w="38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exercised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(132,350)</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granted ...............................</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19,500</w:t>
            </w:r>
          </w:p>
        </w:tc>
        <w:tc>
          <w:tcPr>
            <w:tcW w:w="3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19.63</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Options outstanding as of March 31, 2000 ......</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1,211,548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4.24</w:t>
            </w:r>
          </w:p>
        </w:tc>
      </w:tr>
      <w:tr>
        <w:trPr>
          <w:trHeight w:val="203"/>
        </w:trPr>
        <w:tc>
          <w:tcPr>
            <w:tcW w:w="5120" w:type="dxa"/>
            <w:vAlign w:val="bottom"/>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has changed how it evaluates its operations internally resulting in a change in its segments from its Form 10-KSB. To obtain a better understanding of conferencing products and services and the related business opportunities, management has divided the former conferencing segment into two segments. As a result, the Company operates in four different segments - Remote Facilities Management (RFM)/Broadcast, Conferencing Products, Conferencing Services and Other. The RFM/Broadcast segment consists of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airwaves to millions of listeners. The Conferencing Products segment consists of a full line of room system conferencing products including installed audio- and</w:t>
      </w:r>
    </w:p>
    <w:p>
      <w:pPr>
        <w:sectPr>
          <w:pgSz w:w="11900" w:h="16838" w:orient="portrait"/>
          <w:cols w:equalWidth="0" w:num="1">
            <w:col w:w="10219"/>
          </w:cols>
          <w:pgMar w:left="240" w:top="919" w:right="1440" w:bottom="0" w:gutter="0" w:footer="0" w:header="0"/>
          <w:type w:val="continuous"/>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750" w:right="1440" w:bottom="1440" w:gutter="0" w:footer="0" w:header="0"/>
        </w:sectPr>
      </w:pPr>
    </w:p>
    <w:bookmarkStart w:id="10" w:name="page11"/>
    <w:bookmarkEnd w:id="10"/>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9" w:lineRule="exact"/>
        <w:rPr>
          <w:sz w:val="20"/>
          <w:szCs w:val="20"/>
          <w:color w:val="auto"/>
        </w:rPr>
      </w:pPr>
    </w:p>
    <w:p>
      <w:pPr>
        <w:jc w:val="both"/>
        <w:ind w:right="2320"/>
        <w:spacing w:after="0" w:line="235" w:lineRule="auto"/>
        <w:rPr>
          <w:sz w:val="20"/>
          <w:szCs w:val="20"/>
          <w:color w:val="auto"/>
        </w:rPr>
      </w:pPr>
      <w:r>
        <w:rPr>
          <w:rFonts w:ascii="Courier New" w:cs="Courier New" w:eastAsia="Courier New" w:hAnsi="Courier New"/>
          <w:sz w:val="18"/>
          <w:szCs w:val="18"/>
          <w:color w:val="auto"/>
        </w:rPr>
        <w:t>videoconferencing products. The Conferencing Services segment includes conference calling services and document conferencing services.</w:t>
      </w:r>
    </w:p>
    <w:p>
      <w:pPr>
        <w:spacing w:after="0" w:line="208" w:lineRule="exact"/>
        <w:rPr>
          <w:sz w:val="20"/>
          <w:szCs w:val="20"/>
          <w:color w:val="auto"/>
        </w:rPr>
      </w:pPr>
    </w:p>
    <w:p>
      <w:pPr>
        <w:jc w:val="both"/>
        <w:ind w:right="2320"/>
        <w:spacing w:after="0" w:line="237" w:lineRule="auto"/>
        <w:rPr>
          <w:sz w:val="20"/>
          <w:szCs w:val="20"/>
          <w:color w:val="auto"/>
        </w:rPr>
      </w:pPr>
      <w:r>
        <w:rPr>
          <w:rFonts w:ascii="Courier New" w:cs="Courier New" w:eastAsia="Courier New" w:hAnsi="Courier New"/>
          <w:sz w:val="18"/>
          <w:szCs w:val="18"/>
          <w:color w:val="auto"/>
        </w:rPr>
        <w:t>As the Company continues to evaluate its internal reporting, the Company has further clarified the breakdown of its operations resulting in a change in the way certain revenues and expenses are reported in the second and third quarters as compared to the first quarter. All periods presented have been restated to reflect these changes.</w:t>
      </w:r>
    </w:p>
    <w:p>
      <w:pPr>
        <w:spacing w:after="0" w:line="209" w:lineRule="exact"/>
        <w:rPr>
          <w:sz w:val="20"/>
          <w:szCs w:val="20"/>
          <w:color w:val="auto"/>
        </w:rPr>
      </w:pPr>
    </w:p>
    <w:p>
      <w:pPr>
        <w:jc w:val="both"/>
        <w:ind w:right="2320"/>
        <w:spacing w:after="0" w:line="237" w:lineRule="auto"/>
        <w:rPr>
          <w:sz w:val="20"/>
          <w:szCs w:val="20"/>
          <w:color w:val="auto"/>
        </w:rPr>
      </w:pPr>
      <w:r>
        <w:rPr>
          <w:rFonts w:ascii="Courier New" w:cs="Courier New" w:eastAsia="Courier New" w:hAnsi="Courier New"/>
          <w:sz w:val="18"/>
          <w:szCs w:val="18"/>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209" w:lineRule="exact"/>
        <w:rPr>
          <w:sz w:val="20"/>
          <w:szCs w:val="20"/>
          <w:color w:val="auto"/>
        </w:rPr>
      </w:pPr>
    </w:p>
    <w:p>
      <w:pPr>
        <w:jc w:val="both"/>
        <w:ind w:right="2320"/>
        <w:spacing w:after="0" w:line="237"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tables summarize the segment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60" w:type="dxa"/>
            <w:vAlign w:val="bottom"/>
          </w:tcPr>
          <w:p>
            <w:pPr>
              <w:spacing w:after="0"/>
              <w:rPr>
                <w:sz w:val="17"/>
                <w:szCs w:val="17"/>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RFM/Broadcast</w:t>
            </w:r>
          </w:p>
        </w:tc>
        <w:tc>
          <w:tcPr>
            <w:tcW w:w="16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6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3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Quarter Ended March 31, 2000:</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1,802,155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4,340,422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1,667,139</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57,717</w:t>
            </w:r>
          </w:p>
        </w:tc>
        <w:tc>
          <w:tcPr>
            <w:tcW w:w="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7,867,433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661,195</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1,490,867</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730,854</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21,538</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2,904,454</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1,140,960</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2,849,555</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936,285</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36,179</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4,962,979</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261,973</w:t>
            </w:r>
          </w:p>
        </w:tc>
        <w:tc>
          <w:tcPr>
            <w:tcW w:w="16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1,032,111</w:t>
            </w:r>
          </w:p>
        </w:tc>
        <w:tc>
          <w:tcPr>
            <w:tcW w:w="16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514,472</w:t>
            </w:r>
          </w:p>
        </w:tc>
        <w:tc>
          <w:tcPr>
            <w:tcW w:w="3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3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1,808,549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779,953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154,816</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281,766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436,582</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3,025,084</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1,937,895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41,090</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1,978,985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(738,730)</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1,240,255</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Quarter Ended March 31, 1999:</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1,843,548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3,107,320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797,320</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70,963</w:t>
            </w:r>
          </w:p>
        </w:tc>
        <w:tc>
          <w:tcPr>
            <w:tcW w:w="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5,819,151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714,246</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1,143,900</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528,533</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50,564</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2,437,243</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1,129,302</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1,963,420</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268,787</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20,399</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3,381,908</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2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266,744</w:t>
            </w:r>
          </w:p>
        </w:tc>
        <w:tc>
          <w:tcPr>
            <w:tcW w:w="16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798,407</w:t>
            </w:r>
          </w:p>
        </w:tc>
        <w:tc>
          <w:tcPr>
            <w:tcW w:w="16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223,161</w:t>
            </w:r>
          </w:p>
        </w:tc>
        <w:tc>
          <w:tcPr>
            <w:tcW w:w="3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1,765</w:t>
            </w:r>
          </w:p>
        </w:tc>
        <w:tc>
          <w:tcPr>
            <w:tcW w:w="3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1,290,077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723,669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147,655</w:t>
            </w:r>
          </w:p>
        </w:tc>
        <w:tc>
          <w:tcPr>
            <w:tcW w:w="1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219,220</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8,975</w:t>
            </w: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375,850</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2,389,596</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992,312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(25,283)</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967,029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(360,700)</w:t>
            </w:r>
          </w:p>
        </w:tc>
      </w:tr>
      <w:tr>
        <w:trPr>
          <w:trHeight w:val="203"/>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606,329</w:t>
            </w:r>
          </w:p>
        </w:tc>
      </w:tr>
    </w:tbl>
    <w:p>
      <w:pPr>
        <w:sectPr>
          <w:pgSz w:w="11900" w:h="16838" w:orient="portrait"/>
          <w:cols w:equalWidth="0" w:num="1">
            <w:col w:w="10760"/>
          </w:cols>
          <w:pgMar w:left="240" w:top="919" w:right="899" w:bottom="0" w:gutter="0" w:footer="0" w:header="0"/>
        </w:sectPr>
      </w:pPr>
    </w:p>
    <w:bookmarkStart w:id="11" w:name="page12"/>
    <w:bookmarkEnd w:id="11"/>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440"/>
          </w:cols>
          <w:pgMar w:left="1440" w:top="136" w:right="1019" w:bottom="1440" w:gutter="0" w:footer="0" w:header="0"/>
        </w:sectPr>
      </w:pPr>
    </w:p>
    <w:bookmarkStart w:id="12" w:name="page13"/>
    <w:bookmarkEnd w:id="12"/>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Segment Reporting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7"/>
              </w:rPr>
              <w:t>Conferencing</w:t>
            </w:r>
          </w:p>
        </w:tc>
        <w:tc>
          <w:tcPr>
            <w:tcW w:w="160" w:type="dxa"/>
            <w:vAlign w:val="bottom"/>
          </w:tcPr>
          <w:p>
            <w:pPr>
              <w:spacing w:after="0"/>
              <w:rPr>
                <w:sz w:val="17"/>
                <w:szCs w:val="17"/>
                <w:color w:val="auto"/>
              </w:rPr>
            </w:pP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Conferencing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RFM/Broadcast</w:t>
            </w:r>
          </w:p>
        </w:tc>
        <w:tc>
          <w:tcPr>
            <w:tcW w:w="20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Products</w:t>
            </w:r>
          </w:p>
        </w:tc>
        <w:tc>
          <w:tcPr>
            <w:tcW w:w="160" w:type="dxa"/>
            <w:vAlign w:val="bottom"/>
          </w:tcPr>
          <w:p>
            <w:pPr>
              <w:spacing w:after="0"/>
              <w:rPr>
                <w:sz w:val="17"/>
                <w:szCs w:val="17"/>
                <w:color w:val="auto"/>
              </w:rPr>
            </w:pP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All Other</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Year-to-Date At March 31, 2000:</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08"/>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5,660,327</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12,517,171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3,921,480</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268,567</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$ 22,367,545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2,185,096</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4,295,674</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2,003,204</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94,767</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8,578,741</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3,475,231</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8,221,497</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1,918,276</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173,800</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13,788,804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904,835</w:t>
            </w:r>
          </w:p>
        </w:tc>
        <w:tc>
          <w:tcPr>
            <w:tcW w:w="2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2,729,298</w:t>
            </w:r>
          </w:p>
        </w:tc>
        <w:tc>
          <w:tcPr>
            <w:tcW w:w="16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1,208,604</w:t>
            </w:r>
          </w:p>
        </w:tc>
        <w:tc>
          <w:tcPr>
            <w:tcW w:w="3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2,584</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4,845,321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2,276,966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664,488</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728,682</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1,393,170</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8,515,457</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5,273,347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104,800</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5,378,147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(2,005,730)</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3,372,417</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Year-to-Date At March 31, 1999:</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5,235,620</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8,729,134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2,252,652</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353,163</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8"/>
              </w:rPr>
              <w:t>$ 16,570,569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2,117,870</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3,338,619</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1,703,688</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156,591</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7,316,768</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3,117,750</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5,390,515</w:t>
            </w:r>
          </w:p>
        </w:tc>
        <w:tc>
          <w:tcPr>
            <w:tcW w:w="16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548,964</w:t>
            </w: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196,572</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9,253,801</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Marketing and selling</w:t>
            </w:r>
          </w:p>
        </w:tc>
        <w:tc>
          <w:tcPr>
            <w:tcW w:w="1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852,278</w:t>
            </w:r>
          </w:p>
        </w:tc>
        <w:tc>
          <w:tcPr>
            <w:tcW w:w="20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1,987,504</w:t>
            </w:r>
          </w:p>
        </w:tc>
        <w:tc>
          <w:tcPr>
            <w:tcW w:w="16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663,331</w:t>
            </w:r>
          </w:p>
        </w:tc>
        <w:tc>
          <w:tcPr>
            <w:tcW w:w="3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6,254</w:t>
            </w: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3,509,367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1,912,387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1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339,052</w:t>
            </w:r>
          </w:p>
        </w:tc>
        <w:tc>
          <w:tcPr>
            <w:tcW w:w="2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789,844</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17,889</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1,146,785</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6,568,539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2,685,262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(76,354)</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2,608,908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(976,700)</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$1,632,208</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760"/>
          </w:cols>
          <w:pgMar w:left="240" w:top="919" w:right="899" w:bottom="1440" w:gutter="0" w:footer="0" w:header="0"/>
        </w:sectPr>
      </w:pPr>
    </w:p>
    <w:bookmarkStart w:id="13" w:name="page14"/>
    <w:bookmarkEnd w:id="13"/>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reports four different segments - Remote Facilities Management (RFM)/Broadcast, Conferencing Products, Conferencing Services and Other. Total sales for the three months ended March 31, 2000 increased 35% from $5,819,151 to $7,867,433 compared to the same three-month period last year. Total sales for the nine months ended March 31, 2000 increased 35% from $16,570,569 to $22,367,545 compared to the same nine-month period last year. In both cases, growth is primarily due to increased Conferencing Products and Conferencing Services sales.</w:t>
      </w:r>
    </w:p>
    <w:p>
      <w:pPr>
        <w:spacing w:after="0" w:line="212"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Conferencing products experienced a 40% sales growth comparing the third quarter of this fiscal year to the same quarter last year from $3,107,320 to $4,340,422. Sales in conferencing products increased 43% comparing the first nine months of this fiscal year to the first nine months of last fiscal year from $8,729,134 to $12,517,171. This increase was mainly due to the continued success of the Audio PerfectTM product line, as well as the introduction of new products, including the APV200 IP and the GT1524. The Audio PerfectTM product line began shipping in April of 1998 with the AP800, and also includes the AP10, the AP400, AP Tools, the AP IR Remote, and the APV200 IP. The flagship AP800 and the 4-channel AP400 products use advanced digital signal processing technology to achieve the highest quality echo cancellation on the market, Gentner's Distributed Echo CancellationTM, and incorporate several functional devices including automatic microphone mixing, echo cancellation, audio routing, audio equalization and audio processing into a single device. The Company has realized more of the revenue associated with a room installation as a result of the expanded applications. During the third quarter, the Company started shipping the PA870 power amplifier. In addition, Gentner provides Assistive Listening Devices, both for applications in venues that require extra amplification for the hearing impaired, and its Venture line, which operates on a frequency appropriate for other applications, such as tours and language translation.</w:t>
      </w:r>
    </w:p>
    <w:p>
      <w:pPr>
        <w:spacing w:after="0" w:line="39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Conferencing services, 1-800 LETS MEET(R), experienced sales growth of 109% in the third quarter of this fiscal year as compared to the third quarter of last fiscal year. Revenues for the third quarter of fiscal 2000 were $1,667,189 compared to $797,320 for third quarter of fiscal 1999. Conferencing services increased 74% for this fiscal year-to-date as compared to the same period in fiscal 1999. Revenues for fiscal 2000 year-to-date were $3,921,480 compared to $2,252,652 for fiscal 1999 year-to-date. The Company attributes this growth in sales to an increased customer base as well as the overall market growth over the last year. This increase was also the result of the Company expanding its sales staff, who market its conference calling service, and the Company's commitment to quality service. The Company's conference calling service is being marketed not only to corporate clients, but also to long distance telephone service providers for resale.</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RFM/Broadcast sales decreased 2% to $1,802,155 from $1,843,548 in the third quarter of this fiscal year compared to the third quarter of last fiscal year. RFM/Broadcast consists of two product lines, Telephone Interface and Remote Facilities Management (RFM, formerly known as Remote Site Control). Sales of the Telephone Interface line decreased 1% during the third quarter of this year compared to the third quarter of last year, primarily due to the fact that market growth has become flat and the product market has become primarily a replacement market. Telephone hybrids are used to connect telephone line audio to professional audio equipment. RFM decreased 5%, comparing third quarters, mainly due to fewer sales of the GSC3000. GSC revenue last year was driven by requirements by the FCC for the top 30 markets across the country to have the HDTV infrastructure installed. Those sales trends were expected to continue into the smaller markets as well, however, the FCC postponed the required installation of HDTV in the remaining markets until 2002. The GSC3000 allows broadcasters to monitor and control many transmitter sites from one location.</w:t>
      </w:r>
    </w:p>
    <w:p>
      <w:pPr>
        <w:spacing w:after="0" w:line="38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RFM/Broadcast sales increased 8% to $5,660,327 up from $5,235,620 for the nine months ended March 31, 2000 compared to the nine months ended March 31, 1999. Sales of the Telephone Interface line increased 9% comparing fiscal 2000 year-to-date over fiscal 1999 year-to-date. Remote Facilities Management increased 7%, comparing year-to-date, mainly due to sales of the GSC3000 which were strong enough in the first quarter to offset any decline in the second and third quarters as discussed above. Sales to the OEM, television and international markets contributed to the increased sales of the GSC3000. New 32-bit software that enhances the features and functionality of the GSC3000 is currently in beta testing and shipping is anticipated to begin in June. This new software will allow for custom GUI screen design, custom reporting, TCPIP connectivity, and faster alarm reporting. Gentner will also be shipping the VRC2500, a smaller version of the GSC3000 designed for the small TV or radio</w:t>
      </w:r>
    </w:p>
    <w:p>
      <w:pPr>
        <w:sectPr>
          <w:pgSz w:w="11900" w:h="16838" w:orient="portrait"/>
          <w:cols w:equalWidth="0" w:num="1">
            <w:col w:w="10219"/>
          </w:cols>
          <w:pgMar w:left="240" w:top="514" w:right="1440" w:bottom="0" w:gutter="0" w:footer="0" w:header="0"/>
        </w:sectPr>
      </w:pPr>
    </w:p>
    <w:bookmarkStart w:id="14" w:name="page15"/>
    <w:bookmarkEnd w:id="14"/>
    <w:p>
      <w:pPr>
        <w:ind w:right="1779"/>
        <w:spacing w:after="0" w:line="235" w:lineRule="auto"/>
        <w:rPr>
          <w:sz w:val="20"/>
          <w:szCs w:val="20"/>
          <w:color w:val="auto"/>
        </w:rPr>
      </w:pPr>
      <w:r>
        <w:rPr>
          <w:rFonts w:ascii="Courier New" w:cs="Courier New" w:eastAsia="Courier New" w:hAnsi="Courier New"/>
          <w:sz w:val="18"/>
          <w:szCs w:val="18"/>
          <w:color w:val="auto"/>
        </w:rPr>
        <w:t>stations that only require 16 or fewer channels for monitoring various station functions. The GSC3000 is designed to monitor up to 256 channels.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15" w:name="page16"/>
    <w:bookmarkEnd w:id="15"/>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70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sales decreased 19% in the third quarter of this fiscal year compared to the third quarter of last fiscal year, and decreased 24% for the nine months ending March 31, 2000 compared to the same period in 1999. Sales for the third quarter of fiscal 2000 were $57,717 compared to $70,963 for the third quarter of fiscal 1999. Sales for fiscal 2000 year-to-date were $268,567 compared to $353,164 for fiscal 1999 year-to-date. In general, the Company is not promoting Other Products, and those sales are expected to continue to decline.</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gross profit margin percentage was 63% for the third quarter of this year, and 58% for the same quarter last year. The Company's gross profit margin percentage was 62% for the first nine months of this year, compared to 56% for the same period last year. This increase was primarily due to improved margins in conferencing services, improved manufacturing processes, new products with higher gross profit margins, and a different product mix. The Company's overall gross profit margin would be negatively impacted if the price of raw components increases.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Operating expenses for the quarter increased 27% when comparing the third quarters of this fiscal year and last fiscal year. Operating expenses for the year-to-date increased 30% over last year. The most significant portion of these increases came in marketing and selling expenses.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Marketing and selling expenses increased 40% for the third quarter as compared to last year. Marketing and selling expenses increased 38% for the year-to-date as compared to last year-to-date. The increase was primarily due to higher commission expense resulting from the increase in sales. Also contributing to the increase was higher salary expenses connected to the hiring of additional marketing and selling personnel.</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Product Development expenses increased 16% in the third quarter of this year compared to last year. Product Development expenses increased 21% for the year-to-date as compared to the same period last year. The increase was due to development expenses for new products and the hiring of personnel and associated recruiting costs. The Company anticipates these expenses will enhance future revenue growth.</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Third quarter General and Administrative expenses increased 8% compared to the same period last year. Year-to-date expenses increased 19% as compared to the same period last year. This increase was mainly due to hiring of personnel to support sales increases and the infrastructure costs associated with the hiring of such new personnel. Also contributing to this increase was the expense associated with the NASDAQ National Market Listing fees.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expense for the third quarter is down 58% compared to the same quarter last year. Interest expense for the year-to-date is down 59% compared to last year due to the maturing of some of the Company's leases and the payoff of several notes later in fiscal 1999.</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third quarter of fiscal 2000, income tax expense was calculated at a combined federal and state tax rate of about 37%, resulting in a tax expense of $738,730 for the third quarter and $2,005,730 for the year-to-date. Income tax expense was $360,700 for the third quarter of fiscal 1999 and $976,700 for fiscal 1999 year-to-date, with a calculated combined tax rate of about 37%.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Company's current ratio increased from 3.72:1 on June 30, 1999 to 4.26:1 on March 31, 2000. This increase in the current ratio was due primarily to an increase in the amount of cash on hand, an increase in accounts receivable due to increased sales, and an increase in inventory. Offsetting the increase in the current ratio was an increase in accrued expenses, particulartly in federal and state income taxes and other accrued operating expenses.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continued to experience positive operating cash flows. Increasing sales and profitability have contributed to positive operating cash flows which were offset by an increase in accounts receivable, inventory and purchases of property and equipment.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0" w:gutter="0" w:footer="0" w:header="0"/>
        </w:sectPr>
      </w:pPr>
    </w:p>
    <w:bookmarkStart w:id="16" w:name="page17"/>
    <w:bookmarkEnd w:id="16"/>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70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(continued)</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believes that most of the key components required for the production of its products are currently available in sufficient quantities, although lead times and prices have been increasing. Thirty-five percent of the raw materials currently needed require lead times of eight weeks or longer. The Company has purchased more of these "longer lead time" parts to ensure continued delivery of products thereby increasing overall inventory.</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second and third quarters, the Company conducted a physical inventory of fixed assets. It was noted there were many fully depreciated assets still on the books, that had been disposed of physically. In reconciling the books to the physical fixed assets list, the Company wrote off gross fixed assets of $1,042,366 and wrote off accumulated depreciation of $1,038,234 during the third quarter.</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March 31, 2000. The line of credit expires on December 22, 2000.</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As sales continue to increase, the Company expects to achieve its business plan through a combination of internally generated funds and short-term or long-term borrowings, if necessary.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Certain statements contained in this report are forward looking statements. These include the discussion regarding the Company's beliefs, plans, objectives, expectations, and intentions about the Company's belief that new 32-bit software is currently in beta testing and shipping is anticipated to begin in June, the Company's anticipation that it will ship the VRC2500 in September, the Company's expectation that it will achieve its business plan through a combination of internally generated funds and short-term or long-term borrowings and the Company's belief it must establish distribution channels and direct selling efforts in markets where it perceives a growing need for the Company's products and services. While the Company believes that such statements are accurate, the Company's business is dependent upon general economic conditions, particularly those that affect the demand for its products, including increased competition, and future trends and results which cannot be predicted with certainty. The Company's actual results could differ materially from those discussed in such forward-looking statements. The cautionary statements made in this report should be read as being applicable to all related forward-looking statements wherever they appear in this report. Factors that could cause or contribute to such differences include those discussed below in the section entitled "Factors that May Affect Future Results."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 Rapid Technological Change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RFM,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substantially greater financial, research and development, manufacturing, marketing and other resources.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currently attractive to customers, there can be no assurance that competitors will not introduce comparable or technologically superior products which are priced more favorably than the Company's products.</w:t>
      </w:r>
    </w:p>
    <w:p>
      <w:pPr>
        <w:sectPr>
          <w:pgSz w:w="11900" w:h="16838" w:orient="portrait"/>
          <w:cols w:equalWidth="0" w:num="1">
            <w:col w:w="10219"/>
          </w:cols>
          <w:pgMar w:left="240" w:top="919" w:right="1440" w:bottom="0"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344" w:right="1440" w:bottom="1440" w:gutter="0" w:footer="0" w:header="0"/>
        </w:sectPr>
      </w:pPr>
    </w:p>
    <w:bookmarkStart w:id="18" w:name="page19"/>
    <w:bookmarkEnd w:id="18"/>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70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subject to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There can be no assurance that this strategy will prove successful.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Price discounts to the Company's distribution market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representatives or dealers could have a material adverse effect on the Company's business.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of March 31, 2000, the Company had $5,372,790 in cash and $9,883,522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addition, the Company's revolving $5 million line of credit matures in December of 2000 and there can be no assurance that the Company will be able to extend the maturity date of the line of credit or obtain a replacement line of credit from another commercial institution. The Company had no outstanding balance payable on the line of credit as of March 31, 2000. To the extent the line of credit is not extended or replaced and cash from operations is unavailable to pay the indebtedness then outstanding under the line of credit, the Company may be required to seek additional financing.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employees, including Frances M. Flood, President and Chief Executive Officer and a director and stockholder of the Company. The loss of Ms. Flood by the Company could have a material adverse effect on the Company. The Company currently has in place a key person life insurance policy on the life of Ms. Flood in the amount of $3,000,000.</w:t>
      </w:r>
    </w:p>
    <w:p>
      <w:pPr>
        <w:sectPr>
          <w:pgSz w:w="11900" w:h="16838" w:orient="portrait"/>
          <w:cols w:equalWidth="0" w:num="1">
            <w:col w:w="10219"/>
          </w:cols>
          <w:pgMar w:left="240" w:top="919" w:right="1440" w:bottom="162" w:gutter="0" w:footer="0" w:header="0"/>
        </w:sectPr>
      </w:pPr>
    </w:p>
    <w:bookmarkStart w:id="19" w:name="page20"/>
    <w:bookmarkEnd w:id="19"/>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44" w:right="1440" w:bottom="1440" w:gutter="0" w:footer="0" w:header="0"/>
        </w:sectPr>
      </w:pPr>
    </w:p>
    <w:bookmarkStart w:id="20" w:name="page21"/>
    <w:bookmarkEnd w:id="20"/>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70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has no written agreements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8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Although the Company believes that most of the key components required for the production of its products are currently available in sufficient quantities, lead times and prices have been increasing. Thirty-five percent of the raw materials needed currently require lead times of eight weeks or longer. The Company has purchased more of these "longer lead time" parts to ensure continued delivery of products thereby increasing overall inventory.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conferencing market, the Company is dependent on government funding to place its distance learning equipment sales and courtroom equipment sales. In the event government funding was stopped, these sales would be negatively impacted. Additionally, many of the Company's products are subject to governmental regulations. New regulations could significantly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Company has outstanding options issued under the Company's 1990 Incentive Plan and the 1998 Stock Option Plan, which includes options to purchase up to 1,900,000 shares of Common Stock granted or available for grant. As of March 31, 2000, the Plans have 1,211,548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w:t>
      </w:r>
    </w:p>
    <w:p>
      <w:pPr>
        <w:sectPr>
          <w:pgSz w:w="11900" w:h="16838" w:orient="portrait"/>
          <w:cols w:equalWidth="0" w:num="1">
            <w:col w:w="10219"/>
          </w:cols>
          <w:pgMar w:left="240" w:top="919"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securities on terms more favorable than those provided therein.</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2" w:right="1440" w:bottom="1440" w:gutter="0" w:footer="0" w:header="0"/>
          <w:type w:val="continuous"/>
        </w:sectPr>
      </w:pPr>
    </w:p>
    <w:bookmarkStart w:id="22" w:name="page23"/>
    <w:bookmarkEnd w:id="22"/>
    <w:p>
      <w:pPr>
        <w:ind w:left="17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700"/>
        <w:spacing w:after="0" w:line="238" w:lineRule="auto"/>
        <w:rPr>
          <w:sz w:val="20"/>
          <w:szCs w:val="20"/>
          <w:color w:val="auto"/>
        </w:rPr>
      </w:pPr>
      <w:r>
        <w:rPr>
          <w:rFonts w:ascii="Courier New" w:cs="Courier New" w:eastAsia="Courier New" w:hAnsi="Courier New"/>
          <w:sz w:val="18"/>
          <w:szCs w:val="18"/>
          <w:color w:val="auto"/>
        </w:rPr>
        <w:t>CONDITION AND RESULTS OF OPERATIONS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officers and directors of the Company together had beneficial ownership of approximately 25.7% of the Common Stock of the Company (including options that are currently exercisable or exercisable within sixty (60) days) as of March 31, 2000. This significant holding in the aggregate places the officers and directors in a position, when acting together, to effectively control the Company (see "Security Ownership of Certain Beneficial Owners and Management" in the Company's Form 10-KSB for the fiscal year ended June 30, 1999, incorporated herein by reference).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grants credit without requiring collateral to substantially all of its customers and thus the possibility of a large percentage of customers defaulting exists. The current default rate is approximately 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23" w:name="page24"/>
    <w:bookmarkEnd w:id="23"/>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DESCRIPTION</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3.1 1,2</w:t>
            </w:r>
          </w:p>
        </w:tc>
        <w:tc>
          <w:tcPr>
            <w:tcW w:w="32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Articles of Incorporation</w:t>
            </w:r>
          </w:p>
        </w:tc>
        <w:tc>
          <w:tcPr>
            <w:tcW w:w="3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and all amendments  thereto through</w:t>
            </w:r>
          </w:p>
        </w:tc>
      </w:tr>
      <w:tr>
        <w:trPr>
          <w:trHeight w:val="203"/>
        </w:trPr>
        <w:tc>
          <w:tcPr>
            <w:tcW w:w="1380" w:type="dxa"/>
            <w:vAlign w:val="bottom"/>
          </w:tcPr>
          <w:p>
            <w:pPr>
              <w:spacing w:after="0"/>
              <w:rPr>
                <w:sz w:val="17"/>
                <w:szCs w:val="17"/>
                <w:color w:val="auto"/>
              </w:rPr>
            </w:pP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March 1, 1988. (Page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10.4 1,2</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VRC-1000</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Purchase</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Agreement  between</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Gentner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Engineering</w:t>
            </w:r>
          </w:p>
        </w:tc>
      </w:tr>
      <w:tr>
        <w:trPr>
          <w:trHeight w:val="203"/>
        </w:trPr>
        <w:tc>
          <w:tcPr>
            <w:tcW w:w="138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Company,</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Inc. (a former</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subsidiary  of the Company which was</w:t>
            </w:r>
          </w:p>
        </w:tc>
      </w:tr>
      <w:tr>
        <w:trPr>
          <w:trHeight w:val="203"/>
        </w:trPr>
        <w:tc>
          <w:tcPr>
            <w:tcW w:w="1380" w:type="dxa"/>
            <w:vAlign w:val="bottom"/>
          </w:tcPr>
          <w:p>
            <w:pPr>
              <w:spacing w:after="0"/>
              <w:rPr>
                <w:sz w:val="17"/>
                <w:szCs w:val="17"/>
                <w:color w:val="auto"/>
              </w:rPr>
            </w:pPr>
          </w:p>
        </w:tc>
        <w:tc>
          <w:tcPr>
            <w:tcW w:w="32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merged into the  Company)</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Gentner</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Ltd.,  dated</w:t>
            </w:r>
          </w:p>
        </w:tc>
      </w:tr>
      <w:tr>
        <w:trPr>
          <w:trHeight w:val="203"/>
        </w:trPr>
        <w:tc>
          <w:tcPr>
            <w:tcW w:w="1380" w:type="dxa"/>
            <w:vAlign w:val="bottom"/>
          </w:tcPr>
          <w:p>
            <w:pPr>
              <w:spacing w:after="0"/>
              <w:rPr>
                <w:sz w:val="17"/>
                <w:szCs w:val="17"/>
                <w:color w:val="auto"/>
              </w:rPr>
            </w:pPr>
          </w:p>
        </w:tc>
        <w:tc>
          <w:tcPr>
            <w:tcW w:w="32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6"/>
              </w:rPr>
              <w:t>January 1, 1987. (Page 71)</w:t>
            </w: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3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DESCRIPTION</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20" w:type="dxa"/>
            <w:vAlign w:val="bottom"/>
            <w:gridSpan w:val="3"/>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3.1 1,2</w:t>
            </w:r>
          </w:p>
        </w:tc>
        <w:tc>
          <w:tcPr>
            <w:tcW w:w="15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Amendment</w:t>
            </w:r>
          </w:p>
        </w:tc>
        <w:tc>
          <w:tcPr>
            <w:tcW w:w="1800" w:type="dxa"/>
            <w:vAlign w:val="bottom"/>
          </w:tcPr>
          <w:p>
            <w:pPr>
              <w:ind w:left="160"/>
              <w:spacing w:after="0"/>
              <w:rPr>
                <w:sz w:val="20"/>
                <w:szCs w:val="20"/>
                <w:color w:val="auto"/>
              </w:rPr>
            </w:pPr>
            <w:r>
              <w:rPr>
                <w:rFonts w:ascii="Courier New" w:cs="Courier New" w:eastAsia="Courier New" w:hAnsi="Courier New"/>
                <w:sz w:val="18"/>
                <w:szCs w:val="18"/>
                <w:color w:val="auto"/>
              </w:rPr>
              <w:t>to Articles of</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Incorporation,</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dated July 1, 1991.</w:t>
            </w:r>
          </w:p>
        </w:tc>
      </w:tr>
      <w:tr>
        <w:trPr>
          <w:trHeight w:val="203"/>
        </w:trPr>
        <w:tc>
          <w:tcPr>
            <w:tcW w:w="13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(Page</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65)</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10.1 1,2</w:t>
            </w:r>
          </w:p>
        </w:tc>
        <w:tc>
          <w:tcPr>
            <w:tcW w:w="7060" w:type="dxa"/>
            <w:vAlign w:val="bottom"/>
            <w:gridSpan w:val="6"/>
          </w:tcPr>
          <w:p>
            <w:pPr>
              <w:ind w:left="520"/>
              <w:spacing w:after="0"/>
              <w:rPr>
                <w:sz w:val="20"/>
                <w:szCs w:val="20"/>
                <w:color w:val="auto"/>
              </w:rPr>
            </w:pPr>
            <w:r>
              <w:rPr>
                <w:rFonts w:ascii="Courier New" w:cs="Courier New" w:eastAsia="Courier New" w:hAnsi="Courier New"/>
                <w:sz w:val="18"/>
                <w:szCs w:val="18"/>
                <w:color w:val="auto"/>
                <w:w w:val="97"/>
              </w:rPr>
              <w:t>Internal Modem Purchase Agreement between Gentner  Engineering</w:t>
            </w:r>
          </w:p>
        </w:tc>
      </w:tr>
      <w:tr>
        <w:trPr>
          <w:trHeight w:val="203"/>
        </w:trPr>
        <w:tc>
          <w:tcPr>
            <w:tcW w:w="1380" w:type="dxa"/>
            <w:vAlign w:val="bottom"/>
          </w:tcPr>
          <w:p>
            <w:pPr>
              <w:spacing w:after="0"/>
              <w:rPr>
                <w:sz w:val="17"/>
                <w:szCs w:val="17"/>
                <w:color w:val="auto"/>
              </w:rPr>
            </w:pPr>
          </w:p>
        </w:tc>
        <w:tc>
          <w:tcPr>
            <w:tcW w:w="15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Company,</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 and Gentner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Research,</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Ltd., dated October 12,</w:t>
            </w:r>
          </w:p>
        </w:tc>
      </w:tr>
      <w:tr>
        <w:trPr>
          <w:trHeight w:val="203"/>
        </w:trPr>
        <w:tc>
          <w:tcPr>
            <w:tcW w:w="13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1987.</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(Page 69)</w:t>
            </w: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10.2 1,2</w:t>
            </w:r>
          </w:p>
        </w:tc>
        <w:tc>
          <w:tcPr>
            <w:tcW w:w="7060" w:type="dxa"/>
            <w:vAlign w:val="bottom"/>
            <w:gridSpan w:val="6"/>
          </w:tcPr>
          <w:p>
            <w:pPr>
              <w:ind w:left="520"/>
              <w:spacing w:after="0"/>
              <w:rPr>
                <w:sz w:val="20"/>
                <w:szCs w:val="20"/>
                <w:color w:val="auto"/>
              </w:rPr>
            </w:pPr>
            <w:r>
              <w:rPr>
                <w:rFonts w:ascii="Courier New" w:cs="Courier New" w:eastAsia="Courier New" w:hAnsi="Courier New"/>
                <w:sz w:val="18"/>
                <w:szCs w:val="18"/>
                <w:color w:val="auto"/>
                <w:w w:val="97"/>
              </w:rPr>
              <w:t>Digital Hybrid Purchase Agreement between Gentner Engineering,</w:t>
            </w:r>
          </w:p>
        </w:tc>
      </w:tr>
      <w:tr>
        <w:trPr>
          <w:trHeight w:val="203"/>
        </w:trPr>
        <w:tc>
          <w:tcPr>
            <w:tcW w:w="13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Inc.</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Gentner  Research,  Ltd.,</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8, 1988.</w:t>
            </w:r>
          </w:p>
        </w:tc>
      </w:tr>
      <w:tr>
        <w:trPr>
          <w:trHeight w:val="203"/>
        </w:trPr>
        <w:tc>
          <w:tcPr>
            <w:tcW w:w="13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(Page</w:t>
            </w:r>
          </w:p>
        </w:tc>
        <w:tc>
          <w:tcPr>
            <w:tcW w:w="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74)</w:t>
            </w: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1993. The exhibit numbers shown are those in the 1993 Form 10-KSB as originally filed.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5680" w:type="dxa"/>
            <w:vAlign w:val="bottom"/>
          </w:tcPr>
          <w:p>
            <w:pPr>
              <w:spacing w:after="0"/>
              <w:rPr>
                <w:sz w:val="17"/>
                <w:szCs w:val="17"/>
                <w:color w:val="auto"/>
              </w:rPr>
            </w:pP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5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680" w:type="dxa"/>
            <w:vAlign w:val="bottom"/>
          </w:tcPr>
          <w:p>
            <w:pPr>
              <w:jc w:val="right"/>
              <w:ind w:right="3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5680" w:type="dxa"/>
            <w:vAlign w:val="bottom"/>
          </w:tcPr>
          <w:p>
            <w:pPr>
              <w:ind w:left="520"/>
              <w:spacing w:after="0"/>
              <w:rPr>
                <w:sz w:val="20"/>
                <w:szCs w:val="20"/>
                <w:color w:val="auto"/>
              </w:rPr>
            </w:pPr>
            <w:r>
              <w:rPr>
                <w:rFonts w:ascii="Courier New" w:cs="Courier New" w:eastAsia="Courier New" w:hAnsi="Courier New"/>
                <w:sz w:val="18"/>
                <w:szCs w:val="18"/>
                <w:color w:val="auto"/>
                <w:w w:val="97"/>
              </w:rPr>
              <w:t>Bylaws, as amended on August 24, 1993.  (Page 16)</w:t>
            </w: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1996. The exhibit numbers shown are those in the 1996 Form 10-KSB as originally filed.</w:t>
      </w:r>
    </w:p>
    <w:p>
      <w:pPr>
        <w:sectPr>
          <w:pgSz w:w="11900" w:h="16838" w:orient="portrait"/>
          <w:cols w:equalWidth="0" w:num="1">
            <w:col w:w="10219"/>
          </w:cols>
          <w:pgMar w:left="240" w:top="919" w:right="1440" w:bottom="767"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919" w:right="1440" w:bottom="767"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10 1,2,3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1990 Incentive Plan, as amended August 7, 1996 (Page 40)</w:t>
      </w:r>
    </w:p>
    <w:p>
      <w:pPr>
        <w:spacing w:after="0" w:line="200" w:lineRule="exact"/>
        <w:rPr>
          <w:sz w:val="20"/>
          <w:szCs w:val="20"/>
          <w:color w:val="auto"/>
        </w:rPr>
      </w:pPr>
    </w:p>
    <w:p>
      <w:pPr>
        <w:sectPr>
          <w:pgSz w:w="11900" w:h="16838" w:orient="portrait"/>
          <w:cols w:equalWidth="0" w:num="2">
            <w:col w:w="1180" w:space="720"/>
            <w:col w:w="8319"/>
          </w:cols>
          <w:pgMar w:left="240" w:top="919" w:right="1440" w:bottom="767" w:gutter="0" w:footer="0" w:header="0"/>
          <w:type w:val="continuous"/>
        </w:sectPr>
      </w:pPr>
    </w:p>
    <w:p>
      <w:pPr>
        <w:spacing w:after="0" w:line="22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1997. The exhibit numbers shown are those in the 1997 Form 10-KSB as originally filed.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767"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4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DESCRIPTION</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Commercial Credit and Security Agreement, and Promissory Note,</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between  Company  and  First  Security  Bank,  N.A.  (original</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aggregate amount of $2,500,000) (Page7)</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1,2,3</w:t>
            </w:r>
          </w:p>
        </w:tc>
        <w:tc>
          <w:tcPr>
            <w:tcW w:w="63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1997 Employee Stock Purchase Plan (Page 37)</w:t>
            </w:r>
          </w:p>
        </w:tc>
        <w:tc>
          <w:tcPr>
            <w:tcW w:w="58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69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Promissory  Note in favor of Safeco Credit Company  ($419,000)</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(Page 52)</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63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Commercial Credit and Security Agreement, and Promissory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Note,</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between  Company and First Security Bank</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($322,716.55)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53)</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4800" w:type="dxa"/>
            <w:vAlign w:val="bottom"/>
          </w:tcPr>
          <w:p>
            <w:pPr>
              <w:ind w:left="420"/>
              <w:spacing w:after="0"/>
              <w:rPr>
                <w:sz w:val="20"/>
                <w:szCs w:val="20"/>
                <w:color w:val="auto"/>
              </w:rPr>
            </w:pPr>
            <w:r>
              <w:rPr>
                <w:rFonts w:ascii="Courier New" w:cs="Courier New" w:eastAsia="Courier New" w:hAnsi="Courier New"/>
                <w:sz w:val="18"/>
                <w:szCs w:val="18"/>
                <w:color w:val="auto"/>
                <w:w w:val="98"/>
              </w:rPr>
              <w:t>Lease between Company and Valley American</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Investment  Company</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(Page 71)</w:t>
            </w: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documents are hereby incorporated by reference from the Company's Form 10-KSB for the fiscal year ended June 30, 1998. The exhibit numbers shown are those in the 1998 Form 10-KSB as originally filed.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6960" w:type="dxa"/>
            <w:vAlign w:val="bottom"/>
          </w:tcPr>
          <w:p>
            <w:pPr>
              <w:spacing w:after="0"/>
              <w:rPr>
                <w:sz w:val="17"/>
                <w:szCs w:val="17"/>
                <w:color w:val="auto"/>
              </w:rPr>
            </w:pP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1,2,3</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rPr>
              <w:t>1998 Stock Option Plan and Form of Grant (Page 42)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1,2</w:t>
            </w:r>
          </w:p>
        </w:tc>
        <w:tc>
          <w:tcPr>
            <w:tcW w:w="6960" w:type="dxa"/>
            <w:vAlign w:val="bottom"/>
          </w:tcPr>
          <w:p>
            <w:pPr>
              <w:ind w:left="420"/>
              <w:spacing w:after="0"/>
              <w:rPr>
                <w:sz w:val="20"/>
                <w:szCs w:val="20"/>
                <w:color w:val="auto"/>
              </w:rPr>
            </w:pPr>
            <w:r>
              <w:rPr>
                <w:rFonts w:ascii="Courier New" w:cs="Courier New" w:eastAsia="Courier New" w:hAnsi="Courier New"/>
                <w:sz w:val="18"/>
                <w:szCs w:val="18"/>
                <w:color w:val="auto"/>
                <w:w w:val="97"/>
              </w:rPr>
              <w:t>Modification  Agreement dated as of December 24, 1997, between</w:t>
            </w:r>
          </w:p>
        </w:tc>
      </w:tr>
      <w:tr>
        <w:trPr>
          <w:trHeight w:val="203"/>
        </w:trPr>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First Security Bank, N.A. and the Company (Page 66)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documents are filed as exhibits to this Form 10-QSB.</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16"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09" w:lineRule="exact"/>
        <w:rPr>
          <w:sz w:val="20"/>
          <w:szCs w:val="20"/>
          <w:color w:val="auto"/>
        </w:rPr>
      </w:pPr>
    </w:p>
    <w:p>
      <w:pPr>
        <w:jc w:val="both"/>
        <w:ind w:left="540" w:right="177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to other filings pursuant to the provisions of Rule 12b-32 under the Securities Exchange Act of 1934.</w:t>
      </w:r>
    </w:p>
    <w:p>
      <w:pPr>
        <w:spacing w:after="0" w:line="200" w:lineRule="exact"/>
        <w:rPr>
          <w:sz w:val="20"/>
          <w:szCs w:val="20"/>
          <w:color w:val="auto"/>
        </w:rPr>
      </w:pPr>
    </w:p>
    <w:p>
      <w:pPr>
        <w:spacing w:after="0" w:line="211" w:lineRule="exact"/>
        <w:rPr>
          <w:sz w:val="20"/>
          <w:szCs w:val="20"/>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Identifies management or compensatory plans, contracts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Reports on Form 8-K</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 Company filed no reports on Form 8-K during the latest fiscal</w:t>
      </w:r>
    </w:p>
    <w:p>
      <w:pPr>
        <w:spacing w:after="0" w:line="238" w:lineRule="auto"/>
        <w:rPr>
          <w:sz w:val="20"/>
          <w:szCs w:val="20"/>
          <w:color w:val="auto"/>
        </w:rPr>
      </w:pPr>
      <w:r>
        <w:rPr>
          <w:rFonts w:ascii="Courier New" w:cs="Courier New" w:eastAsia="Courier New" w:hAnsi="Courier New"/>
          <w:sz w:val="18"/>
          <w:szCs w:val="18"/>
          <w:color w:val="auto"/>
        </w:rPr>
        <w:t>quarter.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type w:val="continuous"/>
        </w:sectPr>
      </w:pPr>
    </w:p>
    <w:bookmarkStart w:id="25" w:name="page26"/>
    <w:bookmarkEnd w:id="2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In accordance with the requirements of the Securities and Exchange Act, the registrant caused this report to be signed on its behalf by the undersigned, thereunto duly authorized.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GENTNER COMMUNICATIONS CORPORATION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15, 2000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Susie Strohm</w:t>
      </w:r>
    </w:p>
    <w:p>
      <w:pPr>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rPr>
          <w:sz w:val="20"/>
          <w:szCs w:val="20"/>
          <w:color w:val="auto"/>
        </w:rPr>
      </w:pPr>
      <w:r>
        <w:rPr>
          <w:rFonts w:ascii="Courier New" w:cs="Courier New" w:eastAsia="Courier New" w:hAnsi="Courier New"/>
          <w:sz w:val="18"/>
          <w:szCs w:val="18"/>
          <w:color w:val="auto"/>
        </w:rPr>
        <w:t>(Duly Authorized Officer and Principal</w:t>
      </w:r>
    </w:p>
    <w:p>
      <w:pPr>
        <w:spacing w:after="0" w:line="237" w:lineRule="auto"/>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ectPr>
          <w:pgSz w:w="11900" w:h="16838" w:orient="portrait"/>
          <w:cols w:equalWidth="0" w:num="3">
            <w:col w:w="540" w:space="200"/>
            <w:col w:w="2120" w:space="720"/>
            <w:col w:w="663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919" w:right="1440" w:bottom="1440" w:gutter="0" w:footer="0" w:header="0"/>
          <w:type w:val="continuous"/>
        </w:sectPr>
      </w:pPr>
    </w:p>
    <w:bookmarkStart w:id="26" w:name="page27"/>
    <w:bookmarkEnd w:id="26"/>
    <w:p>
      <w:pPr>
        <w:ind w:left="166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9-MOS</w:t>
      </w:r>
    </w:p>
    <w:p>
      <w:pPr>
        <w:ind w:left="2180"/>
        <w:spacing w:after="0" w:line="238" w:lineRule="auto"/>
        <w:rPr>
          <w:sz w:val="20"/>
          <w:szCs w:val="20"/>
          <w:color w:val="auto"/>
        </w:rPr>
      </w:pPr>
      <w:r>
        <w:rPr>
          <w:rFonts w:ascii="Courier New" w:cs="Courier New" w:eastAsia="Courier New" w:hAnsi="Courier New"/>
          <w:sz w:val="18"/>
          <w:szCs w:val="18"/>
          <w:color w:val="auto"/>
        </w:rPr>
        <w:t>JUN-30-2000</w:t>
      </w:r>
    </w:p>
    <w:p>
      <w:pPr>
        <w:ind w:left="2720"/>
        <w:spacing w:after="0"/>
        <w:rPr>
          <w:sz w:val="20"/>
          <w:szCs w:val="20"/>
          <w:color w:val="auto"/>
        </w:rPr>
      </w:pPr>
      <w:r>
        <w:rPr>
          <w:rFonts w:ascii="Courier New" w:cs="Courier New" w:eastAsia="Courier New" w:hAnsi="Courier New"/>
          <w:sz w:val="18"/>
          <w:szCs w:val="18"/>
          <w:color w:val="auto"/>
        </w:rPr>
        <w:t>MAR-31-2000</w:t>
      </w:r>
    </w:p>
    <w:p>
      <w:pPr>
        <w:ind w:left="3460"/>
        <w:spacing w:after="0" w:line="237" w:lineRule="auto"/>
        <w:rPr>
          <w:sz w:val="20"/>
          <w:szCs w:val="20"/>
          <w:color w:val="auto"/>
        </w:rPr>
      </w:pPr>
      <w:r>
        <w:rPr>
          <w:rFonts w:ascii="Courier New" w:cs="Courier New" w:eastAsia="Courier New" w:hAnsi="Courier New"/>
          <w:sz w:val="18"/>
          <w:szCs w:val="18"/>
          <w:color w:val="auto"/>
        </w:rPr>
        <w:t>$5,372,790</w:t>
      </w:r>
    </w:p>
    <w:p>
      <w:pPr>
        <w:ind w:left="3760"/>
        <w:spacing w:after="0" w:line="238" w:lineRule="auto"/>
        <w:rPr>
          <w:sz w:val="20"/>
          <w:szCs w:val="20"/>
          <w:color w:val="auto"/>
        </w:rPr>
      </w:pPr>
      <w:r>
        <w:rPr>
          <w:rFonts w:ascii="Courier New" w:cs="Courier New" w:eastAsia="Courier New" w:hAnsi="Courier New"/>
          <w:sz w:val="18"/>
          <w:szCs w:val="18"/>
          <w:color w:val="auto"/>
        </w:rPr>
        <w:t>0</w:t>
      </w:r>
    </w:p>
    <w:p>
      <w:pPr>
        <w:ind w:left="2720"/>
        <w:spacing w:after="0"/>
        <w:rPr>
          <w:sz w:val="20"/>
          <w:szCs w:val="20"/>
          <w:color w:val="auto"/>
        </w:rPr>
      </w:pPr>
      <w:r>
        <w:rPr>
          <w:rFonts w:ascii="Courier New" w:cs="Courier New" w:eastAsia="Courier New" w:hAnsi="Courier New"/>
          <w:sz w:val="18"/>
          <w:szCs w:val="18"/>
          <w:color w:val="auto"/>
        </w:rPr>
        <w:t>$3,921,039</w:t>
      </w:r>
    </w:p>
    <w:p>
      <w:pPr>
        <w:ind w:left="2920"/>
        <w:spacing w:after="0" w:line="237" w:lineRule="auto"/>
        <w:rPr>
          <w:sz w:val="20"/>
          <w:szCs w:val="20"/>
          <w:color w:val="auto"/>
        </w:rPr>
      </w:pPr>
      <w:r>
        <w:rPr>
          <w:rFonts w:ascii="Courier New" w:cs="Courier New" w:eastAsia="Courier New" w:hAnsi="Courier New"/>
          <w:sz w:val="18"/>
          <w:szCs w:val="18"/>
          <w:color w:val="auto"/>
        </w:rPr>
        <w:t>$(304,762)</w:t>
      </w:r>
    </w:p>
    <w:p>
      <w:pPr>
        <w:ind w:left="2920"/>
        <w:spacing w:after="0"/>
        <w:rPr>
          <w:sz w:val="20"/>
          <w:szCs w:val="20"/>
          <w:color w:val="auto"/>
        </w:rPr>
      </w:pPr>
      <w:r>
        <w:rPr>
          <w:rFonts w:ascii="Courier New" w:cs="Courier New" w:eastAsia="Courier New" w:hAnsi="Courier New"/>
          <w:sz w:val="18"/>
          <w:szCs w:val="18"/>
          <w:color w:val="auto"/>
        </w:rPr>
        <w:t>$3,459,214</w:t>
      </w:r>
    </w:p>
    <w:p>
      <w:pPr>
        <w:ind w:left="2300"/>
        <w:spacing w:after="0" w:line="237" w:lineRule="auto"/>
        <w:rPr>
          <w:sz w:val="20"/>
          <w:szCs w:val="20"/>
          <w:color w:val="auto"/>
        </w:rPr>
      </w:pPr>
      <w:r>
        <w:rPr>
          <w:rFonts w:ascii="Courier New" w:cs="Courier New" w:eastAsia="Courier New" w:hAnsi="Courier New"/>
          <w:sz w:val="18"/>
          <w:szCs w:val="18"/>
          <w:color w:val="auto"/>
        </w:rPr>
        <w:t>$12,910,763</w:t>
      </w:r>
    </w:p>
    <w:p>
      <w:pPr>
        <w:ind w:left="3460"/>
        <w:spacing w:after="0"/>
        <w:rPr>
          <w:sz w:val="20"/>
          <w:szCs w:val="20"/>
          <w:color w:val="auto"/>
        </w:rPr>
      </w:pPr>
      <w:r>
        <w:rPr>
          <w:rFonts w:ascii="Courier New" w:cs="Courier New" w:eastAsia="Courier New" w:hAnsi="Courier New"/>
          <w:sz w:val="18"/>
          <w:szCs w:val="18"/>
          <w:color w:val="auto"/>
        </w:rPr>
        <w:t>$5,572,741</w:t>
      </w:r>
    </w:p>
    <w:p>
      <w:pPr>
        <w:ind w:left="2500"/>
        <w:spacing w:after="0" w:line="237" w:lineRule="auto"/>
        <w:rPr>
          <w:sz w:val="20"/>
          <w:szCs w:val="20"/>
          <w:color w:val="auto"/>
        </w:rPr>
      </w:pPr>
      <w:r>
        <w:rPr>
          <w:rFonts w:ascii="Courier New" w:cs="Courier New" w:eastAsia="Courier New" w:hAnsi="Courier New"/>
          <w:sz w:val="18"/>
          <w:szCs w:val="18"/>
          <w:color w:val="auto"/>
        </w:rPr>
        <w:t>$(3,000,084)</w:t>
      </w:r>
    </w:p>
    <w:p>
      <w:pPr>
        <w:ind w:left="2500"/>
        <w:spacing w:after="0" w:line="238" w:lineRule="auto"/>
        <w:rPr>
          <w:sz w:val="20"/>
          <w:szCs w:val="20"/>
          <w:color w:val="auto"/>
        </w:rPr>
      </w:pPr>
      <w:r>
        <w:rPr>
          <w:rFonts w:ascii="Courier New" w:cs="Courier New" w:eastAsia="Courier New" w:hAnsi="Courier New"/>
          <w:sz w:val="18"/>
          <w:szCs w:val="18"/>
          <w:color w:val="auto"/>
        </w:rPr>
        <w:t>$15,545,904</w:t>
      </w:r>
    </w:p>
    <w:p>
      <w:pPr>
        <w:ind w:left="1880"/>
        <w:spacing w:after="0"/>
        <w:rPr>
          <w:sz w:val="20"/>
          <w:szCs w:val="20"/>
          <w:color w:val="auto"/>
        </w:rPr>
      </w:pPr>
      <w:r>
        <w:rPr>
          <w:rFonts w:ascii="Courier New" w:cs="Courier New" w:eastAsia="Courier New" w:hAnsi="Courier New"/>
          <w:sz w:val="18"/>
          <w:szCs w:val="18"/>
          <w:color w:val="auto"/>
        </w:rPr>
        <w:t>$3,053,125</w:t>
      </w:r>
    </w:p>
    <w:p>
      <w:pPr>
        <w:ind w:left="4300"/>
        <w:spacing w:after="0" w:line="237" w:lineRule="auto"/>
        <w:rPr>
          <w:sz w:val="20"/>
          <w:szCs w:val="20"/>
          <w:color w:val="auto"/>
        </w:rPr>
      </w:pPr>
      <w:r>
        <w:rPr>
          <w:rFonts w:ascii="Courier New" w:cs="Courier New" w:eastAsia="Courier New" w:hAnsi="Courier New"/>
          <w:sz w:val="18"/>
          <w:szCs w:val="18"/>
          <w:color w:val="auto"/>
        </w:rPr>
        <w:t>0</w:t>
      </w:r>
    </w:p>
    <w:p>
      <w:pPr>
        <w:ind w:left="2820"/>
        <w:spacing w:after="0"/>
        <w:rPr>
          <w:sz w:val="20"/>
          <w:szCs w:val="20"/>
          <w:color w:val="auto"/>
        </w:rPr>
      </w:pPr>
      <w:r>
        <w:rPr>
          <w:rFonts w:ascii="Courier New" w:cs="Courier New" w:eastAsia="Courier New" w:hAnsi="Courier New"/>
          <w:sz w:val="18"/>
          <w:szCs w:val="18"/>
          <w:color w:val="auto"/>
        </w:rPr>
        <w:t>0</w:t>
      </w:r>
    </w:p>
    <w:p>
      <w:pPr>
        <w:ind w:left="3880"/>
        <w:spacing w:after="0" w:line="237"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$8,362</w:t>
      </w:r>
    </w:p>
    <w:p>
      <w:pPr>
        <w:ind w:left="2920"/>
        <w:spacing w:after="0" w:line="237" w:lineRule="auto"/>
        <w:rPr>
          <w:sz w:val="20"/>
          <w:szCs w:val="20"/>
          <w:color w:val="auto"/>
        </w:rPr>
      </w:pPr>
      <w:r>
        <w:rPr>
          <w:rFonts w:ascii="Courier New" w:cs="Courier New" w:eastAsia="Courier New" w:hAnsi="Courier New"/>
          <w:sz w:val="18"/>
          <w:szCs w:val="18"/>
          <w:color w:val="auto"/>
        </w:rPr>
        <w:t>$12,025,952</w:t>
      </w:r>
    </w:p>
    <w:p>
      <w:pPr>
        <w:ind w:left="1020"/>
        <w:spacing w:after="0" w:line="238" w:lineRule="auto"/>
        <w:rPr>
          <w:sz w:val="20"/>
          <w:szCs w:val="20"/>
          <w:color w:val="auto"/>
        </w:rPr>
      </w:pPr>
      <w:r>
        <w:rPr>
          <w:rFonts w:ascii="Courier New" w:cs="Courier New" w:eastAsia="Courier New" w:hAnsi="Courier New"/>
          <w:sz w:val="18"/>
          <w:szCs w:val="18"/>
          <w:color w:val="auto"/>
        </w:rPr>
        <w:t>$15,545,904</w:t>
      </w:r>
    </w:p>
    <w:p>
      <w:pPr>
        <w:ind w:left="3240"/>
        <w:spacing w:after="0"/>
        <w:rPr>
          <w:sz w:val="20"/>
          <w:szCs w:val="20"/>
          <w:color w:val="auto"/>
        </w:rPr>
      </w:pPr>
      <w:r>
        <w:rPr>
          <w:rFonts w:ascii="Courier New" w:cs="Courier New" w:eastAsia="Courier New" w:hAnsi="Courier New"/>
          <w:sz w:val="18"/>
          <w:szCs w:val="18"/>
          <w:color w:val="auto"/>
        </w:rPr>
        <w:t>$22,367,545</w:t>
      </w:r>
    </w:p>
    <w:p>
      <w:pPr>
        <w:ind w:left="2300"/>
        <w:spacing w:after="0" w:line="237" w:lineRule="auto"/>
        <w:rPr>
          <w:sz w:val="20"/>
          <w:szCs w:val="20"/>
          <w:color w:val="auto"/>
        </w:rPr>
      </w:pPr>
      <w:r>
        <w:rPr>
          <w:rFonts w:ascii="Courier New" w:cs="Courier New" w:eastAsia="Courier New" w:hAnsi="Courier New"/>
          <w:sz w:val="18"/>
          <w:szCs w:val="18"/>
          <w:color w:val="auto"/>
        </w:rPr>
        <w:t>$22,367,545</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$8,578,741</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$13,788,804</w:t>
      </w:r>
    </w:p>
    <w:p>
      <w:pPr>
        <w:ind w:left="334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2500"/>
        <w:spacing w:after="0" w:line="237" w:lineRule="auto"/>
        <w:rPr>
          <w:sz w:val="20"/>
          <w:szCs w:val="20"/>
          <w:color w:val="auto"/>
        </w:rPr>
      </w:pPr>
      <w:r>
        <w:rPr>
          <w:rFonts w:ascii="Courier New" w:cs="Courier New" w:eastAsia="Courier New" w:hAnsi="Courier New"/>
          <w:sz w:val="18"/>
          <w:szCs w:val="18"/>
          <w:color w:val="auto"/>
        </w:rPr>
        <w:t>$51,650</w:t>
      </w:r>
    </w:p>
    <w:p>
      <w:pPr>
        <w:ind w:left="2500"/>
        <w:spacing w:after="0" w:line="238" w:lineRule="auto"/>
        <w:rPr>
          <w:sz w:val="20"/>
          <w:szCs w:val="20"/>
          <w:color w:val="auto"/>
        </w:rPr>
      </w:pPr>
      <w:r>
        <w:rPr>
          <w:rFonts w:ascii="Courier New" w:cs="Courier New" w:eastAsia="Courier New" w:hAnsi="Courier New"/>
          <w:sz w:val="18"/>
          <w:szCs w:val="18"/>
          <w:color w:val="auto"/>
        </w:rPr>
        <w:t>$5,378,147</w:t>
      </w:r>
    </w:p>
    <w:p>
      <w:pPr>
        <w:ind w:left="2820"/>
        <w:spacing w:after="0"/>
        <w:rPr>
          <w:sz w:val="20"/>
          <w:szCs w:val="20"/>
          <w:color w:val="auto"/>
        </w:rPr>
      </w:pPr>
      <w:r>
        <w:rPr>
          <w:rFonts w:ascii="Courier New" w:cs="Courier New" w:eastAsia="Courier New" w:hAnsi="Courier New"/>
          <w:sz w:val="18"/>
          <w:szCs w:val="18"/>
          <w:color w:val="auto"/>
        </w:rPr>
        <w:t>$2,005,730</w:t>
      </w:r>
    </w:p>
    <w:p>
      <w:pPr>
        <w:ind w:left="2080"/>
        <w:spacing w:after="0" w:line="237" w:lineRule="auto"/>
        <w:rPr>
          <w:sz w:val="20"/>
          <w:szCs w:val="20"/>
          <w:color w:val="auto"/>
        </w:rPr>
      </w:pPr>
      <w:r>
        <w:rPr>
          <w:rFonts w:ascii="Courier New" w:cs="Courier New" w:eastAsia="Courier New" w:hAnsi="Courier New"/>
          <w:sz w:val="18"/>
          <w:szCs w:val="18"/>
          <w:color w:val="auto"/>
        </w:rPr>
        <w:t>$3,372,417</w:t>
      </w:r>
    </w:p>
    <w:p>
      <w:pPr>
        <w:ind w:left="356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$3,372,417</w:t>
      </w:r>
    </w:p>
    <w:p>
      <w:pPr>
        <w:ind w:left="3560"/>
        <w:spacing w:after="0" w:line="238" w:lineRule="auto"/>
        <w:rPr>
          <w:sz w:val="20"/>
          <w:szCs w:val="20"/>
          <w:color w:val="auto"/>
        </w:rPr>
      </w:pPr>
      <w:r>
        <w:rPr>
          <w:rFonts w:ascii="Courier New" w:cs="Courier New" w:eastAsia="Courier New" w:hAnsi="Courier New"/>
          <w:sz w:val="18"/>
          <w:szCs w:val="18"/>
          <w:color w:val="auto"/>
        </w:rPr>
        <w:t>0.41</w:t>
      </w:r>
    </w:p>
    <w:p>
      <w:pPr>
        <w:ind w:left="3340"/>
        <w:spacing w:after="0"/>
        <w:rPr>
          <w:sz w:val="20"/>
          <w:szCs w:val="20"/>
          <w:color w:val="auto"/>
        </w:rPr>
      </w:pPr>
      <w:r>
        <w:rPr>
          <w:rFonts w:ascii="Courier New" w:cs="Courier New" w:eastAsia="Courier New" w:hAnsi="Courier New"/>
          <w:sz w:val="18"/>
          <w:szCs w:val="18"/>
          <w:color w:val="auto"/>
        </w:rPr>
        <w:t>0.39</w:t>
      </w:r>
    </w:p>
    <w:sectPr>
      <w:pgSz w:w="11900" w:h="16838" w:orient="portrait"/>
      <w:cols w:equalWidth="0" w:num="1">
        <w:col w:w="9659"/>
      </w:cols>
      <w:pgMar w:left="80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2019-12-13T18:07:19Z</dcterms:created>
  <dcterms:modified xsi:type="dcterms:W3CDTF">2019-12-13T18:07:19Z</dcterms:modified>
</cp:coreProperties>
</file>