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14,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001-33660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0" w:type="dxa"/>
            <w:vAlign w:val="bottom"/>
          </w:tcPr>
          <w:p>
            <w:pPr>
              <w:spacing w:after="0"/>
              <w:rPr>
                <w:sz w:val="19"/>
                <w:szCs w:val="19"/>
                <w:color w:val="auto"/>
              </w:rPr>
            </w:pPr>
          </w:p>
        </w:tc>
        <w:tc>
          <w:tcPr>
            <w:tcW w:w="2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6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 (801) 975-7200</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2280" w:type="dxa"/>
            <w:vAlign w:val="bottom"/>
            <w:gridSpan w:val="2"/>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210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Trading Symbol(s)</w:t>
            </w:r>
          </w:p>
        </w:tc>
        <w:tc>
          <w:tcPr>
            <w:tcW w:w="146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35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Common Stock, $0.001</w:t>
            </w:r>
          </w:p>
        </w:tc>
        <w:tc>
          <w:tcPr>
            <w:tcW w:w="7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CLRO</w:t>
            </w:r>
          </w:p>
        </w:tc>
        <w:tc>
          <w:tcPr>
            <w:tcW w:w="1460" w:type="dxa"/>
            <w:vAlign w:val="bottom"/>
          </w:tcPr>
          <w:p>
            <w:pPr>
              <w:spacing w:after="0"/>
              <w:rPr>
                <w:sz w:val="21"/>
                <w:szCs w:val="21"/>
                <w:color w:val="auto"/>
              </w:rPr>
            </w:pP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115"/>
        </w:trPr>
        <w:tc>
          <w:tcPr>
            <w:tcW w:w="1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Beginning on June 14, 2023, ClearOne, Inc. (the “Company”) will participate in investor meetings and the Emerging Growth Conference during which members of the Company’s management will make presentations to investors. A copy of the Company’s investor presentation is furnished herewith as Exhibit 99.1.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Limitation of Incorporation by Reference</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accordance with General Instruction B.2. of Form 8-K, this information, including Exhibit 99.1 furnished herewith, is furnished pursuant to Item 7.01 and shall not be deemed to be “filed” for the purpose of Section 18 of the Securities Exchange Act of 1934, as amended (the “Exchange Act”), or otherwise subject to the liabilities of that section, nor shall it be incorporated by reference into a filing under the Securities Act of 1933, as amended (the “Securities Act”), or the Exchange Act. The information in this Item 7.01 of this Current Report on Form 8-K (including the exhibit hereto) will not be deemed an admission as to the materiality of any information required to be disclosed solely to satisfy the requirements of Regulation FD.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Current Report on Form 8-K, including the exhibits furnished herewith, contains “forward-looking statements” within the meaning of Section 27A of the Securities Act and Section 21E of the Exchange Act. Such forward-looking statements relate to, without limitation, our future economic performance, plans and objectives for future operations and projections of revenue and other financial items. Forward-looking statements can be identified by the use of words such as “may,” “will,” “plan,” “potential,” “project,” “should,” “expect,” “anticipate,” “estimate,” “target,” “continue” or comparable terminology. Forward-looking statements are inherently subject to certain risks, trends and uncertainties, many of which we cannot predict with accuracy and some of which we might not even anticipate. Although we believe that the expectations reflected in such forward-looking statements are based upon reasonable assumptions at the time made, we can give no assurance that such expectations will be achieved. Future events and actual results, financial and otherwise, may differ materially from the results discussed in the forward-looking statements as a result of various factors, including those listed in Exhibit 99.1 on pages 2 and 3 and incorporated by reference herein. Readers are cautioned not to place undue reliance on these forward-looking statements. Unless required by U.S. federal securities laws, we do not intend to update any of the forward-looking statements to reflect circumstances or events that occur after the statements are made or to conform the statements to actual results. The information contained in this Current Report on Form 8-K, including the exhibit filed herewith, should be viewed in conjunction with the consolidated financial statements and notes thereto appearing in the Company’s Annual Reports on Form 10-K and Quarterly Reports on Form 10-Q.</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foregoing, the Company hereby furnishes the following documents: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2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513"/>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132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9"/>
              </w:rPr>
              <w:t>Investor Presentation.</w:t>
            </w:r>
          </w:p>
        </w:tc>
        <w:tc>
          <w:tcPr>
            <w:tcW w:w="7580" w:type="dxa"/>
            <w:vAlign w:val="bottom"/>
          </w:tcPr>
          <w:p>
            <w:pPr>
              <w:spacing w:after="0"/>
              <w:rPr>
                <w:sz w:val="14"/>
                <w:szCs w:val="14"/>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104.1</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574"/>
        </w:trPr>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8320" w:type="dxa"/>
            <w:vAlign w:val="bottom"/>
            <w:gridSpan w:val="2"/>
          </w:tcPr>
          <w:p>
            <w:pPr>
              <w:ind w:left="1480"/>
              <w:spacing w:after="0"/>
              <w:rPr>
                <w:sz w:val="20"/>
                <w:szCs w:val="20"/>
                <w:color w:val="auto"/>
              </w:rPr>
            </w:pPr>
            <w:r>
              <w:rPr>
                <w:rFonts w:ascii="Arial" w:cs="Arial" w:eastAsia="Arial" w:hAnsi="Arial"/>
                <w:sz w:val="18"/>
                <w:szCs w:val="18"/>
                <w:color w:val="auto"/>
              </w:rPr>
              <w:t>CLEARONE, INC.</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Date: June 14, 2023</w:t>
            </w:r>
          </w:p>
        </w:tc>
        <w:tc>
          <w:tcPr>
            <w:tcW w:w="8320" w:type="dxa"/>
            <w:vAlign w:val="bottom"/>
            <w:gridSpan w:val="2"/>
          </w:tcPr>
          <w:p>
            <w:pPr>
              <w:ind w:left="14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11"/>
        </w:trPr>
        <w:tc>
          <w:tcPr>
            <w:tcW w:w="2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r>
    </w:tbl>
    <w:p>
      <w:pPr>
        <w:ind w:left="5000"/>
        <w:spacing w:after="0"/>
        <w:rPr>
          <w:sz w:val="20"/>
          <w:szCs w:val="20"/>
          <w:color w:val="auto"/>
        </w:rPr>
      </w:pPr>
      <w:r>
        <w:rPr>
          <w:rFonts w:ascii="Arial" w:cs="Arial" w:eastAsia="Arial" w:hAnsi="Arial"/>
          <w:sz w:val="18"/>
          <w:szCs w:val="18"/>
          <w:color w:val="auto"/>
        </w:rPr>
        <w:t>Chief Financial Officer (Principal Accounting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97790</wp:posOffset>
            </wp:positionV>
            <wp:extent cx="6000750" cy="3368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115570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234950</wp:posOffset>
            </wp:positionV>
            <wp:extent cx="6000750" cy="3368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9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9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9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9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9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252095</wp:posOffset>
            </wp:positionV>
            <wp:extent cx="6000750" cy="3368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397510</wp:posOffset>
            </wp:positionV>
            <wp:extent cx="6000750" cy="3368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251460</wp:posOffset>
            </wp:positionV>
            <wp:extent cx="6000750" cy="3368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2023-06-15T05:32:45Z</dcterms:created>
  <dcterms:modified xsi:type="dcterms:W3CDTF">2023-06-15T05:32:45Z</dcterms:modified>
</cp:coreProperties>
</file>