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12b-25</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NOTIFICATION OF LATE FILING</w:t>
      </w: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400" w:type="dxa"/>
            <w:vAlign w:val="bottom"/>
          </w:tcPr>
          <w:p>
            <w:pPr>
              <w:spacing w:after="0"/>
              <w:rPr>
                <w:sz w:val="20"/>
                <w:szCs w:val="20"/>
                <w:color w:val="auto"/>
              </w:rPr>
            </w:pPr>
            <w:r>
              <w:rPr>
                <w:rFonts w:ascii="Arial" w:cs="Arial" w:eastAsia="Arial" w:hAnsi="Arial"/>
                <w:sz w:val="18"/>
                <w:szCs w:val="18"/>
                <w:color w:val="auto"/>
              </w:rPr>
              <w:t>(CHECK ONE):</w:t>
            </w:r>
          </w:p>
        </w:tc>
        <w:tc>
          <w:tcPr>
            <w:tcW w:w="13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Form 10-K</w:t>
            </w:r>
          </w:p>
        </w:tc>
        <w:tc>
          <w:tcPr>
            <w:tcW w:w="2740" w:type="dxa"/>
            <w:vAlign w:val="bottom"/>
          </w:tcPr>
          <w:p>
            <w:pPr>
              <w:ind w:left="1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Form 20-F</w:t>
            </w:r>
          </w:p>
        </w:tc>
        <w:tc>
          <w:tcPr>
            <w:tcW w:w="1880" w:type="dxa"/>
            <w:vAlign w:val="bottom"/>
          </w:tcPr>
          <w:p>
            <w:pPr>
              <w:ind w:left="6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Form 11-K</w:t>
            </w:r>
          </w:p>
        </w:tc>
        <w:tc>
          <w:tcPr>
            <w:tcW w:w="168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Form 10-Q</w:t>
            </w:r>
          </w:p>
        </w:tc>
        <w:tc>
          <w:tcPr>
            <w:tcW w:w="2420" w:type="dxa"/>
            <w:vAlign w:val="bottom"/>
          </w:tcPr>
          <w:p>
            <w:pPr>
              <w:ind w:left="3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Form N-SAR</w:t>
            </w:r>
          </w:p>
        </w:tc>
      </w:tr>
      <w:tr>
        <w:trPr>
          <w:trHeight w:val="614"/>
        </w:trPr>
        <w:tc>
          <w:tcPr>
            <w:tcW w:w="1400" w:type="dxa"/>
            <w:vAlign w:val="bottom"/>
          </w:tcPr>
          <w:p>
            <w:pPr>
              <w:spacing w:after="0"/>
              <w:rPr>
                <w:sz w:val="24"/>
                <w:szCs w:val="24"/>
                <w:color w:val="auto"/>
              </w:rPr>
            </w:pPr>
          </w:p>
        </w:tc>
        <w:tc>
          <w:tcPr>
            <w:tcW w:w="1300" w:type="dxa"/>
            <w:vAlign w:val="bottom"/>
          </w:tcPr>
          <w:p>
            <w:pPr>
              <w:ind w:left="360"/>
              <w:spacing w:after="0"/>
              <w:rPr>
                <w:sz w:val="20"/>
                <w:szCs w:val="20"/>
                <w:color w:val="auto"/>
              </w:rPr>
            </w:pPr>
            <w:r>
              <w:rPr>
                <w:rFonts w:ascii="Arial" w:cs="Arial" w:eastAsia="Arial" w:hAnsi="Arial"/>
                <w:sz w:val="18"/>
                <w:szCs w:val="18"/>
                <w:color w:val="auto"/>
              </w:rPr>
              <w:t>For Period</w:t>
            </w:r>
          </w:p>
        </w:tc>
        <w:tc>
          <w:tcPr>
            <w:tcW w:w="27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0"/>
        </w:trPr>
        <w:tc>
          <w:tcPr>
            <w:tcW w:w="1400" w:type="dxa"/>
            <w:vAlign w:val="bottom"/>
          </w:tcPr>
          <w:p>
            <w:pPr>
              <w:spacing w:after="0"/>
              <w:rPr>
                <w:sz w:val="20"/>
                <w:szCs w:val="20"/>
                <w:color w:val="auto"/>
              </w:rPr>
            </w:pPr>
          </w:p>
        </w:tc>
        <w:tc>
          <w:tcPr>
            <w:tcW w:w="1300" w:type="dxa"/>
            <w:vAlign w:val="bottom"/>
          </w:tcPr>
          <w:p>
            <w:pPr>
              <w:ind w:left="360"/>
              <w:spacing w:after="0"/>
              <w:rPr>
                <w:sz w:val="20"/>
                <w:szCs w:val="20"/>
                <w:color w:val="auto"/>
              </w:rPr>
            </w:pPr>
            <w:r>
              <w:rPr>
                <w:rFonts w:ascii="Arial" w:cs="Arial" w:eastAsia="Arial" w:hAnsi="Arial"/>
                <w:sz w:val="18"/>
                <w:szCs w:val="18"/>
                <w:color w:val="auto"/>
              </w:rPr>
              <w:t>Ended:</w:t>
            </w: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March 31, 2018</w:t>
            </w:r>
          </w:p>
        </w:tc>
        <w:tc>
          <w:tcPr>
            <w:tcW w:w="18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r>
    </w:tbl>
    <w:p>
      <w:pPr>
        <w:spacing w:after="0" w:line="200" w:lineRule="exact"/>
        <w:rPr>
          <w:sz w:val="24"/>
          <w:szCs w:val="24"/>
          <w:color w:val="auto"/>
        </w:rPr>
      </w:pPr>
    </w:p>
    <w:p>
      <w:pPr>
        <w:spacing w:after="0" w:line="218" w:lineRule="exact"/>
        <w:rPr>
          <w:sz w:val="24"/>
          <w:szCs w:val="24"/>
          <w:color w:val="auto"/>
        </w:rPr>
      </w:pPr>
    </w:p>
    <w:p>
      <w:pPr>
        <w:ind w:left="2080" w:hanging="289"/>
        <w:spacing w:after="0"/>
        <w:tabs>
          <w:tab w:leader="none" w:pos="2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25" w:lineRule="exact"/>
        <w:rPr>
          <w:rFonts w:ascii="MS PGothic" w:cs="MS PGothic" w:eastAsia="MS PGothic" w:hAnsi="MS PGothic"/>
          <w:sz w:val="18"/>
          <w:szCs w:val="18"/>
          <w:color w:val="auto"/>
        </w:rPr>
      </w:pPr>
    </w:p>
    <w:p>
      <w:pPr>
        <w:ind w:left="2080" w:hanging="289"/>
        <w:spacing w:after="0"/>
        <w:tabs>
          <w:tab w:leader="none" w:pos="2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2080" w:hanging="289"/>
        <w:spacing w:after="0"/>
        <w:tabs>
          <w:tab w:leader="none" w:pos="2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2080" w:hanging="289"/>
        <w:spacing w:after="0"/>
        <w:tabs>
          <w:tab w:leader="none" w:pos="2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1800" w:right="6820" w:hanging="9"/>
        <w:spacing w:after="0" w:line="321" w:lineRule="auto"/>
        <w:tabs>
          <w:tab w:leader="none" w:pos="209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N-SAR For the Transaction Period Ended:</w:t>
      </w:r>
    </w:p>
    <w:p>
      <w:pPr>
        <w:spacing w:after="0" w:line="352" w:lineRule="exact"/>
        <w:rPr>
          <w:sz w:val="24"/>
          <w:szCs w:val="24"/>
          <w:color w:val="auto"/>
        </w:rPr>
      </w:pPr>
    </w:p>
    <w:p>
      <w:pPr>
        <w:jc w:val="center"/>
        <w:spacing w:after="0" w:line="275" w:lineRule="auto"/>
        <w:rPr>
          <w:sz w:val="20"/>
          <w:szCs w:val="20"/>
          <w:color w:val="auto"/>
        </w:rPr>
      </w:pPr>
      <w:r>
        <w:rPr>
          <w:rFonts w:ascii="Arial" w:cs="Arial" w:eastAsia="Arial" w:hAnsi="Arial"/>
          <w:sz w:val="18"/>
          <w:szCs w:val="18"/>
          <w:b w:val="1"/>
          <w:bCs w:val="1"/>
          <w:i w:val="1"/>
          <w:iCs w:val="1"/>
          <w:color w:val="auto"/>
        </w:rPr>
        <w:t xml:space="preserve">READ INSTRUCTION (ON BACK PAGE) BEFORE PREPARING FORM. PLEASE PRINT OR TYPE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5225 Wiley Post Way, Suite 500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Salt Lake City, Utah 84116</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720" w:hanging="28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The reasons described in reasonable detail in Part III of this form could not be eliminated without unreasonable effort or expense;</w:t>
      </w:r>
    </w:p>
    <w:p>
      <w:pPr>
        <w:spacing w:after="0" w:line="18" w:lineRule="exact"/>
        <w:rPr>
          <w:sz w:val="20"/>
          <w:szCs w:val="20"/>
          <w:color w:val="auto"/>
        </w:rPr>
      </w:pPr>
    </w:p>
    <w:p>
      <w:pPr>
        <w:ind w:left="1380" w:right="160" w:hanging="942"/>
        <w:spacing w:after="0" w:line="285" w:lineRule="auto"/>
        <w:tabs>
          <w:tab w:leader="none" w:pos="71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The subject annual report, semi-annual report, transition report on Form 10-K, Form 20-F, 11-K or Form N-SAR, or portion thereof, will be filed on or before the fifteenth calendar day following the prescribed due date; or the subject quarterly report or transition report</w:t>
      </w:r>
    </w:p>
    <w:p>
      <w:pPr>
        <w:ind w:left="1380"/>
        <w:spacing w:after="0"/>
        <w:rPr>
          <w:rFonts w:ascii="MS PGothic" w:cs="MS PGothic" w:eastAsia="MS PGothic" w:hAnsi="MS PGothic"/>
          <w:sz w:val="18"/>
          <w:szCs w:val="18"/>
          <w:color w:val="auto"/>
        </w:rPr>
      </w:pPr>
      <w:r>
        <w:rPr>
          <w:rFonts w:ascii="Arial" w:cs="Arial" w:eastAsia="Arial" w:hAnsi="Arial"/>
          <w:sz w:val="18"/>
          <w:szCs w:val="18"/>
          <w:color w:val="auto"/>
        </w:rPr>
        <w:t>on Form 10-Q, or portion thereof will be filed on or before the fifth calendar day following the prescribed due date; and</w:t>
      </w:r>
    </w:p>
    <w:p>
      <w:pPr>
        <w:spacing w:after="0" w:line="9" w:lineRule="exact"/>
        <w:rPr>
          <w:rFonts w:ascii="MS PGothic" w:cs="MS PGothic" w:eastAsia="MS PGothic" w:hAnsi="MS PGothic"/>
          <w:sz w:val="18"/>
          <w:szCs w:val="18"/>
          <w:color w:val="auto"/>
        </w:rPr>
      </w:pPr>
    </w:p>
    <w:p>
      <w:pPr>
        <w:ind w:left="720" w:hanging="282"/>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The accountant’s statement or other exhibit required by Rule 12b-25(c) has been attached if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or the transition report or portion thereof, could not be filed within the prescribed time period.</w:t>
      </w:r>
    </w:p>
    <w:p>
      <w:pPr>
        <w:spacing w:after="0" w:line="170" w:lineRule="exact"/>
        <w:rPr>
          <w:sz w:val="20"/>
          <w:szCs w:val="20"/>
          <w:color w:val="auto"/>
        </w:rPr>
      </w:pPr>
    </w:p>
    <w:p>
      <w:pPr>
        <w:ind w:right="40" w:firstLine="826"/>
        <w:spacing w:after="0" w:line="279" w:lineRule="auto"/>
        <w:rPr>
          <w:sz w:val="20"/>
          <w:szCs w:val="20"/>
          <w:color w:val="auto"/>
        </w:rPr>
      </w:pPr>
      <w:r>
        <w:rPr>
          <w:rFonts w:ascii="Arial" w:cs="Arial" w:eastAsia="Arial" w:hAnsi="Arial"/>
          <w:sz w:val="17"/>
          <w:szCs w:val="17"/>
          <w:color w:val="auto"/>
        </w:rPr>
        <w:t>ClearOne, Inc. (the “Company”) was unable to file its quarterly report on Form 10-Q for the period ended March 31, 2018 (“Quarterly Report”). The Company filed its annual report on Form 10-K for the year ended December 31, 2017 (“Annual Report”) only on April 20, 2018 and has been working on preparing the Quarterly Report since then. The delay in filing the Annual Report has impacted the timeliness of filing our Quarterly Report. The Company could not complete the Quarterly Report without unreasonable effort and expense within the prescribed time.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00" w:lineRule="exact"/>
        <w:rPr>
          <w:sz w:val="20"/>
          <w:szCs w:val="20"/>
          <w:color w:val="auto"/>
        </w:rPr>
      </w:pPr>
    </w:p>
    <w:p>
      <w:pPr>
        <w:spacing w:after="0" w:line="24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jc w:val="center"/>
              <w:spacing w:after="0"/>
              <w:rPr>
                <w:sz w:val="20"/>
                <w:szCs w:val="20"/>
                <w:color w:val="auto"/>
              </w:rPr>
            </w:pPr>
            <w:r>
              <w:rPr>
                <w:rFonts w:ascii="Arial" w:cs="Arial" w:eastAsia="Arial" w:hAnsi="Arial"/>
                <w:sz w:val="18"/>
                <w:szCs w:val="18"/>
                <w:color w:val="auto"/>
                <w:w w:val="88"/>
              </w:rPr>
              <w:t>Narsi Narayanan</w:t>
            </w:r>
          </w:p>
        </w:tc>
        <w:tc>
          <w:tcPr>
            <w:tcW w:w="3940" w:type="dxa"/>
            <w:vAlign w:val="bottom"/>
            <w:gridSpan w:val="2"/>
          </w:tcPr>
          <w:p>
            <w:pPr>
              <w:jc w:val="right"/>
              <w:ind w:right="1630"/>
              <w:spacing w:after="0"/>
              <w:rPr>
                <w:sz w:val="20"/>
                <w:szCs w:val="20"/>
                <w:color w:val="auto"/>
              </w:rPr>
            </w:pPr>
            <w:r>
              <w:rPr>
                <w:rFonts w:ascii="Arial" w:cs="Arial" w:eastAsia="Arial" w:hAnsi="Arial"/>
                <w:sz w:val="18"/>
                <w:szCs w:val="18"/>
                <w:color w:val="auto"/>
              </w:rPr>
              <w:t>801</w:t>
            </w:r>
          </w:p>
        </w:tc>
        <w:tc>
          <w:tcPr>
            <w:tcW w:w="3900" w:type="dxa"/>
            <w:vAlign w:val="bottom"/>
            <w:gridSpan w:val="2"/>
          </w:tcPr>
          <w:p>
            <w:pPr>
              <w:jc w:val="right"/>
              <w:ind w:right="1410"/>
              <w:spacing w:after="0"/>
              <w:rPr>
                <w:sz w:val="20"/>
                <w:szCs w:val="20"/>
                <w:color w:val="auto"/>
              </w:rPr>
            </w:pPr>
            <w:r>
              <w:rPr>
                <w:rFonts w:ascii="Arial" w:cs="Arial" w:eastAsia="Arial" w:hAnsi="Arial"/>
                <w:sz w:val="18"/>
                <w:szCs w:val="18"/>
                <w:color w:val="auto"/>
              </w:rPr>
              <w:t>975-7200</w:t>
            </w:r>
          </w:p>
        </w:tc>
      </w:tr>
      <w:tr>
        <w:trPr>
          <w:trHeight w:val="224"/>
        </w:trPr>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8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ind w:left="480" w:right="80" w:hanging="472"/>
        <w:spacing w:after="0" w:line="254" w:lineRule="auto"/>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jc w:val="right"/>
        <w:spacing w:after="0" w:line="207" w:lineRule="exact"/>
        <w:tabs>
          <w:tab w:leader="none" w:pos="42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00" w:lineRule="exact"/>
        <w:rPr>
          <w:sz w:val="20"/>
          <w:szCs w:val="20"/>
          <w:color w:val="auto"/>
        </w:rPr>
      </w:pPr>
    </w:p>
    <w:p>
      <w:pPr>
        <w:spacing w:after="0" w:line="232" w:lineRule="exact"/>
        <w:rPr>
          <w:sz w:val="20"/>
          <w:szCs w:val="20"/>
          <w:color w:val="auto"/>
        </w:rPr>
      </w:pPr>
    </w:p>
    <w:p>
      <w:pPr>
        <w:ind w:left="480" w:right="600" w:hanging="472"/>
        <w:spacing w:after="0" w:line="255"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2" w:lineRule="exact"/>
        <w:rPr>
          <w:sz w:val="20"/>
          <w:szCs w:val="20"/>
          <w:color w:val="auto"/>
        </w:rPr>
      </w:pPr>
    </w:p>
    <w:p>
      <w:pPr>
        <w:ind w:left="6820"/>
        <w:spacing w:after="0" w:line="207" w:lineRule="exact"/>
        <w:tabs>
          <w:tab w:leader="none" w:pos="109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16" w:lineRule="exact"/>
        <w:rPr>
          <w:sz w:val="20"/>
          <w:szCs w:val="20"/>
          <w:color w:val="auto"/>
        </w:rPr>
      </w:pPr>
    </w:p>
    <w:p>
      <w:pPr>
        <w:ind w:left="500" w:right="58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38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The Company reported revenue of $11.7 million and net loss of $0.5 million for the quarter ended March 31, 2017. The Company expects to report less revenues for the quarter ended March 31, 2018 as compared to 2017 and also expects to report a net loss for the quarter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(Name of Registrant as Specified in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Date  May 11, 2018</w:t>
            </w:r>
          </w:p>
        </w:tc>
        <w:tc>
          <w:tcPr>
            <w:tcW w:w="2960" w:type="dxa"/>
            <w:vAlign w:val="bottom"/>
          </w:tcPr>
          <w:p>
            <w:pPr>
              <w:ind w:left="2360"/>
              <w:spacing w:after="0"/>
              <w:rPr>
                <w:sz w:val="20"/>
                <w:szCs w:val="20"/>
                <w:color w:val="auto"/>
              </w:rPr>
            </w:pPr>
            <w:r>
              <w:rPr>
                <w:rFonts w:ascii="Arial" w:cs="Arial" w:eastAsia="Arial" w:hAnsi="Arial"/>
                <w:sz w:val="18"/>
                <w:szCs w:val="18"/>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4"/>
        </w:trPr>
        <w:tc>
          <w:tcPr>
            <w:tcW w:w="38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Zeynep Hakimoglu, Chief Executive Officer</w:t>
            </w:r>
          </w:p>
        </w:tc>
      </w:tr>
    </w:tbl>
    <w:p>
      <w:pPr>
        <w:spacing w:after="0" w:line="400" w:lineRule="exact"/>
        <w:rPr>
          <w:sz w:val="20"/>
          <w:szCs w:val="20"/>
          <w:color w:val="auto"/>
        </w:rPr>
      </w:pPr>
    </w:p>
    <w:p>
      <w:pPr>
        <w:ind w:right="140"/>
        <w:spacing w:after="0" w:line="314" w:lineRule="auto"/>
        <w:rPr>
          <w:sz w:val="20"/>
          <w:szCs w:val="20"/>
          <w:color w:val="auto"/>
        </w:rPr>
      </w:pPr>
      <w:r>
        <w:rPr>
          <w:rFonts w:ascii="Arial" w:cs="Arial" w:eastAsia="Arial" w:hAnsi="Arial"/>
          <w:sz w:val="16"/>
          <w:szCs w:val="16"/>
          <w:b w:val="1"/>
          <w:bCs w:val="1"/>
          <w:color w:val="auto"/>
        </w:rPr>
        <w:t xml:space="preserve">INSTRUCTION: </w:t>
      </w:r>
      <w:r>
        <w:rPr>
          <w:rFonts w:ascii="Arial" w:cs="Arial" w:eastAsia="Arial" w:hAnsi="Arial"/>
          <w:sz w:val="16"/>
          <w:szCs w:val="16"/>
          <w:color w:val="auto"/>
        </w:rPr>
        <w:t>The form may be signed by an executive officer of the registrant or by any other duly authorized representative. The name and title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35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INTENTIONAL MISSTATEMENTS OR OMISSIONS OF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CONSTITUTE FEDERAL CRIMINAL VIOLATIONS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(SEE 18 U.S.C. 1001)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2019-12-05T19:50:28Z</dcterms:created>
  <dcterms:modified xsi:type="dcterms:W3CDTF">2019-12-05T19:50:28Z</dcterms:modified>
</cp:coreProperties>
</file>