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1</w:t>
      </w:r>
    </w:p>
    <w:p>
      <w:pPr>
        <w:ind w:left="3280"/>
        <w:spacing w:after="0" w:line="238" w:lineRule="auto"/>
        <w:rPr>
          <w:sz w:val="20"/>
          <w:szCs w:val="20"/>
          <w:color w:val="auto"/>
        </w:rPr>
      </w:pPr>
      <w:r>
        <w:rPr>
          <w:rFonts w:ascii="Courier New" w:cs="Courier New" w:eastAsia="Courier New" w:hAnsi="Courier New"/>
          <w:sz w:val="18"/>
          <w:szCs w:val="18"/>
          <w:color w:val="auto"/>
        </w:rPr>
        <w:t>UNITED STATES</w:t>
      </w: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/x/ Quarterly Report Pursuant to Section 13 or 15(d) of the Securities Exchange Act of 1934</w:t>
      </w:r>
    </w:p>
    <w:p>
      <w:pPr>
        <w:spacing w:after="0" w:line="20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 the quarterly period ended September 30, 1995</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73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 _______________ to _______________</w:t>
      </w:r>
    </w:p>
    <w:p>
      <w:pPr>
        <w:spacing w:after="0" w:line="200" w:lineRule="exact"/>
        <w:rPr>
          <w:sz w:val="24"/>
          <w:szCs w:val="24"/>
          <w:color w:val="auto"/>
        </w:rPr>
      </w:pPr>
    </w:p>
    <w:p>
      <w:pPr>
        <w:spacing w:after="0" w:line="22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0-17219</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560" w:space="720"/>
            <w:col w:w="4939"/>
          </w:cols>
          <w:pgMar w:left="240" w:top="244" w:right="1440" w:bottom="1440" w:gutter="0" w:footer="0" w:header="0"/>
          <w:type w:val="continuous"/>
        </w:sectPr>
      </w:pPr>
    </w:p>
    <w:p>
      <w:pPr>
        <w:spacing w:after="0" w:line="24" w:lineRule="exact"/>
        <w:rPr>
          <w:sz w:val="24"/>
          <w:szCs w:val="24"/>
          <w:color w:val="auto"/>
        </w:rPr>
      </w:pPr>
    </w:p>
    <w:p>
      <w:pPr>
        <w:ind w:right="760"/>
        <w:spacing w:after="0" w:line="290" w:lineRule="auto"/>
        <w:rPr>
          <w:sz w:val="20"/>
          <w:szCs w:val="20"/>
          <w:color w:val="auto"/>
        </w:rPr>
      </w:pPr>
      <w:r>
        <w:rPr>
          <w:rFonts w:ascii="Courier New" w:cs="Courier New" w:eastAsia="Courier New" w:hAnsi="Courier New"/>
          <w:sz w:val="16"/>
          <w:szCs w:val="16"/>
          <w:color w:val="auto"/>
        </w:rPr>
        <w:t>1825 Research Way, Salt Lake City, Utah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167" w:lineRule="exact"/>
        <w:rPr>
          <w:sz w:val="24"/>
          <w:szCs w:val="24"/>
          <w:color w:val="auto"/>
        </w:rPr>
      </w:pP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540" w:right="3479" w:hanging="1263"/>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0" w:lineRule="exact"/>
        <w:rPr>
          <w:sz w:val="24"/>
          <w:szCs w:val="24"/>
          <w:color w:val="auto"/>
        </w:rPr>
      </w:pPr>
    </w:p>
    <w:p>
      <w:pPr>
        <w:spacing w:after="0" w:line="211" w:lineRule="exact"/>
        <w:rPr>
          <w:sz w:val="24"/>
          <w:szCs w:val="24"/>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2740"/>
        <w:spacing w:after="0"/>
        <w:tabs>
          <w:tab w:leader="none" w:pos="430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 / No</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1440" w:gutter="0" w:footer="0" w:header="0"/>
          <w:type w:val="continuous"/>
        </w:sectPr>
      </w:pPr>
    </w:p>
    <w:p>
      <w:pPr>
        <w:spacing w:after="0" w:line="208"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right"/>
        <w:ind w:right="3039"/>
        <w:spacing w:after="0"/>
        <w:rPr>
          <w:sz w:val="20"/>
          <w:szCs w:val="20"/>
          <w:color w:val="auto"/>
        </w:rPr>
      </w:pPr>
      <w:r>
        <w:rPr>
          <w:rFonts w:ascii="Courier New" w:cs="Courier New" w:eastAsia="Courier New" w:hAnsi="Courier New"/>
          <w:sz w:val="16"/>
          <w:szCs w:val="16"/>
          <w:color w:val="auto"/>
        </w:rPr>
        <w:t>November 10, 1995</w:t>
      </w:r>
    </w:p>
    <w:p>
      <w:pPr>
        <w:spacing w:after="0" w:line="16" w:lineRule="exact"/>
        <w:rPr>
          <w:sz w:val="24"/>
          <w:szCs w:val="24"/>
          <w:color w:val="auto"/>
        </w:rPr>
      </w:pPr>
    </w:p>
    <w:p>
      <w:pPr>
        <w:jc w:val="right"/>
        <w:ind w:right="3039"/>
        <w:spacing w:after="0"/>
        <w:rPr>
          <w:sz w:val="20"/>
          <w:szCs w:val="20"/>
          <w:color w:val="auto"/>
        </w:rPr>
      </w:pPr>
      <w:r>
        <w:rPr>
          <w:rFonts w:ascii="Courier New" w:cs="Courier New" w:eastAsia="Courier New" w:hAnsi="Courier New"/>
          <w:sz w:val="18"/>
          <w:szCs w:val="18"/>
          <w:color w:val="auto"/>
        </w:rPr>
        <w:t>7,662,375 shares</w:t>
      </w:r>
    </w:p>
    <w:p>
      <w:pPr>
        <w:sectPr>
          <w:pgSz w:w="11900" w:h="16838" w:orient="portrait"/>
          <w:cols w:equalWidth="0" w:num="2">
            <w:col w:w="4660" w:space="720"/>
            <w:col w:w="4839"/>
          </w:cols>
          <w:pgMar w:left="240" w:top="244" w:right="1440" w:bottom="1440" w:gutter="0" w:footer="0" w:header="0"/>
          <w:type w:val="continuous"/>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2</w:t>
      </w:r>
    </w:p>
    <w:p>
      <w:pPr>
        <w:ind w:left="212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ind w:left="3060"/>
              <w:spacing w:after="0"/>
              <w:rPr>
                <w:sz w:val="20"/>
                <w:szCs w:val="20"/>
                <w:color w:val="auto"/>
              </w:rPr>
            </w:pPr>
            <w:r>
              <w:rPr>
                <w:rFonts w:ascii="Courier New" w:cs="Courier New" w:eastAsia="Courier New" w:hAnsi="Courier New"/>
                <w:sz w:val="18"/>
                <w:szCs w:val="18"/>
                <w:color w:val="auto"/>
              </w:rPr>
              <w:t>BALANCE SHEETS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50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ind w:left="2440"/>
              <w:spacing w:after="0"/>
              <w:rPr>
                <w:sz w:val="20"/>
                <w:szCs w:val="20"/>
                <w:color w:val="auto"/>
              </w:rPr>
            </w:pPr>
            <w:r>
              <w:rPr>
                <w:rFonts w:ascii="Courier New" w:cs="Courier New" w:eastAsia="Courier New" w:hAnsi="Courier New"/>
                <w:sz w:val="18"/>
                <w:szCs w:val="18"/>
                <w:color w:val="auto"/>
              </w:rPr>
              <w:t>ASSETS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and cash equivalents.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100,359</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119,238</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1,446,121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1,644,376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 . . .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3,743,475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Other current assets.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201,918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140,088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Total current assets.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5,491,873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5,228,568</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Property and equipment, net. . . . . . . . . .</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1,732,735</w:t>
            </w: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1,829,161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net.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133,934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140,731</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assets. . . . . . . . . . . . . . . .$ 7,358,542</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LIABILITIES AND SHAREHOLDERS' EQUITY</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Notes payable. . .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853,750</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1,508,687</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payable.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1,208,026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943,723</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Accrued expenses.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215,225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297,426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156,718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93,506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portion of capital lease obligations.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133,047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128,486</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2,566,766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2,971,828</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Long-term debt. . . . . . . . . . . . . . . . .</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545,380</w:t>
            </w: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229,372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243,810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283,799</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3,355,956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3,484,999</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50,000,000 shares authorized,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 $.001, 7,655,375 and 7,455,375</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 outstanding at September</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30, 1995 and June 30, 1995.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7,655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Additional paid-in capital.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4,381,941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4,244,641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  .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(387,010)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(538,635)</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Total shareholders' equity.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4,002,586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3,713,461</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shareholders' equity.$ 7,358,542</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jc w:val="center"/>
        <w:ind w:right="2399"/>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58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5120" w:type="dxa"/>
            <w:vAlign w:val="bottom"/>
          </w:tcPr>
          <w:p>
            <w:pPr>
              <w:spacing w:after="0"/>
              <w:rPr>
                <w:sz w:val="17"/>
                <w:szCs w:val="17"/>
                <w:color w:val="auto"/>
              </w:rPr>
            </w:pPr>
          </w:p>
        </w:tc>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Net sales . . . . . . . . . . . . . . . . . . .$</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2,787,149</w:t>
            </w:r>
          </w:p>
        </w:tc>
        <w:tc>
          <w:tcPr>
            <w:tcW w:w="26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2,274,913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1,440,326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1,270,886</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1,346,823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1,004,027</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564,881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614,588</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336,284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475,969</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217,991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286,190</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1,119,156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1,376,747</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Operating income (loss)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227,667</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(372,720)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6,514</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(50,147)</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(28,388)</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 . . . . . . . . . . . . . . . .</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14,886</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other income (expense)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(49,285)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(6,988)</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Income (loss) before income taxes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178,382</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(379,708)</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Provision (benefit) for income taxes . . . . .</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26,757</w:t>
            </w:r>
          </w:p>
        </w:tc>
        <w:tc>
          <w:tcPr>
            <w:tcW w:w="2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151,625</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(379,708)</w:t>
            </w:r>
          </w:p>
        </w:tc>
      </w:tr>
      <w:tr>
        <w:trPr>
          <w:trHeight w:val="203"/>
        </w:trPr>
        <w:tc>
          <w:tcPr>
            <w:tcW w:w="51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 per common share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0.02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4">
            <w:col w:w="5060" w:space="100"/>
            <w:col w:w="960" w:space="200"/>
            <w:col w:w="120" w:space="200"/>
            <w:col w:w="3579"/>
          </w:cols>
          <w:pgMar w:left="240" w:top="312" w:right="1440" w:bottom="1440" w:gutter="0" w:footer="0" w:header="0"/>
          <w:type w:val="continuous"/>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61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61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CONDENSED STATEMENTS OF CASH FLOWS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90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 received from customers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3,016,895</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2,254,803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to suppliers and employees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(2,792,477)</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(3,365,501)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received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862</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6,139</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 . .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(50,425)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(28,388)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paid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(5,900)</w:t>
            </w: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activities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168,955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(1,132,947)</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(28,640)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(262,931)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other assets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14,451</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2,893</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(14,189)</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(260,038)</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employee stock option</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exercises . . .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137,500</w:t>
            </w: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borrowings (repayments) under line of</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 . . . .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(398,000)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1,100,000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short-term notes to</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vendors . . . .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(256,937)</w:t>
            </w: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282,500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capital lease</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 . . . . .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(35,428)</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long-term debt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(20,780)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(6,328)</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financing activities . . . . . . . .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(173,645)</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1,335,657</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 . .</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(18,879)</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(57,328)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the beginning</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year . . .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the end of the</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period . . . . . . . . . . . . . . . . . . .$</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100,359</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376,496</w:t>
            </w:r>
          </w:p>
        </w:tc>
      </w:tr>
      <w:tr>
        <w:trPr>
          <w:trHeight w:val="203"/>
        </w:trPr>
        <w:tc>
          <w:tcPr>
            <w:tcW w:w="490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4" w:name="page5"/>
    <w:bookmarkEnd w:id="4"/>
    <w:p>
      <w:pPr>
        <w:ind w:left="220"/>
        <w:spacing w:after="0"/>
        <w:rPr>
          <w:sz w:val="20"/>
          <w:szCs w:val="20"/>
          <w:color w:val="auto"/>
        </w:rPr>
      </w:pPr>
      <w:r>
        <w:rPr>
          <w:rFonts w:ascii="Courier New" w:cs="Courier New" w:eastAsia="Courier New" w:hAnsi="Courier New"/>
          <w:sz w:val="18"/>
          <w:szCs w:val="18"/>
          <w:color w:val="auto"/>
        </w:rPr>
        <w:t>5</w:t>
      </w:r>
    </w:p>
    <w:p>
      <w:pPr>
        <w:ind w:left="2120"/>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w:t>
      </w:r>
    </w:p>
    <w:p>
      <w:pPr>
        <w:ind w:left="2960"/>
        <w:spacing w:after="0" w:line="238" w:lineRule="auto"/>
        <w:rPr>
          <w:sz w:val="20"/>
          <w:szCs w:val="20"/>
          <w:color w:val="auto"/>
        </w:rPr>
      </w:pPr>
      <w:r>
        <w:rPr>
          <w:rFonts w:ascii="Courier New" w:cs="Courier New" w:eastAsia="Courier New" w:hAnsi="Courier New"/>
          <w:sz w:val="18"/>
          <w:szCs w:val="18"/>
          <w:color w:val="auto"/>
        </w:rPr>
        <w:t>September 30, 1995</w:t>
      </w:r>
    </w:p>
    <w:p>
      <w:pPr>
        <w:ind w:left="32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619" w:firstLine="632"/>
        <w:spacing w:after="0" w:line="272"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1995 Annual Report on Form 10-KSB.</w:t>
      </w:r>
    </w:p>
    <w:p>
      <w:pPr>
        <w:spacing w:after="0" w:line="385"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Earnings (Loss) Per Common Share</w:t>
      </w:r>
    </w:p>
    <w:p>
      <w:pPr>
        <w:spacing w:after="0" w:line="207" w:lineRule="exact"/>
        <w:rPr>
          <w:sz w:val="20"/>
          <w:szCs w:val="20"/>
          <w:color w:val="auto"/>
        </w:rPr>
      </w:pPr>
    </w:p>
    <w:p>
      <w:pPr>
        <w:ind w:right="2619" w:firstLine="632"/>
        <w:spacing w:after="0" w:line="268" w:lineRule="auto"/>
        <w:rPr>
          <w:sz w:val="20"/>
          <w:szCs w:val="20"/>
          <w:color w:val="auto"/>
        </w:rPr>
      </w:pPr>
      <w:r>
        <w:rPr>
          <w:rFonts w:ascii="Courier New" w:cs="Courier New" w:eastAsia="Courier New" w:hAnsi="Courier New"/>
          <w:sz w:val="16"/>
          <w:szCs w:val="16"/>
          <w:color w:val="auto"/>
        </w:rPr>
        <w:t>Earnings (loss) per common share was calculated using the modified treasury stock method (see the accompanying exhibit, "Statement re: Computation of Per Share Earnings"). Stock options and warrants</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to purchase common stock have been excluded from the presented computation of per share amounts in periods when the effect was antidilutive.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3. Inventory</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960" w:type="dxa"/>
            <w:vAlign w:val="bottom"/>
          </w:tcPr>
          <w:p>
            <w:pPr>
              <w:ind w:left="640"/>
              <w:spacing w:after="0"/>
              <w:rPr>
                <w:sz w:val="20"/>
                <w:szCs w:val="20"/>
                <w:color w:val="auto"/>
              </w:rPr>
            </w:pPr>
            <w:r>
              <w:rPr>
                <w:rFonts w:ascii="Courier New" w:cs="Courier New" w:eastAsia="Courier New" w:hAnsi="Courier New"/>
                <w:sz w:val="18"/>
                <w:szCs w:val="18"/>
                <w:color w:val="auto"/>
              </w:rPr>
              <w:t>Inventory is summarized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9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(Unaudited)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320" w:type="dxa"/>
            <w:vAlign w:val="bottom"/>
            <w:gridSpan w:val="3"/>
          </w:tcPr>
          <w:p>
            <w:pPr>
              <w:jc w:val="center"/>
              <w:ind w:left="467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Raw materials. . . . . . . . . . . . . .$</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1,262,243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959,478</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progress. . . . . . . . . . . .</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1,449,531</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1,380,393</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 . . . . . . . . . . . .</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1,031,701</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984,995</w:t>
            </w:r>
          </w:p>
        </w:tc>
      </w:tr>
      <w:tr>
        <w:trPr>
          <w:trHeight w:val="203"/>
        </w:trPr>
        <w:tc>
          <w:tcPr>
            <w:tcW w:w="49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w w:val="96"/>
              </w:rPr>
              <w:t>Total inventory. . . . . .$</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3,743,475</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49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5" w:name="page6"/>
    <w:bookmarkEnd w:id="5"/>
    <w:p>
      <w:pPr>
        <w:ind w:left="220"/>
        <w:spacing w:after="0"/>
        <w:rPr>
          <w:sz w:val="20"/>
          <w:szCs w:val="20"/>
          <w:color w:val="auto"/>
        </w:rPr>
      </w:pPr>
      <w:r>
        <w:rPr>
          <w:rFonts w:ascii="Courier New" w:cs="Courier New" w:eastAsia="Courier New" w:hAnsi="Courier New"/>
          <w:sz w:val="18"/>
          <w:szCs w:val="18"/>
          <w:color w:val="auto"/>
        </w:rPr>
        <w:t>6</w:t>
      </w:r>
    </w:p>
    <w:p>
      <w:pPr>
        <w:jc w:val="center"/>
        <w:ind w:right="249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249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Sales for the three months ended September 30, 1995 increased 23% compared to the three months ended September 30, 1994. The increase was attributable primarily to new products which began shipping since last fall.</w:t>
      </w:r>
    </w:p>
    <w:p>
      <w:pPr>
        <w:spacing w:after="0" w:line="207"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Broadcast market sales increased 36% during the first quarter of fiscal 1996, compared to the same period during fiscal 1995. The main reason for the increase was sales of the Company's new TS612 talk show telephone system. The Company has received very favorable customer response to this product, and is currently working on new system enhancements which it anticipates introducing later during the current fiscal year. Increased sales also resulted from another new product, the Company's recently introduced Telehybrid telephone interface unit. The new product allows broadcasters to make easy connections to either digital or analog phone lines in various "on-air" broadcast applications. It can also be used in situations involving audioconferencing.</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Sales to the audio segment of the Teleconferencing market (the "Audioconferencing" market) increased 14% during the quarter ended September 30, 1995 as compared to the same period a year ago. The increase was due primarily to shipments of the new AVT line of products. These units were designed specifically for use in conjunction with videoconferencing and distance learning applications.</w:t>
      </w:r>
    </w:p>
    <w:p>
      <w:pPr>
        <w:spacing w:after="0" w:line="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Audioconferencing sales were also higher than last year due to shipments of the ET100 portable audioconferencer. The Company spent time during this last quarter making design modifications and improvements to the ET100, and plans to release version 2.0 during fiscal 1996's second quarter. The Company expects this to grow sales further, and expects more Audioconferencing sales resulting from new product introductions later during this fiscal year.</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Company's gross profit margin percentage increased from 44% during last year's first quarter, to 48% during the same period this year. Although the Company did experience some variations in its sales mix during the quarter, most of the difference was due to moderate price increases which took effect July 1, 1995. The Company believes that gross margins experienced during the rest of the 1996 fiscal year will be slightly lower due to small decreases in profit margins of new products scheduled to be introduced. However, the Company also anticipates higher gross profits resulting from an overall increase in sales.</w:t>
      </w:r>
    </w:p>
    <w:p>
      <w:pPr>
        <w:sectPr>
          <w:pgSz w:w="11900" w:h="16838" w:orient="portrait"/>
          <w:cols w:equalWidth="0" w:num="1">
            <w:col w:w="10219"/>
          </w:cols>
          <w:pgMar w:left="240" w:top="312" w:right="1440" w:bottom="1440"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RESULTS OF OPERATIONS - (Continued)</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Operating expenses for the first quarter decreased 19% compared to last year. The Company lowered costs in all areas, primarily those of product development and general and administration. Product development costs came down as a result of less resources being expended in engineering new products. During the prior year's first quarter, the Company was focused on getting the TS612 and ET100 products ready to ship. Part of that process required important outside developmental efforts unique to those two units. The Company was also involved in more promotional activities last year, again related to the new products. As a result, marketing and selling expenses decreased 8% during this year's first quarter compared to last year. General and administrative expenses were lower by 29% compared to last year, due mainly as a result of cost saving efforts and efficiencies gained in modifying the organizational structure.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During the first quarter, the Company earned little interest income compared to the same period last year, due to lower cash investment balances. Interest expense increased 77% during the three-month period ended March 31, 1995, as a result of increased usage of the Company's line of credit facility.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current ratio increased from 1.8:1 to 2.1:1 during</w:t>
      </w:r>
    </w:p>
    <w:p>
      <w:pPr>
        <w:spacing w:after="0" w:line="4"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three months since June 30, 1995. The factor contributing most to the change was an adjustment of short-term debt which occurred during the quarter. The Company obtained permanent long-term financing for several items of furniture and equipment acquired over the last eighteen months, and applied the proceeds towards the short-term line of credit. Another working capital change was the 12% decline in accounts receivable due to lower sales during the quarter than in the quarter ended June 30, 1995. Inventory increased 13% during the quarter because the Company is continuing its efforts of providing adequate finished product availability to satisfy current and expected customer demand. Yet it also intends to fully implement ongoing inventory management programs started during fiscal 1995. Such efforts are intended to improve raw material purchasing efficiencies and reduce inventory size overall. The 28% increase in accounts payable coincides with the increase in inventory.</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renewed its line of credit arrangement with a commercial bank. The terms of the arrangement remained the same as before, with $1.75 million available at 1% over prime, maturing on October 31, 1996.</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Company is continuing to maximize its efforts to maintain stable cash flows during a time of sales growth and ongoing product development. Changing its short-term debt position helped to increase available cash reserves. However, the Company believes that ongoing cash flows will improve more as a result of continuing management's focus on maintaining satisfactory profitability following last year's period of operational expansion and intense product promotion. Already the Company has seen the positive operational cash flow results from this course of action. As sales continue to increase and profits are achieved, the Company is confident that it can achieve its business plan through a combination of internally generated funds, and short-term and/or long-term borrowing, if necessary.</w:t>
      </w:r>
    </w:p>
    <w:p>
      <w:pPr>
        <w:sectPr>
          <w:pgSz w:w="11900" w:h="16838" w:orient="portrait"/>
          <w:cols w:equalWidth="0" w:num="1">
            <w:col w:w="10219"/>
          </w:cols>
          <w:pgMar w:left="240" w:top="312" w:right="1440" w:bottom="144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700" w:hanging="428"/>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440" w:hanging="536"/>
        <w:spacing w:after="0" w:line="238" w:lineRule="auto"/>
        <w:tabs>
          <w:tab w:leader="none" w:pos="24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ind w:left="2440" w:hanging="536"/>
        <w:spacing w:after="0" w:line="238" w:lineRule="auto"/>
        <w:tabs>
          <w:tab w:leader="none" w:pos="24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There were no reports on Form 8-K filed during the quarter.</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L. Harmon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David L. Harmon</w:t>
      </w:r>
    </w:p>
    <w:p>
      <w:pPr>
        <w:ind w:left="40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10, 1995</w:t>
      </w:r>
    </w:p>
    <w:p>
      <w:pPr>
        <w:sectPr>
          <w:pgSz w:w="11900" w:h="16838" w:orient="portrait"/>
          <w:cols w:equalWidth="0" w:num="1">
            <w:col w:w="10219"/>
          </w:cols>
          <w:pgMar w:left="240" w:top="312" w:right="1440" w:bottom="1440" w:gutter="0" w:footer="0" w:header="0"/>
        </w:sectPr>
      </w:pPr>
    </w:p>
    <w:bookmarkStart w:id="8" w:name="page9"/>
    <w:bookmarkEnd w:id="8"/>
    <w:p>
      <w:pPr>
        <w:ind w:left="6540"/>
        <w:spacing w:after="0"/>
        <w:rPr>
          <w:sz w:val="20"/>
          <w:szCs w:val="20"/>
          <w:color w:val="auto"/>
        </w:rPr>
      </w:pPr>
      <w:r>
        <w:rPr>
          <w:rFonts w:ascii="Courier New" w:cs="Courier New" w:eastAsia="Courier New" w:hAnsi="Courier New"/>
          <w:sz w:val="16"/>
          <w:szCs w:val="16"/>
          <w:color w:val="auto"/>
        </w:rPr>
        <w:t>EXHIBIT 11</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STATEMENT RE: COMPUTATION OF PER SHARE EARNINGS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Three Months</w:t>
      </w:r>
    </w:p>
    <w:p>
      <w:pPr>
        <w:spacing w:after="0" w:line="16" w:lineRule="exact"/>
        <w:rPr>
          <w:sz w:val="20"/>
          <w:szCs w:val="20"/>
          <w:color w:val="auto"/>
        </w:rPr>
      </w:pPr>
    </w:p>
    <w:p>
      <w:pPr>
        <w:jc w:val="center"/>
        <w:ind w:left="4860"/>
        <w:spacing w:after="0"/>
        <w:rPr>
          <w:sz w:val="20"/>
          <w:szCs w:val="20"/>
          <w:color w:val="auto"/>
        </w:rPr>
      </w:pPr>
      <w:r>
        <w:rPr>
          <w:rFonts w:ascii="Courier New" w:cs="Courier New" w:eastAsia="Courier New" w:hAnsi="Courier New"/>
          <w:sz w:val="18"/>
          <w:szCs w:val="18"/>
          <w:color w:val="auto"/>
        </w:rPr>
        <w:t>Ended</w:t>
      </w:r>
    </w:p>
    <w:p>
      <w:pPr>
        <w:spacing w:after="0" w:line="4" w:lineRule="exact"/>
        <w:rPr>
          <w:sz w:val="20"/>
          <w:szCs w:val="20"/>
          <w:color w:val="auto"/>
        </w:rPr>
      </w:pPr>
    </w:p>
    <w:p>
      <w:pPr>
        <w:jc w:val="center"/>
        <w:ind w:left="464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left="496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jc w:val="cente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Three Months</w:t>
      </w:r>
    </w:p>
    <w:p>
      <w:pPr>
        <w:spacing w:after="0" w:line="1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Ended</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1994</w:t>
      </w:r>
    </w:p>
    <w:p>
      <w:pPr>
        <w:spacing w:after="0" w:line="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200"/>
            <w:col w:w="3999"/>
          </w:cols>
          <w:pgMar w:left="240" w:top="14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Earnings (loss):</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Net income (loss)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151,625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(379,708)</w:t>
      </w:r>
    </w:p>
    <w:p>
      <w:pPr>
        <w:spacing w:after="0" w:line="21" w:lineRule="exact"/>
        <w:rPr>
          <w:sz w:val="20"/>
          <w:szCs w:val="20"/>
          <w:color w:val="auto"/>
        </w:rPr>
      </w:pPr>
    </w:p>
    <w:p>
      <w:pPr>
        <w:sectPr>
          <w:pgSz w:w="11900" w:h="16838" w:orient="portrait"/>
          <w:cols w:equalWidth="0" w:num="4">
            <w:col w:w="4860" w:space="420"/>
            <w:col w:w="740" w:space="200"/>
            <w:col w:w="100" w:space="420"/>
            <w:col w:w="34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interest expense reduction 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retirement of acquirable long-term</w:t>
      </w:r>
    </w:p>
    <w:p>
      <w:pPr>
        <w:sectPr>
          <w:pgSz w:w="11900" w:h="16838" w:orient="portrait"/>
          <w:cols w:equalWidth="0" w:num="1">
            <w:col w:w="10219"/>
          </w:cols>
          <w:pgMar w:left="240" w:top="142" w:right="1440"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liabilities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660" w:space="720"/>
            <w:col w:w="860" w:space="720"/>
            <w:col w:w="325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interest income increase on</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left="640" w:hanging="104"/>
        <w:spacing w:after="0" w:line="536" w:lineRule="auto"/>
        <w:rPr>
          <w:sz w:val="20"/>
          <w:szCs w:val="20"/>
          <w:color w:val="auto"/>
        </w:rPr>
      </w:pPr>
      <w:r>
        <w:rPr>
          <w:rFonts w:ascii="Courier New" w:cs="Courier New" w:eastAsia="Courier New" w:hAnsi="Courier New"/>
          <w:sz w:val="16"/>
          <w:szCs w:val="16"/>
          <w:color w:val="auto"/>
        </w:rPr>
        <w:t>purchase of investments . . . . . . . . Adjusted net income (loss) . . . . . . $</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151,625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(379,708)</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4860" w:space="100"/>
            <w:col w:w="1060" w:space="200"/>
            <w:col w:w="3999"/>
          </w:cols>
          <w:pgMar w:left="240" w:top="142" w:right="1440" w:bottom="1440" w:gutter="0" w:footer="0" w:header="0"/>
          <w:type w:val="continuous"/>
        </w:sectPr>
      </w:pPr>
    </w:p>
    <w:p>
      <w:pPr>
        <w:ind w:left="220"/>
        <w:spacing w:after="0" w:line="234" w:lineRule="auto"/>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Weighted average number of common shares</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outstanding. . .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7,574,179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7,338,375</w:t>
      </w:r>
    </w:p>
    <w:p>
      <w:pPr>
        <w:spacing w:after="0" w:line="21" w:lineRule="exact"/>
        <w:rPr>
          <w:sz w:val="20"/>
          <w:szCs w:val="20"/>
          <w:color w:val="auto"/>
        </w:rPr>
      </w:pPr>
    </w:p>
    <w:p>
      <w:pPr>
        <w:sectPr>
          <w:pgSz w:w="11900" w:h="16838" w:orient="portrait"/>
          <w:cols w:equalWidth="0" w:num="3">
            <w:col w:w="4740" w:space="320"/>
            <w:col w:w="960" w:space="620"/>
            <w:col w:w="35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exercise of weighted average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options and warrants</w:t>
      </w:r>
    </w:p>
    <w:p>
      <w:pPr>
        <w:sectPr>
          <w:pgSz w:w="11900" w:h="16838" w:orient="portrait"/>
          <w:cols w:equalWidth="0" w:num="1">
            <w:col w:w="10219"/>
          </w:cols>
          <w:pgMar w:left="240" w:top="142" w:right="1440" w:bottom="1440" w:gutter="0" w:footer="0" w:header="0"/>
          <w:type w:val="continuous"/>
        </w:sectPr>
      </w:pPr>
    </w:p>
    <w:p>
      <w:pPr>
        <w:jc w:val="center"/>
        <w:ind w:left="420"/>
        <w:spacing w:after="0" w:line="238" w:lineRule="auto"/>
        <w:rPr>
          <w:sz w:val="20"/>
          <w:szCs w:val="20"/>
          <w:color w:val="auto"/>
        </w:rPr>
      </w:pPr>
      <w:r>
        <w:rPr>
          <w:rFonts w:ascii="Courier New" w:cs="Courier New" w:eastAsia="Courier New" w:hAnsi="Courier New"/>
          <w:sz w:val="18"/>
          <w:szCs w:val="18"/>
          <w:color w:val="auto"/>
        </w:rPr>
        <w:t>outstanding . . . . . . . . . . . . . .</w:t>
      </w:r>
    </w:p>
    <w:p>
      <w:pPr>
        <w:spacing w:after="0" w:line="5"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Assumed repurchase of common shares . . .</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740" w:space="220"/>
            <w:col w:w="1060" w:space="520"/>
            <w:col w:w="3679"/>
          </w:cols>
          <w:pgMar w:left="240" w:top="142"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Adjusted weighted average of common</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shares outstanding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firstLine="105"/>
        <w:spacing w:after="0" w:line="290" w:lineRule="auto"/>
        <w:rPr>
          <w:sz w:val="20"/>
          <w:szCs w:val="20"/>
          <w:color w:val="auto"/>
        </w:rPr>
      </w:pPr>
      <w:r>
        <w:rPr>
          <w:rFonts w:ascii="Courier New" w:cs="Courier New" w:eastAsia="Courier New" w:hAnsi="Courier New"/>
          <w:sz w:val="16"/>
          <w:szCs w:val="16"/>
          <w:color w:val="auto"/>
        </w:rPr>
        <w:t>7,574,179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7,338,375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4740" w:space="220"/>
            <w:col w:w="1060" w:space="520"/>
            <w:col w:w="3679"/>
          </w:cols>
          <w:pgMar w:left="240" w:top="142" w:right="1440" w:bottom="1440" w:gutter="0" w:footer="0" w:header="0"/>
          <w:type w:val="continuous"/>
        </w:sectPr>
      </w:pPr>
    </w:p>
    <w:p>
      <w:pPr>
        <w:spacing w:after="0" w:line="6" w:lineRule="exact"/>
        <w:rPr>
          <w:sz w:val="20"/>
          <w:szCs w:val="20"/>
          <w:color w:val="auto"/>
        </w:rPr>
      </w:pPr>
    </w:p>
    <w:p>
      <w:pPr>
        <w:jc w:val="center"/>
        <w:ind w:left="220"/>
        <w:spacing w:after="0"/>
        <w:rPr>
          <w:sz w:val="20"/>
          <w:szCs w:val="20"/>
          <w:color w:val="auto"/>
        </w:rPr>
      </w:pPr>
      <w:r>
        <w:rPr>
          <w:rFonts w:ascii="Courier New" w:cs="Courier New" w:eastAsia="Courier New" w:hAnsi="Courier New"/>
          <w:sz w:val="16"/>
          <w:szCs w:val="16"/>
          <w:color w:val="auto"/>
        </w:rPr>
        <w:t>Primary Earnings (Loss) Per Share . . . .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$0.02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740" w:space="220"/>
            <w:col w:w="1060" w:space="520"/>
            <w:col w:w="3679"/>
          </w:cols>
          <w:pgMar w:left="240" w:top="14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Fully Diluted:</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Earnings (loss):</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Net income (loss)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151,625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(379,708)</w:t>
      </w:r>
    </w:p>
    <w:p>
      <w:pPr>
        <w:spacing w:after="0" w:line="21" w:lineRule="exact"/>
        <w:rPr>
          <w:sz w:val="20"/>
          <w:szCs w:val="20"/>
          <w:color w:val="auto"/>
        </w:rPr>
      </w:pPr>
    </w:p>
    <w:p>
      <w:pPr>
        <w:sectPr>
          <w:pgSz w:w="11900" w:h="16838" w:orient="portrait"/>
          <w:cols w:equalWidth="0" w:num="4">
            <w:col w:w="4860" w:space="420"/>
            <w:col w:w="740" w:space="200"/>
            <w:col w:w="100" w:space="420"/>
            <w:col w:w="34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interest expense reduction 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retirement of acquirable long-term</w:t>
      </w:r>
    </w:p>
    <w:p>
      <w:pPr>
        <w:sectPr>
          <w:pgSz w:w="11900" w:h="16838" w:orient="portrait"/>
          <w:cols w:equalWidth="0" w:num="1">
            <w:col w:w="10219"/>
          </w:cols>
          <w:pgMar w:left="240" w:top="142" w:right="1440" w:bottom="1440" w:gutter="0" w:footer="0" w:header="0"/>
          <w:type w:val="continuous"/>
        </w:sectPr>
      </w:pPr>
    </w:p>
    <w:p>
      <w:pPr>
        <w:spacing w:after="0" w:line="4"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liabilities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37,052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860" w:space="520"/>
            <w:col w:w="860" w:space="720"/>
            <w:col w:w="325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interest income increase on</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jc w:val="right"/>
        <w:ind w:left="540"/>
        <w:spacing w:after="0" w:line="536" w:lineRule="auto"/>
        <w:rPr>
          <w:sz w:val="20"/>
          <w:szCs w:val="20"/>
          <w:color w:val="auto"/>
        </w:rPr>
      </w:pPr>
      <w:r>
        <w:rPr>
          <w:rFonts w:ascii="Courier New" w:cs="Courier New" w:eastAsia="Courier New" w:hAnsi="Courier New"/>
          <w:sz w:val="16"/>
          <w:szCs w:val="16"/>
          <w:color w:val="auto"/>
        </w:rPr>
        <w:t>purchase of investments . . . . . . . . . Adjusted net income (loss)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10,012 ---------- 198,689 ==========</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(379,708)</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4860" w:space="100"/>
            <w:col w:w="1060" w:space="200"/>
            <w:col w:w="3999"/>
          </w:cols>
          <w:pgMar w:left="240" w:top="142" w:right="1440" w:bottom="1440" w:gutter="0" w:footer="0" w:header="0"/>
          <w:type w:val="continuous"/>
        </w:sectPr>
      </w:pPr>
    </w:p>
    <w:p>
      <w:pPr>
        <w:ind w:left="220"/>
        <w:spacing w:after="0" w:line="234" w:lineRule="auto"/>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Weighted average number of common shares</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outstanding. . .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7,574,179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7,338,375</w:t>
      </w:r>
    </w:p>
    <w:p>
      <w:pPr>
        <w:spacing w:after="0" w:line="21" w:lineRule="exact"/>
        <w:rPr>
          <w:sz w:val="20"/>
          <w:szCs w:val="20"/>
          <w:color w:val="auto"/>
        </w:rPr>
      </w:pPr>
    </w:p>
    <w:p>
      <w:pPr>
        <w:sectPr>
          <w:pgSz w:w="11900" w:h="16838" w:orient="portrait"/>
          <w:cols w:equalWidth="0" w:num="3">
            <w:col w:w="4740" w:space="320"/>
            <w:col w:w="960" w:space="620"/>
            <w:col w:w="35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Assumed exercise of weighted average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options and warrants</w:t>
      </w:r>
    </w:p>
    <w:p>
      <w:pPr>
        <w:sectPr>
          <w:pgSz w:w="11900" w:h="16838" w:orient="portrait"/>
          <w:cols w:equalWidth="0" w:num="1">
            <w:col w:w="10219"/>
          </w:cols>
          <w:pgMar w:left="240" w:top="142" w:right="1440" w:bottom="1440" w:gutter="0" w:footer="0" w:header="0"/>
          <w:type w:val="continuous"/>
        </w:sectPr>
      </w:pPr>
    </w:p>
    <w:p>
      <w:pPr>
        <w:jc w:val="center"/>
        <w:ind w:left="420"/>
        <w:spacing w:after="0" w:line="238" w:lineRule="auto"/>
        <w:rPr>
          <w:sz w:val="20"/>
          <w:szCs w:val="20"/>
          <w:color w:val="auto"/>
        </w:rPr>
      </w:pPr>
      <w:r>
        <w:rPr>
          <w:rFonts w:ascii="Courier New" w:cs="Courier New" w:eastAsia="Courier New" w:hAnsi="Courier New"/>
          <w:sz w:val="18"/>
          <w:szCs w:val="18"/>
          <w:color w:val="auto"/>
        </w:rPr>
        <w:t>outstanding . . . . . . . . . . . . . .</w:t>
      </w:r>
    </w:p>
    <w:p>
      <w:pPr>
        <w:spacing w:after="0" w:line="5"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Assumed repurchase of common shares . . .</w:t>
      </w:r>
    </w:p>
    <w:p>
      <w:pPr>
        <w:spacing w:after="0" w:line="20" w:lineRule="exact"/>
        <w:rPr>
          <w:sz w:val="20"/>
          <w:szCs w:val="20"/>
          <w:color w:val="auto"/>
        </w:rPr>
      </w:pPr>
      <w:r>
        <w:rPr>
          <w:sz w:val="20"/>
          <w:szCs w:val="20"/>
          <w:color w:val="auto"/>
        </w:rPr>
        <w:br w:type="column"/>
      </w:r>
    </w:p>
    <w:p>
      <w:pPr>
        <w:ind w:firstLine="105"/>
        <w:spacing w:after="0" w:line="268" w:lineRule="auto"/>
        <w:rPr>
          <w:sz w:val="20"/>
          <w:szCs w:val="20"/>
          <w:color w:val="auto"/>
        </w:rPr>
      </w:pPr>
      <w:r>
        <w:rPr>
          <w:rFonts w:ascii="Courier New" w:cs="Courier New" w:eastAsia="Courier New" w:hAnsi="Courier New"/>
          <w:sz w:val="16"/>
          <w:szCs w:val="16"/>
          <w:color w:val="auto"/>
        </w:rPr>
        <w:t>3,963,742 (1,531,075) ----------</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740" w:space="220"/>
            <w:col w:w="1160" w:space="420"/>
            <w:col w:w="3679"/>
          </w:cols>
          <w:pgMar w:left="240" w:top="142"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Adjusted weighted average of common</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shares outstanding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10,006,846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7,338,375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4740" w:space="220"/>
            <w:col w:w="1060" w:space="520"/>
            <w:col w:w="3679"/>
          </w:cols>
          <w:pgMar w:left="240" w:top="142" w:right="1440" w:bottom="1440" w:gutter="0" w:footer="0" w:header="0"/>
          <w:type w:val="continuous"/>
        </w:sectPr>
      </w:pPr>
    </w:p>
    <w:p>
      <w:pPr>
        <w:spacing w:after="0" w:line="6" w:lineRule="exact"/>
        <w:rPr>
          <w:sz w:val="20"/>
          <w:szCs w:val="20"/>
          <w:color w:val="auto"/>
        </w:rPr>
      </w:pPr>
    </w:p>
    <w:p>
      <w:pPr>
        <w:jc w:val="center"/>
        <w:ind w:left="220"/>
        <w:spacing w:after="0"/>
        <w:rPr>
          <w:sz w:val="20"/>
          <w:szCs w:val="20"/>
          <w:color w:val="auto"/>
        </w:rPr>
      </w:pPr>
      <w:r>
        <w:rPr>
          <w:rFonts w:ascii="Courier New" w:cs="Courier New" w:eastAsia="Courier New" w:hAnsi="Courier New"/>
          <w:sz w:val="16"/>
          <w:szCs w:val="16"/>
          <w:color w:val="auto"/>
        </w:rPr>
        <w:t>Fully Diluted Earnings (Loss) Per Share .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$0.02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3">
            <w:col w:w="4740" w:space="220"/>
            <w:col w:w="1060" w:space="520"/>
            <w:col w:w="3679"/>
          </w:cols>
          <w:pgMar w:left="240" w:top="142" w:right="1440" w:bottom="1440" w:gutter="0" w:footer="0" w:header="0"/>
          <w:type w:val="continuous"/>
        </w:sectPr>
      </w:pPr>
    </w:p>
    <w:bookmarkStart w:id="9" w:name="page10"/>
    <w:bookmarkEnd w:id="9"/>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FINANCIAL STATEMENTS AND FOOTNOTES INCLUDED IN FORM 10-QSB FOR THE QUARTER ENDED SEPTEMBER 30, 1995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JUN-30-1996</w:t>
      </w:r>
    </w:p>
    <w:p>
      <w:pPr>
        <w:ind w:left="3240"/>
        <w:spacing w:after="0"/>
        <w:rPr>
          <w:sz w:val="20"/>
          <w:szCs w:val="20"/>
          <w:color w:val="auto"/>
        </w:rPr>
      </w:pPr>
      <w:r>
        <w:rPr>
          <w:rFonts w:ascii="Courier New" w:cs="Courier New" w:eastAsia="Courier New" w:hAnsi="Courier New"/>
          <w:sz w:val="18"/>
          <w:szCs w:val="18"/>
          <w:color w:val="auto"/>
        </w:rPr>
        <w:t>SEP-30-1995</w:t>
      </w:r>
    </w:p>
    <w:p>
      <w:pPr>
        <w:ind w:left="4280"/>
        <w:spacing w:after="0" w:line="237" w:lineRule="auto"/>
        <w:rPr>
          <w:sz w:val="20"/>
          <w:szCs w:val="20"/>
          <w:color w:val="auto"/>
        </w:rPr>
      </w:pPr>
      <w:r>
        <w:rPr>
          <w:rFonts w:ascii="Courier New" w:cs="Courier New" w:eastAsia="Courier New" w:hAnsi="Courier New"/>
          <w:sz w:val="18"/>
          <w:szCs w:val="18"/>
          <w:color w:val="auto"/>
        </w:rPr>
        <w:t>100,359</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1,580,121</w:t>
      </w:r>
    </w:p>
    <w:p>
      <w:pPr>
        <w:ind w:left="3660"/>
        <w:spacing w:after="0" w:line="237" w:lineRule="auto"/>
        <w:rPr>
          <w:sz w:val="20"/>
          <w:szCs w:val="20"/>
          <w:color w:val="auto"/>
        </w:rPr>
      </w:pPr>
      <w:r>
        <w:rPr>
          <w:rFonts w:ascii="Courier New" w:cs="Courier New" w:eastAsia="Courier New" w:hAnsi="Courier New"/>
          <w:sz w:val="18"/>
          <w:szCs w:val="18"/>
          <w:color w:val="auto"/>
        </w:rPr>
        <w:t>134,000</w:t>
      </w:r>
    </w:p>
    <w:p>
      <w:pPr>
        <w:ind w:left="3540"/>
        <w:spacing w:after="0"/>
        <w:rPr>
          <w:sz w:val="20"/>
          <w:szCs w:val="20"/>
          <w:color w:val="auto"/>
        </w:rPr>
      </w:pPr>
      <w:r>
        <w:rPr>
          <w:rFonts w:ascii="Courier New" w:cs="Courier New" w:eastAsia="Courier New" w:hAnsi="Courier New"/>
          <w:sz w:val="18"/>
          <w:szCs w:val="18"/>
          <w:color w:val="auto"/>
        </w:rPr>
        <w:t>3,743,475</w:t>
      </w:r>
    </w:p>
    <w:p>
      <w:pPr>
        <w:ind w:left="3020"/>
        <w:spacing w:after="0" w:line="237" w:lineRule="auto"/>
        <w:rPr>
          <w:sz w:val="20"/>
          <w:szCs w:val="20"/>
          <w:color w:val="auto"/>
        </w:rPr>
      </w:pPr>
      <w:r>
        <w:rPr>
          <w:rFonts w:ascii="Courier New" w:cs="Courier New" w:eastAsia="Courier New" w:hAnsi="Courier New"/>
          <w:sz w:val="18"/>
          <w:szCs w:val="18"/>
          <w:color w:val="auto"/>
        </w:rPr>
        <w:t>5,491,873</w:t>
      </w:r>
    </w:p>
    <w:p>
      <w:pPr>
        <w:ind w:left="4080"/>
        <w:spacing w:after="0"/>
        <w:rPr>
          <w:sz w:val="20"/>
          <w:szCs w:val="20"/>
          <w:color w:val="auto"/>
        </w:rPr>
      </w:pPr>
      <w:r>
        <w:rPr>
          <w:rFonts w:ascii="Courier New" w:cs="Courier New" w:eastAsia="Courier New" w:hAnsi="Courier New"/>
          <w:sz w:val="18"/>
          <w:szCs w:val="18"/>
          <w:color w:val="auto"/>
        </w:rPr>
        <w:t>3,689,153</w:t>
      </w:r>
    </w:p>
    <w:p>
      <w:pPr>
        <w:ind w:left="3240"/>
        <w:spacing w:after="0" w:line="237" w:lineRule="auto"/>
        <w:rPr>
          <w:sz w:val="20"/>
          <w:szCs w:val="20"/>
          <w:color w:val="auto"/>
        </w:rPr>
      </w:pPr>
      <w:r>
        <w:rPr>
          <w:rFonts w:ascii="Courier New" w:cs="Courier New" w:eastAsia="Courier New" w:hAnsi="Courier New"/>
          <w:sz w:val="18"/>
          <w:szCs w:val="18"/>
          <w:color w:val="auto"/>
        </w:rPr>
        <w:t>1,956,418</w:t>
      </w:r>
    </w:p>
    <w:p>
      <w:pPr>
        <w:ind w:left="3240"/>
        <w:spacing w:after="0" w:line="238" w:lineRule="auto"/>
        <w:rPr>
          <w:sz w:val="20"/>
          <w:szCs w:val="20"/>
          <w:color w:val="auto"/>
        </w:rPr>
      </w:pPr>
      <w:r>
        <w:rPr>
          <w:rFonts w:ascii="Courier New" w:cs="Courier New" w:eastAsia="Courier New" w:hAnsi="Courier New"/>
          <w:sz w:val="18"/>
          <w:szCs w:val="18"/>
          <w:color w:val="auto"/>
        </w:rPr>
        <w:t>7,358,542</w:t>
      </w:r>
    </w:p>
    <w:p>
      <w:pPr>
        <w:ind w:left="2500"/>
        <w:spacing w:after="0"/>
        <w:rPr>
          <w:sz w:val="20"/>
          <w:szCs w:val="20"/>
          <w:color w:val="auto"/>
        </w:rPr>
      </w:pPr>
      <w:r>
        <w:rPr>
          <w:rFonts w:ascii="Courier New" w:cs="Courier New" w:eastAsia="Courier New" w:hAnsi="Courier New"/>
          <w:sz w:val="18"/>
          <w:szCs w:val="18"/>
          <w:color w:val="auto"/>
        </w:rPr>
        <w:t>2,566,766</w:t>
      </w:r>
    </w:p>
    <w:p>
      <w:pPr>
        <w:jc w:val="center"/>
        <w:ind w:right="1059"/>
        <w:spacing w:after="0" w:line="237" w:lineRule="auto"/>
        <w:rPr>
          <w:sz w:val="20"/>
          <w:szCs w:val="20"/>
          <w:color w:val="auto"/>
        </w:rPr>
      </w:pPr>
      <w:r>
        <w:rPr>
          <w:rFonts w:ascii="Courier New" w:cs="Courier New" w:eastAsia="Courier New" w:hAnsi="Courier New"/>
          <w:sz w:val="18"/>
          <w:szCs w:val="18"/>
          <w:color w:val="auto"/>
        </w:rPr>
        <w:t>789,190</w:t>
      </w:r>
    </w:p>
    <w:p>
      <w:pPr>
        <w:jc w:val="center"/>
        <w:ind w:right="1059"/>
        <w:spacing w:after="0"/>
        <w:rPr>
          <w:sz w:val="20"/>
          <w:szCs w:val="20"/>
          <w:color w:val="auto"/>
        </w:rPr>
      </w:pPr>
      <w:r>
        <w:rPr>
          <w:rFonts w:ascii="Courier New" w:cs="Courier New" w:eastAsia="Courier New" w:hAnsi="Courier New"/>
          <w:sz w:val="18"/>
          <w:szCs w:val="18"/>
          <w:color w:val="auto"/>
        </w:rPr>
        <w:t>7,655</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3,994,931</w:t>
      </w:r>
    </w:p>
    <w:p>
      <w:pPr>
        <w:ind w:left="1760"/>
        <w:spacing w:after="0" w:line="238" w:lineRule="auto"/>
        <w:rPr>
          <w:sz w:val="20"/>
          <w:szCs w:val="20"/>
          <w:color w:val="auto"/>
        </w:rPr>
      </w:pPr>
      <w:r>
        <w:rPr>
          <w:rFonts w:ascii="Courier New" w:cs="Courier New" w:eastAsia="Courier New" w:hAnsi="Courier New"/>
          <w:sz w:val="18"/>
          <w:szCs w:val="18"/>
          <w:color w:val="auto"/>
        </w:rPr>
        <w:t>7,358,542</w:t>
      </w:r>
    </w:p>
    <w:p>
      <w:pPr>
        <w:ind w:left="3980"/>
        <w:spacing w:after="0"/>
        <w:rPr>
          <w:sz w:val="20"/>
          <w:szCs w:val="20"/>
          <w:color w:val="auto"/>
        </w:rPr>
      </w:pPr>
      <w:r>
        <w:rPr>
          <w:rFonts w:ascii="Courier New" w:cs="Courier New" w:eastAsia="Courier New" w:hAnsi="Courier New"/>
          <w:sz w:val="18"/>
          <w:szCs w:val="18"/>
          <w:color w:val="auto"/>
        </w:rPr>
        <w:t>2,787,149</w:t>
      </w:r>
    </w:p>
    <w:p>
      <w:pPr>
        <w:ind w:left="3020"/>
        <w:spacing w:after="0" w:line="237" w:lineRule="auto"/>
        <w:rPr>
          <w:sz w:val="20"/>
          <w:szCs w:val="20"/>
          <w:color w:val="auto"/>
        </w:rPr>
      </w:pPr>
      <w:r>
        <w:rPr>
          <w:rFonts w:ascii="Courier New" w:cs="Courier New" w:eastAsia="Courier New" w:hAnsi="Courier New"/>
          <w:sz w:val="18"/>
          <w:szCs w:val="18"/>
          <w:color w:val="auto"/>
        </w:rPr>
        <w:t>2,787,149</w:t>
      </w:r>
    </w:p>
    <w:p>
      <w:pPr>
        <w:ind w:left="4180"/>
        <w:spacing w:after="0"/>
        <w:rPr>
          <w:sz w:val="20"/>
          <w:szCs w:val="20"/>
          <w:color w:val="auto"/>
        </w:rPr>
      </w:pPr>
      <w:r>
        <w:rPr>
          <w:rFonts w:ascii="Courier New" w:cs="Courier New" w:eastAsia="Courier New" w:hAnsi="Courier New"/>
          <w:sz w:val="18"/>
          <w:szCs w:val="18"/>
          <w:color w:val="auto"/>
        </w:rPr>
        <w:t>1,440,326</w:t>
      </w:r>
    </w:p>
    <w:p>
      <w:pPr>
        <w:ind w:left="3340"/>
        <w:spacing w:after="0" w:line="237" w:lineRule="auto"/>
        <w:rPr>
          <w:sz w:val="20"/>
          <w:szCs w:val="20"/>
          <w:color w:val="auto"/>
        </w:rPr>
      </w:pPr>
      <w:r>
        <w:rPr>
          <w:rFonts w:ascii="Courier New" w:cs="Courier New" w:eastAsia="Courier New" w:hAnsi="Courier New"/>
          <w:sz w:val="18"/>
          <w:szCs w:val="18"/>
          <w:color w:val="auto"/>
        </w:rPr>
        <w:t>1,440,326</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50,147</w:t>
      </w:r>
    </w:p>
    <w:p>
      <w:pPr>
        <w:ind w:left="3340"/>
        <w:spacing w:after="0" w:line="237" w:lineRule="auto"/>
        <w:rPr>
          <w:sz w:val="20"/>
          <w:szCs w:val="20"/>
          <w:color w:val="auto"/>
        </w:rPr>
      </w:pPr>
      <w:r>
        <w:rPr>
          <w:rFonts w:ascii="Courier New" w:cs="Courier New" w:eastAsia="Courier New" w:hAnsi="Courier New"/>
          <w:sz w:val="18"/>
          <w:szCs w:val="18"/>
          <w:color w:val="auto"/>
        </w:rPr>
        <w:t>178,382</w:t>
      </w:r>
    </w:p>
    <w:p>
      <w:pPr>
        <w:ind w:left="3760"/>
        <w:spacing w:after="0" w:line="238" w:lineRule="auto"/>
        <w:rPr>
          <w:sz w:val="20"/>
          <w:szCs w:val="20"/>
          <w:color w:val="auto"/>
        </w:rPr>
      </w:pPr>
      <w:r>
        <w:rPr>
          <w:rFonts w:ascii="Courier New" w:cs="Courier New" w:eastAsia="Courier New" w:hAnsi="Courier New"/>
          <w:sz w:val="18"/>
          <w:szCs w:val="18"/>
          <w:color w:val="auto"/>
        </w:rPr>
        <w:t>26,757</w:t>
      </w:r>
    </w:p>
    <w:p>
      <w:pPr>
        <w:ind w:left="2920"/>
        <w:spacing w:after="0"/>
        <w:rPr>
          <w:sz w:val="20"/>
          <w:szCs w:val="20"/>
          <w:color w:val="auto"/>
        </w:rPr>
      </w:pPr>
      <w:r>
        <w:rPr>
          <w:rFonts w:ascii="Courier New" w:cs="Courier New" w:eastAsia="Courier New" w:hAnsi="Courier New"/>
          <w:sz w:val="18"/>
          <w:szCs w:val="18"/>
          <w:color w:val="auto"/>
        </w:rPr>
        <w:t>151,625</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151,625</w:t>
      </w:r>
    </w:p>
    <w:p>
      <w:pPr>
        <w:ind w:left="3860"/>
        <w:spacing w:after="0" w:line="237" w:lineRule="auto"/>
        <w:rPr>
          <w:sz w:val="20"/>
          <w:szCs w:val="20"/>
          <w:color w:val="auto"/>
        </w:rPr>
      </w:pPr>
      <w:r>
        <w:rPr>
          <w:rFonts w:ascii="Courier New" w:cs="Courier New" w:eastAsia="Courier New" w:hAnsi="Courier New"/>
          <w:sz w:val="18"/>
          <w:szCs w:val="18"/>
          <w:color w:val="auto"/>
        </w:rPr>
        <w:t>0.02</w:t>
      </w:r>
    </w:p>
    <w:p>
      <w:pPr>
        <w:ind w:left="3860"/>
        <w:spacing w:after="0" w:line="238" w:lineRule="auto"/>
        <w:rPr>
          <w:sz w:val="20"/>
          <w:szCs w:val="20"/>
          <w:color w:val="auto"/>
        </w:rPr>
      </w:pPr>
      <w:r>
        <w:rPr>
          <w:rFonts w:ascii="Courier New" w:cs="Courier New" w:eastAsia="Courier New" w:hAnsi="Courier New"/>
          <w:sz w:val="18"/>
          <w:szCs w:val="18"/>
          <w:color w:val="auto"/>
        </w:rPr>
        <w:t>0.02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decimal"/>
      <w:start w:val="1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2019-12-12T08:14:17Z</dcterms:created>
  <dcterms:modified xsi:type="dcterms:W3CDTF">2019-12-12T08:14:17Z</dcterms:modified>
</cp:coreProperties>
</file>