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June 30, 2015</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560" w:type="dxa"/>
            <w:vAlign w:val="bottom"/>
          </w:tcPr>
          <w:p>
            <w:pPr>
              <w:jc w:val="center"/>
              <w:ind w:left="779"/>
              <w:spacing w:after="0"/>
              <w:rPr>
                <w:sz w:val="20"/>
                <w:szCs w:val="20"/>
                <w:color w:val="auto"/>
              </w:rPr>
            </w:pPr>
            <w:r>
              <w:rPr>
                <w:rFonts w:ascii="Arial" w:cs="Arial" w:eastAsia="Arial" w:hAnsi="Arial"/>
                <w:sz w:val="16"/>
                <w:szCs w:val="16"/>
                <w:b w:val="1"/>
                <w:bCs w:val="1"/>
                <w:color w:val="auto"/>
                <w:w w:val="95"/>
              </w:rPr>
              <w:t>Utah</w:t>
            </w:r>
          </w:p>
        </w:tc>
        <w:tc>
          <w:tcPr>
            <w:tcW w:w="584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560" w:type="dxa"/>
            <w:vAlign w:val="bottom"/>
          </w:tcPr>
          <w:p>
            <w:pPr>
              <w:jc w:val="center"/>
              <w:ind w:left="77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84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jc w:val="center"/>
              <w:ind w:left="759"/>
              <w:spacing w:after="0"/>
              <w:rPr>
                <w:sz w:val="20"/>
                <w:szCs w:val="20"/>
                <w:color w:val="auto"/>
              </w:rPr>
            </w:pPr>
            <w:r>
              <w:rPr>
                <w:rFonts w:ascii="Arial" w:cs="Arial" w:eastAsia="Arial" w:hAnsi="Arial"/>
                <w:sz w:val="16"/>
                <w:szCs w:val="16"/>
                <w:color w:val="auto"/>
                <w:w w:val="93"/>
              </w:rPr>
              <w:t>(Address of principal executive offices)</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56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2"/>
              </w:rPr>
              <w:t>+1 (801)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 No [x]</w:t>
      </w:r>
    </w:p>
    <w:p>
      <w:pPr>
        <w:spacing w:after="0" w:line="217"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August 3, 2015 was 9,138,176.</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 ENDED JUNE 30, 2015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2015 Unaudited and December 31, 2014</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and six months ended June 30, 2015 and 2014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40" w:type="dxa"/>
            <w:vAlign w:val="bottom"/>
            <w:tcBorders>
              <w:top w:val="single" w:sz="8" w:color="0000EE"/>
            </w:tcBorders>
            <w:gridSpan w:val="1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Cash Flows for the six months ended June 30, 2015 and 2014 Unaudited</w:t>
              </w:r>
            </w:hyperlink>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8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2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tcBorders>
              <w:left w:val="single" w:sz="8" w:color="0000EE"/>
            </w:tcBorders>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48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936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50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96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2015</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2014</w:t>
            </w:r>
          </w:p>
        </w:tc>
        <w:tc>
          <w:tcPr>
            <w:tcW w:w="0" w:type="dxa"/>
            <w:vAlign w:val="bottom"/>
          </w:tcPr>
          <w:p>
            <w:pPr>
              <w:spacing w:after="0"/>
              <w:rPr>
                <w:sz w:val="1"/>
                <w:szCs w:val="1"/>
                <w:color w:val="auto"/>
              </w:rPr>
            </w:pPr>
          </w:p>
        </w:tc>
      </w:tr>
      <w:tr>
        <w:trPr>
          <w:trHeight w:val="270"/>
        </w:trPr>
        <w:tc>
          <w:tcPr>
            <w:tcW w:w="7200" w:type="dxa"/>
            <w:vAlign w:val="bottom"/>
          </w:tcPr>
          <w:p>
            <w:pPr>
              <w:ind w:left="330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3"/>
                <w:szCs w:val="23"/>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10,873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Receivables, net of allowance for doubtful accounts of $52 and $58, respectively</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Distributor channel inventories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18,756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19,162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90,783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9,128,053 and 9,097,827 shares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340" w:type="dxa"/>
            <w:vAlign w:val="bottom"/>
          </w:tcPr>
          <w:p>
            <w:pPr>
              <w:spacing w:after="0"/>
              <w:rPr>
                <w:sz w:val="20"/>
                <w:szCs w:val="20"/>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76,016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90,783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2014</w:t>
            </w:r>
          </w:p>
        </w:tc>
      </w:tr>
      <w:tr>
        <w:trPr>
          <w:trHeight w:val="33"/>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26,819</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6,047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11,053</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8,064</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15,766</w:t>
            </w:r>
          </w:p>
        </w:tc>
      </w:tr>
      <w:tr>
        <w:trPr>
          <w:trHeight w:val="291"/>
        </w:trPr>
        <w:tc>
          <w:tcPr>
            <w:tcW w:w="5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5,713</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3,680</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7,018</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13,964</w:t>
            </w:r>
          </w:p>
        </w:tc>
      </w:tr>
      <w:tr>
        <w:trPr>
          <w:trHeight w:val="291"/>
        </w:trPr>
        <w:tc>
          <w:tcPr>
            <w:tcW w:w="5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9,119,907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9,266,071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9,110,062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9,174,816</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9,603,682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9,677,726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9,560,914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9,618,172</w:t>
            </w:r>
          </w:p>
        </w:tc>
      </w:tr>
      <w:tr>
        <w:trPr>
          <w:trHeight w:val="324"/>
        </w:trPr>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1,369</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5420" w:type="dxa"/>
            <w:vAlign w:val="bottom"/>
          </w:tcPr>
          <w:p>
            <w:pPr>
              <w:ind w:left="300"/>
              <w:spacing w:after="0"/>
              <w:rPr>
                <w:sz w:val="20"/>
                <w:szCs w:val="20"/>
                <w:color w:val="auto"/>
              </w:rPr>
            </w:pPr>
            <w:r>
              <w:rPr>
                <w:rFonts w:ascii="Arial" w:cs="Arial" w:eastAsia="Arial" w:hAnsi="Arial"/>
                <w:sz w:val="18"/>
                <w:szCs w:val="18"/>
                <w:color w:val="auto"/>
              </w:rPr>
              <w:t>Change in unrealized gains (losses) on available-for-sale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20" w:type="dxa"/>
            <w:vAlign w:val="bottom"/>
          </w:tcPr>
          <w:p>
            <w:pPr>
              <w:ind w:left="300"/>
              <w:spacing w:after="0"/>
              <w:rPr>
                <w:sz w:val="20"/>
                <w:szCs w:val="20"/>
                <w:color w:val="auto"/>
              </w:rPr>
            </w:pPr>
            <w:r>
              <w:rPr>
                <w:rFonts w:ascii="Arial" w:cs="Arial" w:eastAsia="Arial" w:hAnsi="Arial"/>
                <w:sz w:val="18"/>
                <w:szCs w:val="18"/>
                <w:color w:val="auto"/>
              </w:rPr>
              <w:t>securities, net of tax</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1,507</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Six months ended June 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jc w:val="right"/>
              <w:ind w:right="830"/>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9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21"/>
                <w:szCs w:val="21"/>
                <w:color w:val="auto"/>
              </w:rPr>
            </w:pP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Write-down of inventory to net realizable value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(13,078)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patents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maturities and sales of marketable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benefits from stock options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Stock registration costs</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Treasury stock purchased</w:t>
            </w:r>
          </w:p>
        </w:tc>
        <w:tc>
          <w:tcPr>
            <w:tcW w:w="1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57"/>
        </w:trPr>
        <w:tc>
          <w:tcPr>
            <w:tcW w:w="702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260" w:type="dxa"/>
            <w:vAlign w:val="bottom"/>
            <w:tcBorders>
              <w:top w:val="single" w:sz="8" w:color="auto"/>
              <w:bottom w:val="single" w:sz="8" w:color="auto"/>
            </w:tcBorders>
          </w:tcPr>
          <w:p>
            <w:pPr>
              <w:jc w:val="right"/>
              <w:ind w:right="933"/>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40" w:type="dxa"/>
            <w:vAlign w:val="bottom"/>
            <w:gridSpan w:val="3"/>
          </w:tcPr>
          <w:p>
            <w:pPr>
              <w:jc w:val="right"/>
              <w:ind w:right="414"/>
              <w:spacing w:after="0"/>
              <w:rPr>
                <w:sz w:val="20"/>
                <w:szCs w:val="20"/>
                <w:color w:val="auto"/>
              </w:rPr>
            </w:pPr>
            <w:r>
              <w:rPr>
                <w:rFonts w:ascii="Arial" w:cs="Arial" w:eastAsia="Arial" w:hAnsi="Arial"/>
                <w:sz w:val="16"/>
                <w:szCs w:val="16"/>
                <w:b w:val="1"/>
                <w:bCs w:val="1"/>
                <w:color w:val="auto"/>
                <w:w w:val="88"/>
              </w:rPr>
              <w:t>Six months ended June 30,</w:t>
            </w:r>
          </w:p>
        </w:tc>
        <w:tc>
          <w:tcPr>
            <w:tcW w:w="6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1"/>
                <w:szCs w:val="21"/>
                <w:color w:val="auto"/>
              </w:rPr>
            </w:pPr>
          </w:p>
        </w:tc>
        <w:tc>
          <w:tcPr>
            <w:tcW w:w="1380" w:type="dxa"/>
            <w:vAlign w:val="bottom"/>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1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7"/>
        </w:trPr>
        <w:tc>
          <w:tcPr>
            <w:tcW w:w="7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4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These accompanying interim condensed consolidated financial statements for the three and six months ended June 30, 2015 and 2014,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June 30, 2015 and December 31, 2014, the results of operations for the three and six months ended June 30, 2015 and 2014, and the statements of cash flows for the six months ended June 30, 2015 and 2014. The results of operations for the three and six months ended June 30, 2015 and 2014 are not necessarily indicative of the results for a full-year period. These interim condensed consolidated financial statements should be read in conjunction with the financial statements included in our Annual Report on Form 10-K for the year ended December 31, 2014 filed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2014. There have been no changes to these policies during the six months ended June 30, 2015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3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9,119,907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9,266,071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9,110,062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9,174,816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483,775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411,655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450,852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443,356</w:t>
            </w:r>
          </w:p>
        </w:tc>
      </w:tr>
      <w:tr>
        <w:trPr>
          <w:trHeight w:val="297"/>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9,603,682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9,677,726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9,560,914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9,618,172</w:t>
            </w:r>
          </w:p>
        </w:tc>
      </w:tr>
      <w:tr>
        <w:trPr>
          <w:trHeight w:val="311"/>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r>
      <w:tr>
        <w:trPr>
          <w:trHeight w:val="32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1,037,978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971,963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145,459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171,459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130,730</w:t>
            </w:r>
          </w:p>
        </w:tc>
      </w:tr>
    </w:tbl>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30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March 7, 2014, the Company completed the acquisition of Sabine, Inc. ("Sabine") through a stock purchase agreement ("SPA"). Through the acquisition, the Company now manufactures, designs and sells professional wireless microphone systems for live and installed audio under the Sacom and ClearOne brand. It also makes an FBX Feedback Exterminator for reliable automatic feedback control. With the addition of Sabine, the Company now has reliable and exclusive access to the supply of wireless microphones that are a critical component of its complete microphone portfolio.</w:t>
      </w:r>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goodwill of $5,510 related to the acquisition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Sabine business from March 8, 2014 to June 30, 2014 were $84 and $163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14,111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0.12</w:t>
            </w:r>
          </w:p>
        </w:tc>
      </w:tr>
    </w:tbl>
    <w:p>
      <w:pPr>
        <w:spacing w:after="0" w:line="229" w:lineRule="exact"/>
        <w:rPr>
          <w:sz w:val="20"/>
          <w:szCs w:val="20"/>
          <w:color w:val="auto"/>
        </w:rPr>
      </w:pPr>
    </w:p>
    <w:p>
      <w:pPr>
        <w:ind w:right="460" w:firstLine="656"/>
        <w:spacing w:after="0" w:line="277" w:lineRule="auto"/>
        <w:tabs>
          <w:tab w:leader="none" w:pos="8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b w:val="1"/>
                <w:bCs w:val="1"/>
                <w:color w:val="auto"/>
              </w:rPr>
              <w:t>CLEARONE, INC.</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34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(Unaudited – Dollars in thousands)</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891"/>
        </w:trPr>
        <w:tc>
          <w:tcPr>
            <w:tcW w:w="936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Revenue and earnings of the combined entity as though the business combination occurred as of January 1, 2014 is not available. The Spontania business was part of a business unit of Dialcom Networks, S.L., and thus separate stand-alone financial information for Spontania is not 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six months ended June 30, 2015 and the six months ended June 30, 2014, the company incurred $133 and $437 in total acquisition related expenses for the Sabine and Spontania acquisitions, all of which are categorized under general and administrative expenses in the respective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Restatement</w:t>
      </w:r>
      <w:r>
        <w:rPr>
          <w:rFonts w:ascii="Arial" w:cs="Arial" w:eastAsia="Arial" w:hAnsi="Arial"/>
          <w:sz w:val="18"/>
          <w:szCs w:val="18"/>
          <w:i w:val="1"/>
          <w:iCs w:val="1"/>
          <w:color w:val="auto"/>
        </w:rPr>
        <w:t>:</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Following the completion of the valuation process for the acquisition of Sabine we reported intangible amortization to reflect the final adjusted values on Form 10-K for the year ended December 31, 2014. For the quarter and six months ended June 30, 2015 we reported amortization based on the final valuation of intangible items. For the comparative quarter and six months ended June 30, 2014 we have restated net income to reflect the inclusion of the revised amortization applicable to those periods. Net income changed from $934 and $1,424 originally reported for the three and six months ended June 30, 2014 to $882 and $1,369. The reported retained earnings balance of $29,247 at June 30, 2014 under the restatement would be $29,158. The restatement resulted in changes in basic and diluted earnings per share for the three months ended June 30, 2014 from $0.10 and $0.10 to $0.10 and $0.09, respectively. The restatement did not result in a reportable change to earnings per share for the six months ended June 30, 2014.</w:t>
      </w:r>
    </w:p>
    <w:p>
      <w:pPr>
        <w:spacing w:after="0" w:line="1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June 30, 2015 and December 31,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18,968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jc w:val="right"/>
              <w:ind w:right="636"/>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7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2015</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Due within one year</w:t>
            </w:r>
          </w:p>
        </w:tc>
        <w:tc>
          <w:tcPr>
            <w:tcW w:w="1400" w:type="dxa"/>
            <w:vAlign w:val="bottom"/>
          </w:tcPr>
          <w:p>
            <w:pPr>
              <w:jc w:val="right"/>
              <w:ind w:right="11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6,384</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after one year through five years</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18,399</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Due after five years through ten years</w:t>
            </w:r>
          </w:p>
        </w:tc>
        <w:tc>
          <w:tcPr>
            <w:tcW w:w="14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358</w:t>
            </w:r>
          </w:p>
        </w:tc>
      </w:tr>
      <w:tr>
        <w:trPr>
          <w:trHeight w:val="27"/>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25,118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25,141</w:t>
            </w: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Debt securities in an unrealized loss position as of June 30, 2015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June 30, 2015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7,841</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8,186</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8,814</w:t>
            </w:r>
          </w:p>
        </w:tc>
        <w:tc>
          <w:tcPr>
            <w:tcW w:w="4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62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2015 and December 31, 2014 consisted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Estimated useful lives</w:t>
            </w:r>
          </w:p>
        </w:tc>
        <w:tc>
          <w:tcPr>
            <w:tcW w:w="36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2015</w:t>
            </w:r>
          </w:p>
        </w:tc>
        <w:tc>
          <w:tcPr>
            <w:tcW w:w="280" w:type="dxa"/>
            <w:vAlign w:val="bottom"/>
          </w:tcPr>
          <w:p>
            <w:pPr>
              <w:spacing w:after="0"/>
              <w:rPr>
                <w:sz w:val="18"/>
                <w:szCs w:val="18"/>
                <w:color w:val="auto"/>
              </w:rPr>
            </w:pPr>
          </w:p>
        </w:tc>
        <w:tc>
          <w:tcPr>
            <w:tcW w:w="1640" w:type="dxa"/>
            <w:vAlign w:val="bottom"/>
          </w:tcPr>
          <w:p>
            <w:pPr>
              <w:jc w:val="right"/>
              <w:ind w:right="211"/>
              <w:spacing w:after="0"/>
              <w:rPr>
                <w:sz w:val="20"/>
                <w:szCs w:val="20"/>
                <w:color w:val="auto"/>
              </w:rPr>
            </w:pPr>
            <w:r>
              <w:rPr>
                <w:rFonts w:ascii="Arial" w:cs="Arial" w:eastAsia="Arial" w:hAnsi="Arial"/>
                <w:sz w:val="16"/>
                <w:szCs w:val="16"/>
                <w:b w:val="1"/>
                <w:bCs w:val="1"/>
                <w:color w:val="auto"/>
                <w:w w:val="91"/>
              </w:rPr>
              <w:t>December 31, 2014</w:t>
            </w:r>
          </w:p>
        </w:tc>
      </w:tr>
      <w:tr>
        <w:trPr>
          <w:trHeight w:val="33"/>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5 to 7 years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 years</w:t>
            </w: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5,850</w:t>
            </w:r>
          </w:p>
        </w:tc>
      </w:tr>
      <w:tr>
        <w:trPr>
          <w:trHeight w:val="27"/>
        </w:trPr>
        <w:tc>
          <w:tcPr>
            <w:tcW w:w="5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 to 15 years</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5 years</w:t>
            </w: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7"/>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six months ended June 30, 2015 and June 30, 2014 was as follows:</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52070</wp:posOffset>
            </wp:positionV>
            <wp:extent cx="1903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p>
      <w:pPr>
        <w:ind w:left="5760"/>
        <w:spacing w:after="0"/>
        <w:tabs>
          <w:tab w:leader="none" w:pos="730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52070</wp:posOffset>
            </wp:positionV>
            <wp:extent cx="1903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1" w:lineRule="exact"/>
        <w:rPr>
          <w:sz w:val="20"/>
          <w:szCs w:val="20"/>
          <w:color w:val="auto"/>
        </w:rPr>
      </w:pPr>
    </w:p>
    <w:p>
      <w:pPr>
        <w:sectPr>
          <w:pgSz w:w="11900" w:h="16838" w:orient="portrait"/>
          <w:cols w:equalWidth="0" w:num="2">
            <w:col w:w="8260" w:space="720"/>
            <w:col w:w="24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2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629</w:t>
            </w:r>
          </w:p>
        </w:tc>
        <w:tc>
          <w:tcPr>
            <w:tcW w:w="58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432"/>
        </w:trPr>
        <w:tc>
          <w:tcPr>
            <w:tcW w:w="5880" w:type="dxa"/>
            <w:vAlign w:val="bottom"/>
            <w:gridSpan w:val="4"/>
          </w:tcPr>
          <w:p>
            <w:pPr>
              <w:spacing w:after="0"/>
              <w:rPr>
                <w:sz w:val="20"/>
                <w:szCs w:val="20"/>
                <w:color w:val="auto"/>
              </w:rPr>
            </w:pPr>
            <w:r>
              <w:rPr>
                <w:rFonts w:ascii="Arial" w:cs="Arial" w:eastAsia="Arial" w:hAnsi="Arial"/>
                <w:sz w:val="18"/>
                <w:szCs w:val="18"/>
                <w:color w:val="auto"/>
                <w:w w:val="96"/>
              </w:rPr>
              <w:t>The estimated future amortization expense of intangible assets is as follows: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8"/>
          </w:tcPr>
          <w:p>
            <w:pPr>
              <w:spacing w:after="0"/>
              <w:rPr>
                <w:sz w:val="20"/>
                <w:szCs w:val="20"/>
                <w:color w:val="auto"/>
              </w:rPr>
            </w:pPr>
            <w:r>
              <w:rPr>
                <w:rFonts w:ascii="Arial" w:cs="Arial" w:eastAsia="Arial" w:hAnsi="Arial"/>
                <w:sz w:val="18"/>
                <w:szCs w:val="18"/>
                <w:color w:val="auto"/>
                <w:w w:val="93"/>
              </w:rPr>
              <w:t>Inventories, net of reserves, as of June 30, 2015 and December 31, 2014 consisted of the following:</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6"/>
                <w:szCs w:val="16"/>
                <w:b w:val="1"/>
                <w:bCs w:val="1"/>
                <w:color w:val="auto"/>
                <w:w w:val="88"/>
              </w:rPr>
              <w:t>June 30, 2015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December 31, 2014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1"/>
                <w:szCs w:val="21"/>
                <w:color w:val="auto"/>
              </w:rPr>
            </w:pPr>
          </w:p>
        </w:tc>
        <w:tc>
          <w:tcPr>
            <w:tcW w:w="680" w:type="dxa"/>
            <w:vAlign w:val="bottom"/>
            <w:gridSpan w:val="2"/>
          </w:tcPr>
          <w:p>
            <w:pPr>
              <w:jc w:val="right"/>
              <w:ind w:right="33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12,732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15,969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308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6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80" w:type="dxa"/>
            <w:vAlign w:val="bottom"/>
            <w:gridSpan w:val="2"/>
          </w:tcPr>
          <w:p>
            <w:pPr>
              <w:jc w:val="right"/>
              <w:ind w:right="33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$1,629 and $1,698 as of June 30, 2015 and December 31, 2014,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six months ended June 30, 2015 and 2014, respectively.</w:t>
      </w:r>
    </w:p>
    <w:p>
      <w:pPr>
        <w:sectPr>
          <w:pgSz w:w="11900" w:h="16838" w:orient="portrait"/>
          <w:cols w:equalWidth="0" w:num="1">
            <w:col w:w="11420"/>
          </w:cols>
          <w:pgMar w:left="240" w:top="121" w:right="239" w:bottom="1440" w:gutter="0" w:footer="0" w:header="0"/>
        </w:sectPr>
      </w:pPr>
    </w:p>
    <w:p>
      <w:pPr>
        <w:spacing w:after="0" w:line="130"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52070</wp:posOffset>
            </wp:positionV>
            <wp:extent cx="1844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03" w:lineRule="exact"/>
        <w:rPr>
          <w:sz w:val="20"/>
          <w:szCs w:val="20"/>
          <w:color w:val="auto"/>
        </w:rPr>
      </w:pPr>
    </w:p>
    <w:p>
      <w:pPr>
        <w:ind w:left="5840"/>
        <w:spacing w:after="0"/>
        <w:tabs>
          <w:tab w:leader="none" w:pos="73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52070</wp:posOffset>
            </wp:positionV>
            <wp:extent cx="1920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5"/>
          <w:szCs w:val="15"/>
          <w:b w:val="1"/>
          <w:bCs w:val="1"/>
          <w:color w:val="auto"/>
        </w:rPr>
        <w:t>2015</w:t>
      </w:r>
      <w:r>
        <w:rPr>
          <w:sz w:val="20"/>
          <w:szCs w:val="20"/>
          <w:color w:val="auto"/>
        </w:rPr>
        <w:tab/>
      </w:r>
      <w:r>
        <w:rPr>
          <w:rFonts w:ascii="Arial" w:cs="Arial" w:eastAsia="Arial" w:hAnsi="Arial"/>
          <w:sz w:val="15"/>
          <w:szCs w:val="15"/>
          <w:b w:val="1"/>
          <w:bCs w:val="1"/>
          <w:color w:val="auto"/>
        </w:rPr>
        <w:t>2014</w:t>
      </w:r>
    </w:p>
    <w:p>
      <w:pPr>
        <w:spacing w:after="0" w:line="50" w:lineRule="exact"/>
        <w:rPr>
          <w:sz w:val="20"/>
          <w:szCs w:val="20"/>
          <w:color w:val="auto"/>
        </w:rPr>
      </w:pPr>
    </w:p>
    <w:p>
      <w:pPr>
        <w:sectPr>
          <w:pgSz w:w="11900" w:h="16838" w:orient="portrait"/>
          <w:cols w:equalWidth="0" w:num="2">
            <w:col w:w="8240" w:space="720"/>
            <w:col w:w="2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loss on valuation of inventory and write-off of obsolete inventory</w:t>
            </w:r>
          </w:p>
        </w:tc>
        <w:tc>
          <w:tcPr>
            <w:tcW w:w="1120" w:type="dxa"/>
            <w:vAlign w:val="bottom"/>
            <w:tcBorders>
              <w:top w:val="single" w:sz="8" w:color="auto"/>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r>
      <w:tr>
        <w:trPr>
          <w:trHeight w:val="432"/>
        </w:trPr>
        <w:tc>
          <w:tcPr>
            <w:tcW w:w="5280" w:type="dxa"/>
            <w:vAlign w:val="bottom"/>
          </w:tcPr>
          <w:p>
            <w:pPr>
              <w:spacing w:after="0"/>
              <w:rPr>
                <w:sz w:val="20"/>
                <w:szCs w:val="20"/>
                <w:color w:val="auto"/>
              </w:rPr>
            </w:pPr>
            <w:r>
              <w:rPr>
                <w:rFonts w:ascii="Arial" w:cs="Arial" w:eastAsia="Arial" w:hAnsi="Arial"/>
                <w:sz w:val="18"/>
                <w:szCs w:val="18"/>
                <w:b w:val="1"/>
                <w:bCs w:val="1"/>
                <w:color w:val="auto"/>
              </w:rPr>
              <w:t>7.  Share-based Compensation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5280" w:type="dxa"/>
            <w:vAlign w:val="bottom"/>
          </w:tcPr>
          <w:p>
            <w:pPr>
              <w:spacing w:after="0"/>
              <w:rPr>
                <w:sz w:val="20"/>
                <w:szCs w:val="20"/>
                <w:color w:val="auto"/>
              </w:rPr>
            </w:pPr>
            <w:r>
              <w:rPr>
                <w:rFonts w:ascii="Arial" w:cs="Arial" w:eastAsia="Arial" w:hAnsi="Arial"/>
                <w:sz w:val="18"/>
                <w:szCs w:val="18"/>
                <w:color w:val="auto"/>
                <w:w w:val="97"/>
              </w:rPr>
              <w:t>Share-based compensation expense has been recorded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2"/>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12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114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2015, the total remaining unrecognized compensation cost related to non-vested stock options, net of forfeitures, was approximately $1,144, which will be recognized over a weighted average period of 2.47 years.</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shareholders’ equity during the three and six months ended June 30, 2015 and 2014,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5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1,369</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 exercise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1,265</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Stock issued for acquisitions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or loss on investments,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78,665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73,875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73,875</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July 16, 2015, the company announced a quarterly cash dividend of $0.035 per share to be paid on August 10, 2015 to shareholders of record as of July 27, 2015.</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markets that are not active or based on other observable inputs. The following table sets forth the fair value of the financial instruments re-measured by the Company as of June 30, 2015 and December 31, 2014: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2015</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18,968</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18,968</w:t>
            </w: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6,173</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25,141</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25,141</w:t>
            </w: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75"/>
        </w:trPr>
        <w:tc>
          <w:tcPr>
            <w:tcW w:w="5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19,838</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19,838</w:t>
            </w: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26,156</w:t>
            </w: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forecasted effective tax rate at June 30, 2015 is 36.0%, a 4.0% increase from the 32.0% effective tax rate recorded at December 31, 2014. The forecasted effective tax rate of 36.0% excludes jurisdictions for which no benefit from forecasted current year losses is anticipated. Including losses from such jurisdictions results in a forecasted effective tax rate of 36.6%. Our forecasted effective tax rate could fluctuate significantly on a quarterly basis and could change, to the extent that earnings in countries with tax rates that differ from that of the U.S. differ, from amounts anticipated at June 30, 2015.</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discrete tax benefit of $8, the effective tax rate for the quarter ended June 30, 2015 is 36.4%. The discrete tax benefit is primarily attributable to tax benefits of share-based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July 16, 2015, the company announced a quarterly cash dividend of $0.035 per share to be paid on Aug 10, 2015 to shareholders of record as of July 27,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press releases and reports filed with the SEC, including our Annual Report on Form 10-K for the year ended December 31, 2014.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2014.</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market share position in the global professional audio conferencing market, with nearly 50% of the total global market share. Our products are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Standardize our products amongst the Fortune 500 and other blue chip companies;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Leverage the video conferencing, streaming and digital signage technologies we have acquired over the years to enter new growth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Capitalize on the increasing adoption of unified communications and introduce new products through information technology channels;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revenues were $14.0 million and $14.1 million during the three months ended June 30, 2015 and 2014, respectively. The decrease in revenues was due to diminished demand in Europe due to weak economic conditions. Our gross profit increased by $927 thousand during the three months ended June 30, 2015 compared to the three months ended June 30, 2014. Net income increased by $633 thousand during the three months ended June 30, 2015 compared to the three months ended June 30, 2014. Net income for the three months ended June 30, 2015 increased primarily due to increased gross profit margin on favorable product mix and reduced operating expenses compared to the three months ended June 30, 2014.</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revenues were $27.6 million and $26.8 million during the six months ended June 30, 2015 and 2014, respectively. The increase in revenues was due to increased sales of microphone products and professional audio products. Our gross profit increased by $1.7 million during the six months ended June 30, 2015 compared to the six months ended June 30, 2014. Net income increased by $1.4 million during the six months ended June 30, 2015 compared to the six months ended June 30, 2014. Net income for the six months ended June 30, 2015 increased primarily due to increased gross profit margin on favorable product mix and reduced operating expenses compared to the six months ended June 30, 2014.</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expect continued growth in revenue from microphone products and video products. However the prospects of growth and its magnitude in both revenues and profits in the near future would depend on the strength of the global economy and the penetration level of our new products, including products added through acquisitions. We continue to closely monitor the economic situation in Australia, China and Europe.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2015 and 2014</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six months ended June 30, 2015 and 2014,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Three months ended June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0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5,022</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6,047</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43%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10,147</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11,053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41%</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8,991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8,064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57%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17,453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15,766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5,375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5,713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21%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1,891</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3,890</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3,680</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6"/>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4,382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6"/>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6"/>
              </w:rPr>
              <w:t>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for the three months ended June 30, 2015 was approximately $14.0 million, a decrease of approximately 1% over the three months ended June 30, 2014. The decrease in revenue was due to a steep decline in revenue from EMEA and Australia caused by uncertain economic conditions and a modest decline in Americas. The decline is mainly attributable to decline in revenue from unified communications products partially offset by growth in demand for our professional products driven by demand for our microphone products and video products.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for the six months ended June 30, 2015 was approximately $27.6 million, an increase of approximately 3% over the six months ended June 30, 2014. The increase in revenue was due to increased demand from North America and Asia Pacific, partially offset by decline in EMEA (Europe, Middle East, and Africa). The increase is mainly attributable to growth in demand for our microphone products, other professional audio, and video products, partially offset by a decline in unified communications products revenue.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change in deferred revenue during the six months ended June 30, 2015 from December 31, 2014 and the six months ended June 30, 2014 from December 31, 2013 was a net decrease in deferred revenue of $260 thousand and a net increase in deferred revenue of $1.1 million,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gross profit margin (GPM), which is gross profit as a percentage of revenue, was 64% and 57% for the three months ended June 30, 2015 and 2014, respectively. The 7% increase in gross margin was primarily due to increased sales of higher margin products and decline in volumes of lower margin unified communications products. Our gross profit margin (GPM), which is gross profit as a percentage of revenue, was 63% and 59% for the six months ended June 30, 2015 and 2014, respectively.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4% increase in gross margin was primarily due to increased sales of higher margin products decline in volumes of lower margin unified communications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Operating expenses for the three months ended June 30, 2015 decreased by approximately $320 thousand to $6.7 million compared to $7.0 million for the three months ended June 30, 2014. Operating expenses for the six months ended June 30, 2015 decreased by approximately $0.7 million to $13.3 million compared to $14.0 million for the six months ended June 30, 2014.</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S&amp;M expenses of approximately $2.8 million for the three months ended June 30, 2015 decreased $223 thousand, or 7%, when compared to S&amp;M expenses of approximately $3.0 million for the three months ended June 30, 2014 this decreased primarily due to decreases in commission and bonus payments to employees and marketing expenses, partially offset by increase in commission payments to independent agents. S&amp;M expenses of approximately $5.4 million for the six months ended June 30, 2015 decreased $0.3 million, or 6%, when compared to S&amp;M expenses of approximately $5.7 million for the six months ended June 30, 2014 this decreased primarily due to decreases in commission and bonus payments to employees and marketing expenses, partially offset by increase in commission payments to independent agents.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R&amp;D expenses of approximately $2.1 million for the three months ended June 30, 2015 decreased by $276 thousand, or 12%, when compared to R&amp;D expenses of approximately $2.3 million for the three months ended June 30, 2014. R&amp;D expenses decreased due to decreased employee-related costs, consulting expenses and project related cost. R&amp;D expenses of approximately $4.0 million for the six months ended June 30, 2015 decreased by $0.6 million, or 13%, when compared to R&amp;D expenses of approximately $4.6 million for the six months ended June 30, 2014. R&amp;D expenses decreased due to decreased employee-related costs, consulting expenses and project related cost.</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G&amp;A expenses of approximately $1.9 million for the three months ended June 30, 2015 increased by $179 thousand, or 10%, when compared to G&amp;A expenses of approximately $1.7 million for the three months ended June 30, 2014. G&amp;A expenses increased due to increases in legal fees, audit and accounting fees and stock based compensation. These increases were partially offset by decreases in acquisition related expenses. G&amp;A expenses of approximately $3.9 million for the six months ended June 30, 2015 increased by $210 thousand, or 6%, when compared to G&amp;A expenses of approximately $3.7 million for the six months ended June 30, 2014. G&amp;A expenses increased due to increases in amortization of intangibles, audit and accounting fees and stock based compensation. These increases were partially offset by decreases in acquisition related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June 30, 2015, we accrued income taxes at the forecasted effective tax rate of 36.0% as compared to the forecasted effective tax rate of 34.7% used during the three months ended June 30, 2014. The 1.3% increase in the forecasted effective tax rate was primarily due to changes in the amount of projected foreign income taxed at different rates. In addition, a discrete tax benefit of $8 is primarily attributable to tax benefits of share-based compensation.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2015, our cash and cash equivalents were approximately $10.9 million, an increase of approximately $3.5 million compared to cash and cash equivalents of approximately $7.4 million as of December 31, 2014.</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Net cash provided by operating activities was $2.9 million during the six months ended June 30, 2015, an increase in cash flow of approximately $45 thousand compared to $2.8 million of cash provided by operating activities during the six months ended June 30, 2014. The increase in operating cash flow was primarily due to increase in net income and unpaid taxes with the remaining differences due to the timing of receipts and payments of working capital, which include accounts receivable, accounts payable, accrued expenses, inventories, and prepaid expenses and other assets.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cash provided by investing activities was approximately $0.8 million during the six months ended June 30, 2015, a comparative net inflow of cash of approximately $14.7 million when compared to $13.9 million of cash used in investing activities during the six months ended June 30, 2014. Net cash provided by investing activities during the six months ended June 30, 2015 included proceeds from maturities and sales of marketable investment securities in excess of purchases of marketable securities. Net cash used in investing activities for the six months ended June 30, 2014 included payments relating to the acquisition of the business of Sabine for $8.1 million and payments relating to the acquisition of the Spontania product line of $5.1 million.</w:t>
      </w:r>
    </w:p>
    <w:p>
      <w:pPr>
        <w:spacing w:after="0" w:line="1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Net cash used in financing activities was approximately $200 thousand during the six months ended June 30, 2015, a decrease of approximately $331 thousand when compared to $131 thousand of cash provided by investing activities during the six months ended June 30, 2014. Financing activities during the six months ended June 30, 2015 primarily consisted of dividend payments of $319 thousand and cash inflows of about $90 thousand from the exercise of stock options, while financing activities in the same period in 2014 consisted mostly of cash inflows of about $1.3 million from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our working capital was $37.5 million as compared to $34.0 million as of December 31, 2014.</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recent acquisitions and capital expenditures, we may use cash in the near future for selective infusions of technology, sales &amp; marketing, infrastructure, and other investments to fuel our growth, as well as acquisitions that may strategically fit our business and are accretive to our performance. We also plan to fund the payment of cash dividends in connection with the current Board approved plan as announced on December 2, 2014, which may be adjusted from time-to-time based on factors that the Board of Directors deems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significant accounting policies are described in Note 1 of the Notes to the Consolidated Financial Statements included in our Annual Report on Form 10-K for the year ended December 31, 2014.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June 30, 2015 and December 31, 2014:</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2015</w:t>
            </w:r>
          </w:p>
        </w:tc>
        <w:tc>
          <w:tcPr>
            <w:tcW w:w="26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2014</w:t>
            </w:r>
          </w:p>
        </w:tc>
      </w:tr>
      <w:tr>
        <w:trPr>
          <w:trHeight w:val="33"/>
        </w:trPr>
        <w:tc>
          <w:tcPr>
            <w:tcW w:w="7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5,004</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300" w:type="dxa"/>
            <w:vAlign w:val="bottom"/>
          </w:tcPr>
          <w:p>
            <w:pPr>
              <w:spacing w:after="0"/>
              <w:rPr>
                <w:sz w:val="23"/>
                <w:szCs w:val="23"/>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1,698</w:t>
            </w:r>
          </w:p>
        </w:tc>
      </w:tr>
      <w:tr>
        <w:trPr>
          <w:trHeight w:val="27"/>
        </w:trPr>
        <w:tc>
          <w:tcPr>
            <w:tcW w:w="7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Deferred gross profit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3,306</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2015 or 2014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2014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$786 thousand.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2015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June 30, 2015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2015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updates to the status of the legal proceedings and commitments and contingencies reported in our Form 10-K for the year ended December 31, 2014 under Part I, Item 3. Legal Proceedings and Note 8 - Commitments and Contingencies of the Notes to Consolidated Financial Statements (Part II,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1"/>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XBRL Taxonomy Extension Calculation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3"/>
          </w:tcPr>
          <w:p>
            <w:pPr>
              <w:spacing w:after="0"/>
              <w:rPr>
                <w:sz w:val="20"/>
                <w:szCs w:val="20"/>
                <w:color w:val="auto"/>
              </w:rPr>
            </w:pPr>
            <w:r>
              <w:rPr>
                <w:rFonts w:ascii="Arial" w:cs="Arial" w:eastAsia="Arial" w:hAnsi="Arial"/>
                <w:sz w:val="18"/>
                <w:szCs w:val="18"/>
                <w:color w:val="auto"/>
                <w:w w:val="97"/>
              </w:rPr>
              <w:t>XBRL Taxonomy Extension Presentation Linkbase (filed herewith)</w:t>
            </w:r>
          </w:p>
        </w:tc>
      </w:tr>
    </w:tbl>
    <w:p>
      <w:pPr>
        <w:spacing w:after="0" w:line="200" w:lineRule="exact"/>
        <w:rPr>
          <w:sz w:val="20"/>
          <w:szCs w:val="20"/>
          <w:color w:val="auto"/>
        </w:rPr>
      </w:pPr>
    </w:p>
    <w:p>
      <w:pPr>
        <w:sectPr>
          <w:pgSz w:w="11900" w:h="16838" w:orient="portrait"/>
          <w:cols w:equalWidth="0" w:num="1">
            <w:col w:w="11260"/>
          </w:cols>
          <w:pgMar w:left="240" w:top="121" w:right="3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240" w:top="121" w:right="39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240" w:top="121" w:right="10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186690</wp:posOffset>
            </wp:positionV>
            <wp:extent cx="3413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2015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2015,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186690</wp:posOffset>
            </wp:positionV>
            <wp:extent cx="3164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0"/>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2019-12-29T16:40:11Z</dcterms:created>
  <dcterms:modified xsi:type="dcterms:W3CDTF">2019-12-29T16:40:11Z</dcterms:modified>
</cp:coreProperties>
</file>