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April 14, 2009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200" w:lineRule="exact"/>
        <w:rPr>
          <w:sz w:val="24"/>
          <w:szCs w:val="24"/>
          <w:color w:val="auto"/>
        </w:rPr>
      </w:pPr>
    </w:p>
    <w:p>
      <w:pPr>
        <w:spacing w:after="0" w:line="277"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32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001-33660</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320" w:type="dxa"/>
            <w:vAlign w:val="bottom"/>
          </w:tcPr>
          <w:p>
            <w:pPr>
              <w:jc w:val="right"/>
              <w:ind w:right="570"/>
              <w:spacing w:after="0" w:line="201" w:lineRule="exact"/>
              <w:rPr>
                <w:sz w:val="20"/>
                <w:szCs w:val="20"/>
                <w:color w:val="auto"/>
              </w:rPr>
            </w:pPr>
            <w:r>
              <w:rPr>
                <w:rFonts w:ascii="Arial" w:cs="Arial" w:eastAsia="Arial" w:hAnsi="Arial"/>
                <w:sz w:val="18"/>
                <w:szCs w:val="18"/>
                <w:color w:val="auto"/>
              </w:rPr>
              <w:t>(Commission File Number)</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3"/>
          </w:tcPr>
          <w:p>
            <w:pPr>
              <w:jc w:val="center"/>
              <w:ind w:right="3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40" w:type="dxa"/>
            <w:vAlign w:val="bottom"/>
            <w:gridSpan w:val="3"/>
          </w:tcPr>
          <w:p>
            <w:pPr>
              <w:jc w:val="center"/>
              <w:ind w:right="39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1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5225 Wiley Post Way, Suite 500,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1"/>
        </w:trPr>
        <w:tc>
          <w:tcPr>
            <w:tcW w:w="41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3"/>
              </w:rPr>
              <w:t>Salt Lake City, Utah</w:t>
            </w:r>
          </w:p>
        </w:tc>
        <w:tc>
          <w:tcPr>
            <w:tcW w:w="27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84116</w:t>
            </w:r>
          </w:p>
        </w:tc>
      </w:tr>
      <w:tr>
        <w:trPr>
          <w:trHeight w:val="230"/>
        </w:trPr>
        <w:tc>
          <w:tcPr>
            <w:tcW w:w="410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00" w:lineRule="exact"/>
        <w:rPr>
          <w:sz w:val="20"/>
          <w:szCs w:val="20"/>
          <w:color w:val="auto"/>
        </w:rPr>
      </w:pP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April 14, 2009, ClearOne Communications, Inc. (the “Company”) delivered to Inovar, Inc., an inthinc company ("Inovar") a notice of termination of a certain manufacturing agreement, dated August 1, 2005, by and between the Company and Inovar. The effective date of the termination is August 12, 2009.</w:t>
      </w:r>
    </w:p>
    <w:p>
      <w:pPr>
        <w:spacing w:after="0" w:line="15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Under the terms of the manufacturing agreement, as amended, Inovar, among other things, has been the exclusive contract manufacturer for certain of the Company’s products sold in North America and has provided certain repair service and warranty support and prototype services.</w:t>
      </w:r>
    </w:p>
    <w:p>
      <w:pPr>
        <w:spacing w:after="0" w:line="1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is in the process of transitioning certain of its manufacturing needs, currently provided by Inovar, to a larger, more global, and more broadly capable electronic manufacturing services provider. The Company did not incur any early termination penalties in connection with the termination of the manufacturing agreement, and the Company does not have any other material relationship with Inovar.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360" w:val="left"/>
          <w:tab w:leader="none" w:pos="5120" w:val="left"/>
        </w:tabs>
        <w:rPr>
          <w:sz w:val="20"/>
          <w:szCs w:val="20"/>
          <w:color w:val="auto"/>
        </w:rPr>
      </w:pPr>
      <w:r>
        <w:rPr>
          <w:rFonts w:ascii="Arial" w:cs="Arial" w:eastAsia="Arial" w:hAnsi="Arial"/>
          <w:sz w:val="18"/>
          <w:szCs w:val="18"/>
          <w:color w:val="auto"/>
        </w:rPr>
        <w:t>Date: April 17,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w:t>
      </w:r>
    </w:p>
    <w:sectPr>
      <w:pgSz w:w="11900" w:h="16838" w:orient="portrait"/>
      <w:cols w:equalWidth="0" w:num="1">
        <w:col w:w="11220"/>
      </w:cols>
      <w:pgMar w:left="2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2019-12-10T08:55:06Z</dcterms:created>
  <dcterms:modified xsi:type="dcterms:W3CDTF">2019-12-10T08:55:06Z</dcterms:modified>
</cp:coreProperties>
</file>