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November 15, 2010</w:t>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ClearOne Communications,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20" w:type="dxa"/>
            <w:vAlign w:val="bottom"/>
          </w:tcPr>
          <w:p>
            <w:pPr>
              <w:jc w:val="right"/>
              <w:ind w:right="4850"/>
              <w:spacing w:after="0"/>
              <w:rPr>
                <w:sz w:val="20"/>
                <w:szCs w:val="20"/>
                <w:color w:val="auto"/>
              </w:rPr>
            </w:pPr>
            <w:r>
              <w:rPr>
                <w:rFonts w:ascii="Arial" w:cs="Arial" w:eastAsia="Arial" w:hAnsi="Arial"/>
                <w:sz w:val="18"/>
                <w:szCs w:val="18"/>
                <w:b w:val="1"/>
                <w:bCs w:val="1"/>
                <w:color w:val="auto"/>
                <w:w w:val="88"/>
              </w:rPr>
              <w:t>001-33660</w:t>
            </w:r>
          </w:p>
        </w:tc>
        <w:tc>
          <w:tcPr>
            <w:tcW w:w="2560" w:type="dxa"/>
            <w:vAlign w:val="bottom"/>
            <w:gridSpan w:val="2"/>
          </w:tcPr>
          <w:p>
            <w:pPr>
              <w:jc w:val="right"/>
              <w:ind w:right="1050"/>
              <w:spacing w:after="0"/>
              <w:rPr>
                <w:sz w:val="20"/>
                <w:szCs w:val="20"/>
                <w:color w:val="auto"/>
              </w:rPr>
            </w:pPr>
            <w:r>
              <w:rPr>
                <w:rFonts w:ascii="Arial" w:cs="Arial" w:eastAsia="Arial" w:hAnsi="Arial"/>
                <w:sz w:val="18"/>
                <w:szCs w:val="18"/>
                <w:b w:val="1"/>
                <w:bCs w:val="1"/>
                <w:color w:val="auto"/>
              </w:rPr>
              <w:t>87-0398877</w:t>
            </w:r>
          </w:p>
        </w:tc>
        <w:tc>
          <w:tcPr>
            <w:tcW w:w="4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02"/>
        </w:trPr>
        <w:tc>
          <w:tcPr>
            <w:tcW w:w="5720" w:type="dxa"/>
            <w:vAlign w:val="bottom"/>
            <w:tcBorders>
              <w:top w:val="single" w:sz="8" w:color="auto"/>
            </w:tcBorders>
          </w:tcPr>
          <w:p>
            <w:pPr>
              <w:jc w:val="right"/>
              <w:ind w:right="1770"/>
              <w:spacing w:after="0" w:line="201" w:lineRule="exact"/>
              <w:rPr>
                <w:sz w:val="20"/>
                <w:szCs w:val="20"/>
                <w:color w:val="auto"/>
              </w:rPr>
            </w:pPr>
            <w:r>
              <w:rPr>
                <w:rFonts w:ascii="Arial" w:cs="Arial" w:eastAsia="Arial" w:hAnsi="Arial"/>
                <w:sz w:val="18"/>
                <w:szCs w:val="18"/>
                <w:color w:val="auto"/>
              </w:rPr>
              <w:t>(Commission File Number)</w:t>
            </w:r>
          </w:p>
        </w:tc>
        <w:tc>
          <w:tcPr>
            <w:tcW w:w="560" w:type="dxa"/>
            <w:vAlign w:val="bottom"/>
          </w:tcPr>
          <w:p>
            <w:pPr>
              <w:spacing w:after="0"/>
              <w:rPr>
                <w:sz w:val="17"/>
                <w:szCs w:val="17"/>
                <w:color w:val="auto"/>
              </w:rPr>
            </w:pPr>
          </w:p>
        </w:tc>
        <w:tc>
          <w:tcPr>
            <w:tcW w:w="514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gridSpan w:val="3"/>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5720" w:type="dxa"/>
            <w:vAlign w:val="bottom"/>
          </w:tcPr>
          <w:p>
            <w:pPr>
              <w:jc w:val="center"/>
              <w:ind w:left="2470"/>
              <w:spacing w:after="0"/>
              <w:rPr>
                <w:sz w:val="20"/>
                <w:szCs w:val="20"/>
                <w:color w:val="auto"/>
              </w:rPr>
            </w:pPr>
            <w:r>
              <w:rPr>
                <w:rFonts w:ascii="Arial" w:cs="Arial" w:eastAsia="Arial" w:hAnsi="Arial"/>
                <w:sz w:val="18"/>
                <w:szCs w:val="18"/>
                <w:b w:val="1"/>
                <w:bCs w:val="1"/>
                <w:color w:val="auto"/>
                <w:w w:val="89"/>
              </w:rPr>
              <w:t>5225 Wiley Post Way, Suite 500</w:t>
            </w: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41"/>
        </w:trPr>
        <w:tc>
          <w:tcPr>
            <w:tcW w:w="5720" w:type="dxa"/>
            <w:vAlign w:val="bottom"/>
          </w:tcPr>
          <w:p>
            <w:pPr>
              <w:jc w:val="center"/>
              <w:ind w:left="2470"/>
              <w:spacing w:after="0"/>
              <w:rPr>
                <w:sz w:val="20"/>
                <w:szCs w:val="20"/>
                <w:color w:val="auto"/>
              </w:rPr>
            </w:pPr>
            <w:r>
              <w:rPr>
                <w:rFonts w:ascii="Arial" w:cs="Arial" w:eastAsia="Arial" w:hAnsi="Arial"/>
                <w:sz w:val="18"/>
                <w:szCs w:val="18"/>
                <w:b w:val="1"/>
                <w:bCs w:val="1"/>
                <w:color w:val="auto"/>
                <w:w w:val="92"/>
              </w:rPr>
              <w:t>Salt Lake City, Utah</w:t>
            </w:r>
          </w:p>
        </w:tc>
        <w:tc>
          <w:tcPr>
            <w:tcW w:w="5700" w:type="dxa"/>
            <w:vAlign w:val="bottom"/>
            <w:gridSpan w:val="4"/>
          </w:tcPr>
          <w:p>
            <w:pPr>
              <w:jc w:val="right"/>
              <w:ind w:right="2150"/>
              <w:spacing w:after="0"/>
              <w:rPr>
                <w:sz w:val="20"/>
                <w:szCs w:val="20"/>
                <w:color w:val="auto"/>
              </w:rPr>
            </w:pPr>
            <w:r>
              <w:rPr>
                <w:rFonts w:ascii="Arial" w:cs="Arial" w:eastAsia="Arial" w:hAnsi="Arial"/>
                <w:sz w:val="18"/>
                <w:szCs w:val="18"/>
                <w:b w:val="1"/>
                <w:bCs w:val="1"/>
                <w:color w:val="auto"/>
              </w:rPr>
              <w:t>84116</w:t>
            </w:r>
          </w:p>
        </w:tc>
      </w:tr>
      <w:tr>
        <w:trPr>
          <w:trHeight w:val="230"/>
        </w:trPr>
        <w:tc>
          <w:tcPr>
            <w:tcW w:w="5720" w:type="dxa"/>
            <w:vAlign w:val="bottom"/>
            <w:tcBorders>
              <w:top w:val="single" w:sz="8" w:color="auto"/>
            </w:tcBorders>
          </w:tcPr>
          <w:p>
            <w:pPr>
              <w:jc w:val="center"/>
              <w:ind w:left="2470"/>
              <w:spacing w:after="0"/>
              <w:rPr>
                <w:sz w:val="20"/>
                <w:szCs w:val="20"/>
                <w:color w:val="auto"/>
              </w:rPr>
            </w:pPr>
            <w:r>
              <w:rPr>
                <w:rFonts w:ascii="Arial" w:cs="Arial" w:eastAsia="Arial" w:hAnsi="Arial"/>
                <w:sz w:val="18"/>
                <w:szCs w:val="18"/>
                <w:color w:val="auto"/>
                <w:w w:val="92"/>
              </w:rPr>
              <w:t>(Address of principal executive offices)</w:t>
            </w:r>
          </w:p>
        </w:tc>
        <w:tc>
          <w:tcPr>
            <w:tcW w:w="56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68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rPr>
              <w:t>(Zip Code)</w:t>
            </w:r>
          </w:p>
        </w:tc>
      </w:tr>
    </w:tbl>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  ]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 Soliciting material pursuant to Rule 14a-12 under the Exchange Act (17 CFR 240.14a-12)</w:t>
      </w:r>
    </w:p>
    <w:p>
      <w:pPr>
        <w:spacing w:after="0" w:line="9" w:lineRule="exact"/>
        <w:rPr>
          <w:sz w:val="24"/>
          <w:szCs w:val="24"/>
          <w:color w:val="auto"/>
        </w:rPr>
      </w:pPr>
    </w:p>
    <w:p>
      <w:pPr>
        <w:ind w:left="500" w:right="4520" w:hanging="6"/>
        <w:spacing w:after="0" w:line="250" w:lineRule="auto"/>
        <w:tabs>
          <w:tab w:leader="none" w:pos="69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 w:lineRule="exact"/>
        <w:rPr>
          <w:sz w:val="24"/>
          <w:szCs w:val="24"/>
          <w:color w:val="auto"/>
        </w:rPr>
      </w:pPr>
    </w:p>
    <w:p>
      <w:pPr>
        <w:ind w:left="500" w:right="4620" w:hanging="6"/>
        <w:spacing w:after="0" w:line="261"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On November 15, 2010, ClearOne Communications, Inc. (the “Company”) issued a press release announcing its financial results for the quarter ended September 30, 2010. The full text of the Company’s press release is furnished herewith as Exhibit 99.1.</w:t>
      </w:r>
    </w:p>
    <w:p>
      <w:pPr>
        <w:spacing w:after="0" w:line="19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720" w:hanging="71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No.</w:t>
            </w:r>
          </w:p>
        </w:tc>
        <w:tc>
          <w:tcPr>
            <w:tcW w:w="80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Title of Document</w:t>
            </w:r>
          </w:p>
        </w:tc>
        <w:tc>
          <w:tcPr>
            <w:tcW w:w="2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Location</w:t>
            </w:r>
          </w:p>
        </w:tc>
      </w:tr>
      <w:tr>
        <w:trPr>
          <w:trHeight w:val="202"/>
        </w:trPr>
        <w:tc>
          <w:tcPr>
            <w:tcW w:w="1400" w:type="dxa"/>
            <w:vAlign w:val="bottom"/>
          </w:tcPr>
          <w:p>
            <w:pPr>
              <w:spacing w:after="0" w:line="201" w:lineRule="exact"/>
              <w:rPr>
                <w:sz w:val="20"/>
                <w:szCs w:val="20"/>
                <w:color w:val="auto"/>
              </w:rPr>
            </w:pPr>
            <w:r>
              <w:rPr>
                <w:rFonts w:ascii="Arial" w:cs="Arial" w:eastAsia="Arial" w:hAnsi="Arial"/>
                <w:sz w:val="18"/>
                <w:szCs w:val="18"/>
                <w:color w:val="auto"/>
              </w:rPr>
              <w:t>99.1</w:t>
            </w:r>
          </w:p>
        </w:tc>
        <w:tc>
          <w:tcPr>
            <w:tcW w:w="8000" w:type="dxa"/>
            <w:vAlign w:val="bottom"/>
          </w:tcPr>
          <w:p>
            <w:pPr>
              <w:ind w:left="560"/>
              <w:spacing w:after="0" w:line="201" w:lineRule="exact"/>
              <w:rPr>
                <w:sz w:val="20"/>
                <w:szCs w:val="20"/>
                <w:color w:val="auto"/>
              </w:rPr>
            </w:pPr>
            <w:r>
              <w:rPr>
                <w:rFonts w:ascii="Arial" w:cs="Arial" w:eastAsia="Arial" w:hAnsi="Arial"/>
                <w:sz w:val="18"/>
                <w:szCs w:val="18"/>
                <w:color w:val="auto"/>
                <w:w w:val="92"/>
              </w:rPr>
              <w:t>Press Release dated November 15, 2010 captioned “ClearOne Reports Third Quarter 2010 Financial</w:t>
            </w:r>
          </w:p>
        </w:tc>
        <w:tc>
          <w:tcPr>
            <w:tcW w:w="2020" w:type="dxa"/>
            <w:vAlign w:val="bottom"/>
          </w:tcPr>
          <w:p>
            <w:pPr>
              <w:ind w:left="220"/>
              <w:spacing w:after="0" w:line="201" w:lineRule="exact"/>
              <w:rPr>
                <w:sz w:val="20"/>
                <w:szCs w:val="20"/>
                <w:color w:val="auto"/>
              </w:rPr>
            </w:pPr>
            <w:r>
              <w:rPr>
                <w:rFonts w:ascii="Arial" w:cs="Arial" w:eastAsia="Arial" w:hAnsi="Arial"/>
                <w:sz w:val="18"/>
                <w:szCs w:val="18"/>
                <w:color w:val="auto"/>
              </w:rPr>
              <w:t>This Filing</w:t>
            </w:r>
          </w:p>
        </w:tc>
      </w:tr>
      <w:tr>
        <w:trPr>
          <w:trHeight w:val="230"/>
        </w:trPr>
        <w:tc>
          <w:tcPr>
            <w:tcW w:w="1400" w:type="dxa"/>
            <w:vAlign w:val="bottom"/>
          </w:tcPr>
          <w:p>
            <w:pPr>
              <w:spacing w:after="0"/>
              <w:rPr>
                <w:sz w:val="20"/>
                <w:szCs w:val="20"/>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rPr>
              <w:t>Results.”</w:t>
            </w:r>
          </w:p>
        </w:tc>
        <w:tc>
          <w:tcPr>
            <w:tcW w:w="2020" w:type="dxa"/>
            <w:vAlign w:val="bottom"/>
          </w:tcPr>
          <w:p>
            <w:pPr>
              <w:spacing w:after="0"/>
              <w:rPr>
                <w:sz w:val="20"/>
                <w:szCs w:val="20"/>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November 18,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Zee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40220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2209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Zee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President &amp; CEO</w:t>
      </w:r>
    </w:p>
    <w:p>
      <w:pPr>
        <w:sectPr>
          <w:pgSz w:w="11900" w:h="16838" w:orient="portrait"/>
          <w:cols w:equalWidth="0" w:num="1">
            <w:col w:w="11420"/>
          </w:cols>
          <w:pgMar w:left="240" w:top="51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ClearOne Communications, Inc.</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(801) 303-3555</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CLEARONE REPORTS THIRD QUARTER 2010 FINANCIAL RESULTS</w:t>
      </w:r>
    </w:p>
    <w:p>
      <w:pPr>
        <w:spacing w:after="0" w:line="25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Salt Lake City, UT – November 15, 2010 – </w:t>
      </w:r>
      <w:r>
        <w:rPr>
          <w:rFonts w:ascii="Arial" w:cs="Arial" w:eastAsia="Arial" w:hAnsi="Arial"/>
          <w:sz w:val="18"/>
          <w:szCs w:val="18"/>
          <w:color w:val="auto"/>
        </w:rPr>
        <w:t>ClearOne Communications, Inc. (NASDAQ: CLRO) today reported financial results for the third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2010.</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2010 third quarter, revenue increased 35% to $10.4 million from $7.6 million in the same quarter of last year. Gross profit rose to $6.3 million, or 60% of revenue, from $4.0 million, or 52% of revenue, for the prior year period. Operating income was $781,000 compared to an operating loss of $646,000 in the same period of 2009. Net income was $987,000, or $0.11 per diluted share, versus net loss of $275,000, or $0.03 per share, for the third quarter of 2009.</w:t>
      </w:r>
    </w:p>
    <w:p>
      <w:pPr>
        <w:spacing w:after="0" w:line="21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continue to produce strong financial results evident from our 2010 third quarter financial results. A number of factors contributed to this performance,” said Zee Hakimoglu, President, Chief Executive Officer and Chairman of ClearOne. “Our top and bottom line improved due to continued momentum for our professional conferencing line, steady growth in demand for our products overseas and the contribution of new products introduced during the past 12 months. Also during the quarter, we initiated a transition from distribution to a direct-to-dealer channel model for our NetStreams offering. We continue to make investments in NetStreams’ sales channel and product development, and believe its technology is compelling.”</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first nine months of 2010, revenue increased 28% to $28.7 million from $22.3 million for the same period of 2009. Gross profit was $17.1 million, or 60% of revenue, compared with $11.2 million, or 50% of revenue, for the comparable prior year period. Operating income was $1.8 million compared to an operating loss of $1.2 million for the first nine months of 2009. Net income was $1.6 million, or $0.17 per diluted share, compared with a net loss of $317,000, or $0.04 per share, for the same period last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ClearOne is a global communications solutions company that develops and sells conferencing, collaboration, streaming media and connectivity systems for audio, video, and web applications. The reliability, flexibility and performance of our advanced comprehensive solutions enhance the quality of life through better communication, education, and entertainment.</w:t>
      </w:r>
    </w:p>
    <w:p>
      <w:pPr>
        <w:spacing w:after="0" w:line="2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ClearOne develops, manufactures, markets and services a comprehensive line of high-quality audio conferencing products under personal, tabletop, premium and professional (installed audio) categories. The company occupies the number one position in the professional audio conferencing market. ClearOne’s conferencing solutions save organizations time and money by creating a natural environment for collaboration.</w:t>
      </w:r>
    </w:p>
    <w:p>
      <w:pPr>
        <w:spacing w:after="0" w:line="19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NetStreams, recently acquired by ClearOne, delivers the ultimate IP A/V experience by distributing high definition audio and video over TCP/IP networks. NetStreams' products, designed for commercial and residential use, offer unprecedented levels of performance, functionality, simplicity, reliability, and expandability. By combining audio/video content, meta-data and control signals into one stream and incorporating industry standards, NetStreams' newly patented StreamNet® solutions are a smart investment, enabling the Power of AV over IP™ – today.</w:t>
      </w:r>
    </w:p>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NetStreams' StreamNet technology provides elegant solutions for streaming media &amp; control applications such as digital signage, distribution of HD video and audio, LAN Cloud Matrix Switching™, and audio paging over data networks.</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 orward-looking statements to reflect subsequent events or circumstances. Readers should not place undue reliance on these forward-looking statements.</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http://www.b2i.us/irpass.asp?BzID=509&amp;to=ea&amp;s=0</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TABLES FOLLOW</w:t>
      </w:r>
    </w:p>
    <w:p>
      <w:pPr>
        <w:sectPr>
          <w:pgSz w:w="11900" w:h="16838" w:orient="portrait"/>
          <w:cols w:equalWidth="0" w:num="1">
            <w:col w:w="11380"/>
          </w:cols>
          <w:pgMar w:left="240" w:top="125"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1"/>
              </w:rPr>
              <w:t>Three months ended</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90"/>
              </w:rPr>
              <w:t>Nine months ended</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760" w:type="dxa"/>
            <w:vAlign w:val="bottom"/>
          </w:tcPr>
          <w:p>
            <w:pPr>
              <w:spacing w:after="0"/>
              <w:rPr>
                <w:sz w:val="19"/>
                <w:szCs w:val="19"/>
                <w:color w:val="auto"/>
              </w:rPr>
            </w:pPr>
          </w:p>
        </w:tc>
        <w:tc>
          <w:tcPr>
            <w:tcW w:w="2040" w:type="dxa"/>
            <w:vAlign w:val="bottom"/>
            <w:tcBorders>
              <w:bottom w:val="single" w:sz="8" w:color="auto"/>
            </w:tcBorders>
            <w:gridSpan w:val="2"/>
          </w:tcPr>
          <w:p>
            <w:pPr>
              <w:jc w:val="center"/>
              <w:ind w:right="150"/>
              <w:spacing w:after="0"/>
              <w:rPr>
                <w:sz w:val="20"/>
                <w:szCs w:val="20"/>
                <w:color w:val="auto"/>
              </w:rPr>
            </w:pPr>
            <w:r>
              <w:rPr>
                <w:rFonts w:ascii="Arial" w:cs="Arial" w:eastAsia="Arial" w:hAnsi="Arial"/>
                <w:sz w:val="18"/>
                <w:szCs w:val="18"/>
                <w:b w:val="1"/>
                <w:bCs w:val="1"/>
                <w:color w:val="auto"/>
                <w:w w:val="88"/>
              </w:rPr>
              <w:t>Sep 30, 2010</w:t>
            </w:r>
          </w:p>
        </w:tc>
        <w:tc>
          <w:tcPr>
            <w:tcW w:w="170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Sep 30, 2009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86"/>
              </w:rPr>
              <w:t>Sep 30, 2010</w:t>
            </w:r>
          </w:p>
        </w:tc>
        <w:tc>
          <w:tcPr>
            <w:tcW w:w="160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Sep 30, 2009</w:t>
            </w:r>
          </w:p>
        </w:tc>
        <w:tc>
          <w:tcPr>
            <w:tcW w:w="20" w:type="dxa"/>
            <w:vAlign w:val="bottom"/>
          </w:tcPr>
          <w:p>
            <w:pPr>
              <w:spacing w:after="0"/>
              <w:rPr>
                <w:sz w:val="19"/>
                <w:szCs w:val="19"/>
                <w:color w:val="auto"/>
              </w:rPr>
            </w:pP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color w:val="auto"/>
              </w:rPr>
              <w:t>Revenue</w:t>
            </w:r>
          </w:p>
        </w:tc>
        <w:tc>
          <w:tcPr>
            <w:tcW w:w="1020" w:type="dxa"/>
            <w:vAlign w:val="bottom"/>
          </w:tcPr>
          <w:p>
            <w:pPr>
              <w:jc w:val="center"/>
              <w:ind w:left="690"/>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10,359</w:t>
            </w:r>
          </w:p>
        </w:tc>
        <w:tc>
          <w:tcPr>
            <w:tcW w:w="8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7,646</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center"/>
              <w:ind w:left="730"/>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28,652</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22,308</w:t>
            </w:r>
          </w:p>
        </w:tc>
        <w:tc>
          <w:tcPr>
            <w:tcW w:w="20" w:type="dxa"/>
            <w:vAlign w:val="bottom"/>
          </w:tcPr>
          <w:p>
            <w:pPr>
              <w:spacing w:after="0"/>
              <w:rPr>
                <w:sz w:val="17"/>
                <w:szCs w:val="17"/>
                <w:color w:val="auto"/>
              </w:rPr>
            </w:pP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Cost of goods sold</w:t>
            </w:r>
          </w:p>
        </w:tc>
        <w:tc>
          <w:tcPr>
            <w:tcW w:w="102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4,105</w:t>
            </w:r>
          </w:p>
        </w:tc>
        <w:tc>
          <w:tcPr>
            <w:tcW w:w="8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3,692</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11,542</w:t>
            </w:r>
          </w:p>
        </w:tc>
        <w:tc>
          <w:tcPr>
            <w:tcW w:w="8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11,127</w:t>
            </w: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Gross profit</w:t>
            </w:r>
          </w:p>
        </w:tc>
        <w:tc>
          <w:tcPr>
            <w:tcW w:w="10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6,254</w:t>
            </w:r>
          </w:p>
        </w:tc>
        <w:tc>
          <w:tcPr>
            <w:tcW w:w="8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3,954</w:t>
            </w:r>
          </w:p>
        </w:tc>
        <w:tc>
          <w:tcPr>
            <w:tcW w:w="26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17,110</w:t>
            </w:r>
          </w:p>
        </w:tc>
        <w:tc>
          <w:tcPr>
            <w:tcW w:w="8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11,181</w:t>
            </w:r>
          </w:p>
        </w:tc>
        <w:tc>
          <w:tcPr>
            <w:tcW w:w="20" w:type="dxa"/>
            <w:vAlign w:val="bottom"/>
          </w:tcPr>
          <w:p>
            <w:pPr>
              <w:spacing w:after="0"/>
              <w:rPr>
                <w:sz w:val="19"/>
                <w:szCs w:val="19"/>
                <w:color w:val="auto"/>
              </w:rPr>
            </w:pPr>
          </w:p>
        </w:tc>
      </w:tr>
      <w:tr>
        <w:trPr>
          <w:trHeight w:val="418"/>
        </w:trPr>
        <w:tc>
          <w:tcPr>
            <w:tcW w:w="376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Sales and marketing</w:t>
            </w:r>
          </w:p>
        </w:tc>
        <w:tc>
          <w:tcPr>
            <w:tcW w:w="102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2,243</w:t>
            </w:r>
          </w:p>
        </w:tc>
        <w:tc>
          <w:tcPr>
            <w:tcW w:w="8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1,603</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6,328</w:t>
            </w:r>
          </w:p>
        </w:tc>
        <w:tc>
          <w:tcPr>
            <w:tcW w:w="8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5,222</w:t>
            </w:r>
          </w:p>
        </w:tc>
        <w:tc>
          <w:tcPr>
            <w:tcW w:w="2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102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2,124</w:t>
            </w:r>
          </w:p>
        </w:tc>
        <w:tc>
          <w:tcPr>
            <w:tcW w:w="8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1,668</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5,772</w:t>
            </w:r>
          </w:p>
        </w:tc>
        <w:tc>
          <w:tcPr>
            <w:tcW w:w="8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5,589</w:t>
            </w:r>
          </w:p>
        </w:tc>
        <w:tc>
          <w:tcPr>
            <w:tcW w:w="2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2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1,106</w:t>
            </w:r>
          </w:p>
        </w:tc>
        <w:tc>
          <w:tcPr>
            <w:tcW w:w="8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1,329</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3,252</w:t>
            </w:r>
          </w:p>
        </w:tc>
        <w:tc>
          <w:tcPr>
            <w:tcW w:w="8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2,632</w:t>
            </w:r>
          </w:p>
        </w:tc>
        <w:tc>
          <w:tcPr>
            <w:tcW w:w="20" w:type="dxa"/>
            <w:vAlign w:val="bottom"/>
          </w:tcPr>
          <w:p>
            <w:pPr>
              <w:spacing w:after="0"/>
              <w:rPr>
                <w:sz w:val="18"/>
                <w:szCs w:val="18"/>
                <w:color w:val="auto"/>
              </w:rPr>
            </w:pP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Insurance settlement</w:t>
            </w:r>
          </w:p>
        </w:tc>
        <w:tc>
          <w:tcPr>
            <w:tcW w:w="10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20" w:type="dxa"/>
            <w:vAlign w:val="bottom"/>
          </w:tcPr>
          <w:p>
            <w:pPr>
              <w:spacing w:after="0"/>
              <w:rPr>
                <w:sz w:val="20"/>
                <w:szCs w:val="20"/>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5,473</w:t>
            </w:r>
          </w:p>
        </w:tc>
        <w:tc>
          <w:tcPr>
            <w:tcW w:w="8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15,352</w:t>
            </w:r>
          </w:p>
        </w:tc>
        <w:tc>
          <w:tcPr>
            <w:tcW w:w="8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12,343</w:t>
            </w:r>
          </w:p>
        </w:tc>
        <w:tc>
          <w:tcPr>
            <w:tcW w:w="20" w:type="dxa"/>
            <w:vAlign w:val="bottom"/>
          </w:tcPr>
          <w:p>
            <w:pPr>
              <w:spacing w:after="0"/>
              <w:rPr>
                <w:sz w:val="19"/>
                <w:szCs w:val="19"/>
                <w:color w:val="auto"/>
              </w:rPr>
            </w:pP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20" w:type="dxa"/>
            <w:vAlign w:val="bottom"/>
          </w:tcPr>
          <w:p>
            <w:pPr>
              <w:spacing w:after="0"/>
              <w:rPr>
                <w:sz w:val="24"/>
                <w:szCs w:val="24"/>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781</w:t>
            </w:r>
          </w:p>
        </w:tc>
        <w:tc>
          <w:tcPr>
            <w:tcW w:w="8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(646)</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1,758</w:t>
            </w:r>
          </w:p>
        </w:tc>
        <w:tc>
          <w:tcPr>
            <w:tcW w:w="8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(1,162)</w:t>
            </w:r>
          </w:p>
        </w:tc>
        <w:tc>
          <w:tcPr>
            <w:tcW w:w="20" w:type="dxa"/>
            <w:vAlign w:val="bottom"/>
          </w:tcPr>
          <w:p>
            <w:pPr>
              <w:spacing w:after="0"/>
              <w:rPr>
                <w:sz w:val="24"/>
                <w:szCs w:val="24"/>
                <w:color w:val="auto"/>
              </w:rPr>
            </w:pPr>
          </w:p>
        </w:tc>
      </w:tr>
      <w:tr>
        <w:trPr>
          <w:trHeight w:val="439"/>
        </w:trPr>
        <w:tc>
          <w:tcPr>
            <w:tcW w:w="37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w:t>
            </w:r>
          </w:p>
        </w:tc>
        <w:tc>
          <w:tcPr>
            <w:tcW w:w="8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67</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(120)</w:t>
            </w: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352</w:t>
            </w:r>
          </w:p>
        </w:tc>
      </w:tr>
      <w:tr>
        <w:trPr>
          <w:trHeight w:val="418"/>
        </w:trPr>
        <w:tc>
          <w:tcPr>
            <w:tcW w:w="37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20" w:type="dxa"/>
            <w:vAlign w:val="bottom"/>
          </w:tcPr>
          <w:p>
            <w:pPr>
              <w:spacing w:after="0"/>
              <w:rPr>
                <w:sz w:val="24"/>
                <w:szCs w:val="24"/>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793</w:t>
            </w:r>
          </w:p>
        </w:tc>
        <w:tc>
          <w:tcPr>
            <w:tcW w:w="8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(579)</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1,638</w:t>
            </w:r>
          </w:p>
        </w:tc>
        <w:tc>
          <w:tcPr>
            <w:tcW w:w="8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(810)</w:t>
            </w:r>
          </w:p>
        </w:tc>
        <w:tc>
          <w:tcPr>
            <w:tcW w:w="20" w:type="dxa"/>
            <w:vAlign w:val="bottom"/>
          </w:tcPr>
          <w:p>
            <w:pPr>
              <w:spacing w:after="0"/>
              <w:rPr>
                <w:sz w:val="24"/>
                <w:szCs w:val="24"/>
                <w:color w:val="auto"/>
              </w:rPr>
            </w:pP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102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194</w:t>
            </w:r>
          </w:p>
        </w:tc>
        <w:tc>
          <w:tcPr>
            <w:tcW w:w="8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304</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(81)</w:t>
            </w:r>
          </w:p>
        </w:tc>
        <w:tc>
          <w:tcPr>
            <w:tcW w:w="8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493</w:t>
            </w:r>
          </w:p>
        </w:tc>
      </w:tr>
      <w:tr>
        <w:trPr>
          <w:trHeight w:val="216"/>
        </w:trPr>
        <w:tc>
          <w:tcPr>
            <w:tcW w:w="3760" w:type="dxa"/>
            <w:vAlign w:val="bottom"/>
          </w:tcPr>
          <w:p>
            <w:pPr>
              <w:spacing w:after="0" w:line="196" w:lineRule="exact"/>
              <w:rPr>
                <w:sz w:val="20"/>
                <w:szCs w:val="20"/>
                <w:color w:val="auto"/>
              </w:rPr>
            </w:pPr>
            <w:r>
              <w:rPr>
                <w:rFonts w:ascii="Arial" w:cs="Arial" w:eastAsia="Arial" w:hAnsi="Arial"/>
                <w:sz w:val="18"/>
                <w:szCs w:val="18"/>
                <w:color w:val="auto"/>
              </w:rPr>
              <w:t>Net income (loss)</w:t>
            </w:r>
          </w:p>
        </w:tc>
        <w:tc>
          <w:tcPr>
            <w:tcW w:w="1020" w:type="dxa"/>
            <w:vAlign w:val="bottom"/>
            <w:tcBorders>
              <w:top w:val="single" w:sz="8" w:color="auto"/>
              <w:bottom w:val="single" w:sz="8" w:color="auto"/>
            </w:tcBorders>
          </w:tcPr>
          <w:p>
            <w:pPr>
              <w:jc w:val="center"/>
              <w:ind w:left="6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987</w:t>
            </w:r>
          </w:p>
        </w:tc>
        <w:tc>
          <w:tcPr>
            <w:tcW w:w="88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(275)</w:t>
            </w:r>
          </w:p>
        </w:tc>
        <w:tc>
          <w:tcPr>
            <w:tcW w:w="2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center"/>
              <w:ind w:left="7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1,557</w:t>
            </w:r>
          </w:p>
        </w:tc>
        <w:tc>
          <w:tcPr>
            <w:tcW w:w="82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(317)</w:t>
            </w:r>
          </w:p>
        </w:tc>
        <w:tc>
          <w:tcPr>
            <w:tcW w:w="20" w:type="dxa"/>
            <w:vAlign w:val="bottom"/>
          </w:tcPr>
          <w:p>
            <w:pPr>
              <w:spacing w:after="0"/>
              <w:rPr>
                <w:sz w:val="18"/>
                <w:szCs w:val="18"/>
                <w:color w:val="auto"/>
              </w:rPr>
            </w:pPr>
          </w:p>
        </w:tc>
      </w:tr>
      <w:tr>
        <w:trPr>
          <w:trHeight w:val="21"/>
        </w:trPr>
        <w:tc>
          <w:tcPr>
            <w:tcW w:w="3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376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020" w:type="dxa"/>
            <w:vAlign w:val="bottom"/>
          </w:tcPr>
          <w:p>
            <w:pPr>
              <w:jc w:val="center"/>
              <w:ind w:left="7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0.11</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24"/>
                <w:szCs w:val="24"/>
                <w:color w:val="auto"/>
              </w:rPr>
            </w:pPr>
          </w:p>
        </w:tc>
        <w:tc>
          <w:tcPr>
            <w:tcW w:w="1020" w:type="dxa"/>
            <w:vAlign w:val="bottom"/>
          </w:tcPr>
          <w:p>
            <w:pPr>
              <w:jc w:val="center"/>
              <w:ind w:left="7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0.17</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24"/>
                <w:szCs w:val="24"/>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1020" w:type="dxa"/>
            <w:vAlign w:val="bottom"/>
          </w:tcPr>
          <w:p>
            <w:pPr>
              <w:jc w:val="center"/>
              <w:ind w:left="7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0.11</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20"/>
                <w:szCs w:val="20"/>
                <w:color w:val="auto"/>
              </w:rPr>
            </w:pPr>
          </w:p>
        </w:tc>
        <w:tc>
          <w:tcPr>
            <w:tcW w:w="1020" w:type="dxa"/>
            <w:vAlign w:val="bottom"/>
          </w:tcPr>
          <w:p>
            <w:pPr>
              <w:jc w:val="center"/>
              <w:ind w:left="7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0.17</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20"/>
                <w:szCs w:val="20"/>
                <w:color w:val="auto"/>
              </w:rPr>
            </w:pPr>
          </w:p>
        </w:tc>
      </w:tr>
      <w:tr>
        <w:trPr>
          <w:trHeight w:val="418"/>
        </w:trPr>
        <w:tc>
          <w:tcPr>
            <w:tcW w:w="376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1020" w:type="dxa"/>
            <w:vAlign w:val="bottom"/>
          </w:tcPr>
          <w:p>
            <w:pPr>
              <w:spacing w:after="0"/>
              <w:rPr>
                <w:sz w:val="24"/>
                <w:szCs w:val="24"/>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4"/>
              </w:rPr>
              <w:t>8,929,342</w:t>
            </w:r>
          </w:p>
        </w:tc>
        <w:tc>
          <w:tcPr>
            <w:tcW w:w="8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8,928,897</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w w:val="97"/>
              </w:rPr>
              <w:t>8,929,266</w:t>
            </w:r>
          </w:p>
        </w:tc>
        <w:tc>
          <w:tcPr>
            <w:tcW w:w="8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8,923,869</w:t>
            </w:r>
          </w:p>
        </w:tc>
        <w:tc>
          <w:tcPr>
            <w:tcW w:w="20" w:type="dxa"/>
            <w:vAlign w:val="bottom"/>
          </w:tcPr>
          <w:p>
            <w:pPr>
              <w:spacing w:after="0"/>
              <w:rPr>
                <w:sz w:val="24"/>
                <w:szCs w:val="24"/>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102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4"/>
              </w:rPr>
              <w:t>9,108,102</w:t>
            </w:r>
          </w:p>
        </w:tc>
        <w:tc>
          <w:tcPr>
            <w:tcW w:w="8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9,052,070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w w:val="97"/>
              </w:rPr>
              <w:t>9,095,879</w:t>
            </w: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9,043,977</w:t>
            </w:r>
          </w:p>
        </w:tc>
        <w:tc>
          <w:tcPr>
            <w:tcW w:w="20" w:type="dxa"/>
            <w:vAlign w:val="bottom"/>
          </w:tcPr>
          <w:p>
            <w:pPr>
              <w:spacing w:after="0"/>
              <w:rPr>
                <w:sz w:val="20"/>
                <w:szCs w:val="20"/>
                <w:color w:val="auto"/>
              </w:rPr>
            </w:pPr>
          </w:p>
        </w:tc>
      </w:tr>
    </w:tbl>
    <w:p>
      <w:pPr>
        <w:sectPr>
          <w:pgSz w:w="11900" w:h="16838" w:orient="portrait"/>
          <w:cols w:equalWidth="0" w:num="1">
            <w:col w:w="11420"/>
          </w:cols>
          <w:pgMar w:left="240" w:top="75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ectPr>
          <w:pgSz w:w="11900" w:h="16838" w:orient="portrait"/>
          <w:cols w:equalWidth="0" w:num="1">
            <w:col w:w="11420"/>
          </w:cols>
          <w:pgMar w:left="240" w:top="75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74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Receivables, net of allowance for doubtful accounts of $310 and $103,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assets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jc w:val="center"/>
              <w:ind w:left="430"/>
              <w:spacing w:after="0"/>
              <w:rPr>
                <w:sz w:val="20"/>
                <w:szCs w:val="20"/>
                <w:color w:val="auto"/>
              </w:rPr>
            </w:pPr>
            <w:r>
              <w:rPr>
                <w:rFonts w:ascii="Arial" w:cs="Arial" w:eastAsia="Arial" w:hAnsi="Arial"/>
                <w:sz w:val="18"/>
                <w:szCs w:val="18"/>
                <w:b w:val="1"/>
                <w:bCs w:val="1"/>
                <w:color w:val="auto"/>
                <w:w w:val="93"/>
              </w:rPr>
              <w:t>Unaudited</w:t>
            </w:r>
          </w:p>
        </w:tc>
        <w:tc>
          <w:tcPr>
            <w:tcW w:w="780" w:type="dxa"/>
            <w:vAlign w:val="bottom"/>
          </w:tcPr>
          <w:p>
            <w:pPr>
              <w:spacing w:after="0"/>
              <w:rPr>
                <w:sz w:val="18"/>
                <w:szCs w:val="18"/>
                <w:color w:val="auto"/>
              </w:rPr>
            </w:pPr>
          </w:p>
        </w:tc>
        <w:tc>
          <w:tcPr>
            <w:tcW w:w="128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Audited</w:t>
            </w:r>
          </w:p>
        </w:tc>
        <w:tc>
          <w:tcPr>
            <w:tcW w:w="520" w:type="dxa"/>
            <w:vAlign w:val="bottom"/>
          </w:tcPr>
          <w:p>
            <w:pPr>
              <w:spacing w:after="0"/>
              <w:rPr>
                <w:sz w:val="18"/>
                <w:szCs w:val="18"/>
                <w:color w:val="auto"/>
              </w:rPr>
            </w:pPr>
          </w:p>
        </w:tc>
      </w:tr>
      <w:tr>
        <w:trPr>
          <w:trHeight w:val="216"/>
        </w:trPr>
        <w:tc>
          <w:tcPr>
            <w:tcW w:w="1540" w:type="dxa"/>
            <w:vAlign w:val="bottom"/>
          </w:tcPr>
          <w:p>
            <w:pPr>
              <w:jc w:val="center"/>
              <w:ind w:left="410"/>
              <w:spacing w:after="0"/>
              <w:rPr>
                <w:sz w:val="20"/>
                <w:szCs w:val="20"/>
                <w:color w:val="auto"/>
              </w:rPr>
            </w:pPr>
            <w:r>
              <w:rPr>
                <w:rFonts w:ascii="Arial" w:cs="Arial" w:eastAsia="Arial" w:hAnsi="Arial"/>
                <w:sz w:val="18"/>
                <w:szCs w:val="18"/>
                <w:b w:val="1"/>
                <w:bCs w:val="1"/>
                <w:color w:val="auto"/>
                <w:w w:val="88"/>
              </w:rPr>
              <w:t>As of</w:t>
            </w:r>
          </w:p>
        </w:tc>
        <w:tc>
          <w:tcPr>
            <w:tcW w:w="780" w:type="dxa"/>
            <w:vAlign w:val="bottom"/>
          </w:tcPr>
          <w:p>
            <w:pPr>
              <w:spacing w:after="0"/>
              <w:rPr>
                <w:sz w:val="18"/>
                <w:szCs w:val="18"/>
                <w:color w:val="auto"/>
              </w:rPr>
            </w:pPr>
          </w:p>
        </w:tc>
        <w:tc>
          <w:tcPr>
            <w:tcW w:w="1280" w:type="dxa"/>
            <w:vAlign w:val="bottom"/>
          </w:tcPr>
          <w:p>
            <w:pPr>
              <w:jc w:val="center"/>
              <w:ind w:left="150"/>
              <w:spacing w:after="0"/>
              <w:rPr>
                <w:sz w:val="20"/>
                <w:szCs w:val="20"/>
                <w:color w:val="auto"/>
              </w:rPr>
            </w:pPr>
            <w:r>
              <w:rPr>
                <w:rFonts w:ascii="Arial" w:cs="Arial" w:eastAsia="Arial" w:hAnsi="Arial"/>
                <w:sz w:val="18"/>
                <w:szCs w:val="18"/>
                <w:b w:val="1"/>
                <w:bCs w:val="1"/>
                <w:color w:val="auto"/>
                <w:w w:val="88"/>
              </w:rPr>
              <w:t>As of</w:t>
            </w:r>
          </w:p>
        </w:tc>
        <w:tc>
          <w:tcPr>
            <w:tcW w:w="520" w:type="dxa"/>
            <w:vAlign w:val="bottom"/>
          </w:tcPr>
          <w:p>
            <w:pPr>
              <w:spacing w:after="0"/>
              <w:rPr>
                <w:sz w:val="18"/>
                <w:szCs w:val="18"/>
                <w:color w:val="auto"/>
              </w:rPr>
            </w:pPr>
          </w:p>
        </w:tc>
      </w:tr>
      <w:tr>
        <w:trPr>
          <w:trHeight w:val="241"/>
        </w:trPr>
        <w:tc>
          <w:tcPr>
            <w:tcW w:w="154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92"/>
              </w:rPr>
              <w:t>Sep 30, 2010</w:t>
            </w:r>
          </w:p>
        </w:tc>
        <w:tc>
          <w:tcPr>
            <w:tcW w:w="7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8"/>
              </w:rPr>
              <w:t>Dec 31, 2009</w:t>
            </w:r>
          </w:p>
        </w:tc>
        <w:tc>
          <w:tcPr>
            <w:tcW w:w="520" w:type="dxa"/>
            <w:vAlign w:val="bottom"/>
            <w:tcBorders>
              <w:bottom w:val="single" w:sz="8" w:color="auto"/>
            </w:tcBorders>
          </w:tcPr>
          <w:p>
            <w:pPr>
              <w:spacing w:after="0"/>
              <w:rPr>
                <w:sz w:val="20"/>
                <w:szCs w:val="20"/>
                <w:color w:val="auto"/>
              </w:rPr>
            </w:pPr>
          </w:p>
        </w:tc>
      </w:tr>
      <w:tr>
        <w:trPr>
          <w:trHeight w:val="634"/>
        </w:trPr>
        <w:tc>
          <w:tcPr>
            <w:tcW w:w="1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w w:val="90"/>
              </w:rPr>
              <w:t>11,516</w:t>
            </w:r>
          </w:p>
        </w:tc>
        <w:tc>
          <w:tcPr>
            <w:tcW w:w="1280" w:type="dxa"/>
            <w:vAlign w:val="bottom"/>
          </w:tcPr>
          <w:p>
            <w:pPr>
              <w:jc w:val="center"/>
              <w:ind w:left="1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9,494</w:t>
            </w:r>
          </w:p>
        </w:tc>
      </w:tr>
      <w:tr>
        <w:trPr>
          <w:trHeight w:val="216"/>
        </w:trPr>
        <w:tc>
          <w:tcPr>
            <w:tcW w:w="1540" w:type="dxa"/>
            <w:vAlign w:val="bottom"/>
          </w:tcPr>
          <w:p>
            <w:pPr>
              <w:spacing w:after="0"/>
              <w:rPr>
                <w:sz w:val="18"/>
                <w:szCs w:val="18"/>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8,805</w:t>
            </w: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6,571</w:t>
            </w:r>
          </w:p>
        </w:tc>
      </w:tr>
      <w:tr>
        <w:trPr>
          <w:trHeight w:val="216"/>
        </w:trPr>
        <w:tc>
          <w:tcPr>
            <w:tcW w:w="1540" w:type="dxa"/>
            <w:vAlign w:val="bottom"/>
          </w:tcPr>
          <w:p>
            <w:pPr>
              <w:spacing w:after="0"/>
              <w:rPr>
                <w:sz w:val="18"/>
                <w:szCs w:val="18"/>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6,024</w:t>
            </w: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6,236</w:t>
            </w:r>
          </w:p>
        </w:tc>
      </w:tr>
      <w:tr>
        <w:trPr>
          <w:trHeight w:val="216"/>
        </w:trPr>
        <w:tc>
          <w:tcPr>
            <w:tcW w:w="1540" w:type="dxa"/>
            <w:vAlign w:val="bottom"/>
          </w:tcPr>
          <w:p>
            <w:pPr>
              <w:spacing w:after="0"/>
              <w:rPr>
                <w:sz w:val="18"/>
                <w:szCs w:val="18"/>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3,340</w:t>
            </w: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3,128</w:t>
            </w:r>
          </w:p>
        </w:tc>
      </w:tr>
      <w:tr>
        <w:trPr>
          <w:trHeight w:val="237"/>
        </w:trPr>
        <w:tc>
          <w:tcPr>
            <w:tcW w:w="15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357</w:t>
            </w:r>
          </w:p>
        </w:tc>
        <w:tc>
          <w:tcPr>
            <w:tcW w:w="1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w:t>
            </w:r>
          </w:p>
        </w:tc>
      </w:tr>
      <w:tr>
        <w:trPr>
          <w:trHeight w:val="223"/>
        </w:trPr>
        <w:tc>
          <w:tcPr>
            <w:tcW w:w="1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0"/>
              </w:rPr>
              <w:t>30,042</w:t>
            </w:r>
          </w:p>
        </w:tc>
        <w:tc>
          <w:tcPr>
            <w:tcW w:w="1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27,038</w:t>
            </w:r>
          </w:p>
        </w:tc>
      </w:tr>
    </w:tbl>
    <w:p>
      <w:pPr>
        <w:spacing w:after="0" w:line="200" w:lineRule="exact"/>
        <w:rPr>
          <w:sz w:val="20"/>
          <w:szCs w:val="20"/>
          <w:color w:val="auto"/>
        </w:rPr>
      </w:pPr>
    </w:p>
    <w:p>
      <w:pPr>
        <w:sectPr>
          <w:pgSz w:w="11900" w:h="16838" w:orient="portrait"/>
          <w:cols w:equalWidth="0" w:num="2">
            <w:col w:w="6580" w:space="720"/>
            <w:col w:w="4120"/>
          </w:cols>
          <w:pgMar w:left="240" w:top="756"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Long-term inventory</w:t>
            </w:r>
          </w:p>
        </w:tc>
        <w:tc>
          <w:tcPr>
            <w:tcW w:w="3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4,135</w:t>
            </w:r>
          </w:p>
        </w:tc>
        <w:tc>
          <w:tcPr>
            <w:tcW w:w="8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3,151</w:t>
            </w:r>
          </w:p>
        </w:tc>
        <w:tc>
          <w:tcPr>
            <w:tcW w:w="8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Intangibles</w:t>
            </w:r>
          </w:p>
        </w:tc>
        <w:tc>
          <w:tcPr>
            <w:tcW w:w="3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2,832</w:t>
            </w:r>
          </w:p>
        </w:tc>
        <w:tc>
          <w:tcPr>
            <w:tcW w:w="8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Goodwill</w:t>
            </w:r>
          </w:p>
        </w:tc>
        <w:tc>
          <w:tcPr>
            <w:tcW w:w="3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726</w:t>
            </w:r>
          </w:p>
        </w:tc>
        <w:tc>
          <w:tcPr>
            <w:tcW w:w="8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Deferred income taxes</w:t>
            </w:r>
          </w:p>
        </w:tc>
        <w:tc>
          <w:tcPr>
            <w:tcW w:w="3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622</w:t>
            </w:r>
          </w:p>
        </w:tc>
        <w:tc>
          <w:tcPr>
            <w:tcW w:w="8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r>
              <w:rPr>
                <w:rFonts w:ascii="Arial" w:cs="Arial" w:eastAsia="Arial" w:hAnsi="Arial"/>
                <w:sz w:val="18"/>
                <w:szCs w:val="18"/>
                <w:color w:val="auto"/>
              </w:rPr>
              <w:t>Other assets</w:t>
            </w:r>
          </w:p>
        </w:tc>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18</w:t>
            </w: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line="196" w:lineRule="exact"/>
              <w:rPr>
                <w:sz w:val="20"/>
                <w:szCs w:val="20"/>
                <w:color w:val="auto"/>
              </w:rPr>
            </w:pPr>
            <w:r>
              <w:rPr>
                <w:rFonts w:ascii="Arial" w:cs="Arial" w:eastAsia="Arial" w:hAnsi="Arial"/>
                <w:sz w:val="18"/>
                <w:szCs w:val="18"/>
                <w:color w:val="auto"/>
              </w:rPr>
              <w:t>Total assets</w:t>
            </w:r>
          </w:p>
        </w:tc>
        <w:tc>
          <w:tcPr>
            <w:tcW w:w="3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41,526</w:t>
            </w:r>
          </w:p>
        </w:tc>
        <w:tc>
          <w:tcPr>
            <w:tcW w:w="8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41,575</w:t>
            </w:r>
          </w:p>
        </w:tc>
        <w:tc>
          <w:tcPr>
            <w:tcW w:w="0" w:type="dxa"/>
            <w:vAlign w:val="bottom"/>
          </w:tcPr>
          <w:p>
            <w:pPr>
              <w:spacing w:after="0"/>
              <w:rPr>
                <w:sz w:val="1"/>
                <w:szCs w:val="1"/>
                <w:color w:val="auto"/>
              </w:rPr>
            </w:pPr>
          </w:p>
        </w:tc>
      </w:tr>
      <w:tr>
        <w:trPr>
          <w:trHeight w:val="21"/>
        </w:trPr>
        <w:tc>
          <w:tcPr>
            <w:tcW w:w="7300" w:type="dxa"/>
            <w:vAlign w:val="bottom"/>
            <w:gridSpan w:val="3"/>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640" w:type="dxa"/>
            <w:vAlign w:val="bottom"/>
            <w:gridSpan w:val="4"/>
          </w:tcPr>
          <w:p>
            <w:pPr>
              <w:ind w:left="1700"/>
              <w:spacing w:after="0"/>
              <w:rPr>
                <w:sz w:val="20"/>
                <w:szCs w:val="20"/>
                <w:color w:val="auto"/>
              </w:rPr>
            </w:pPr>
            <w:r>
              <w:rPr>
                <w:rFonts w:ascii="Arial" w:cs="Arial" w:eastAsia="Arial" w:hAnsi="Arial"/>
                <w:sz w:val="18"/>
                <w:szCs w:val="18"/>
                <w:b w:val="1"/>
                <w:bCs w:val="1"/>
                <w:color w:val="auto"/>
              </w:rPr>
              <w:t>LIABILITIES AND SHAREHOLDERS' EQUITY</w:t>
            </w: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Current liabilities:</w:t>
            </w:r>
          </w:p>
        </w:tc>
        <w:tc>
          <w:tcPr>
            <w:tcW w:w="3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Accounts payable</w:t>
            </w:r>
          </w:p>
        </w:tc>
        <w:tc>
          <w:tcPr>
            <w:tcW w:w="3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2,188</w:t>
            </w:r>
          </w:p>
        </w:tc>
        <w:tc>
          <w:tcPr>
            <w:tcW w:w="8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Accrued liabilities</w:t>
            </w:r>
          </w:p>
        </w:tc>
        <w:tc>
          <w:tcPr>
            <w:tcW w:w="3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2,855</w:t>
            </w:r>
          </w:p>
        </w:tc>
        <w:tc>
          <w:tcPr>
            <w:tcW w:w="8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Current maturities of long-term debt</w:t>
            </w: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4,699</w:t>
            </w: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23"/>
        </w:trPr>
        <w:tc>
          <w:tcPr>
            <w:tcW w:w="23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3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9,742</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10,779</w:t>
            </w: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Deferred rent</w:t>
            </w:r>
          </w:p>
        </w:tc>
        <w:tc>
          <w:tcPr>
            <w:tcW w:w="3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608</w:t>
            </w:r>
          </w:p>
        </w:tc>
        <w:tc>
          <w:tcPr>
            <w:tcW w:w="8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297</w:t>
            </w: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23"/>
        </w:trPr>
        <w:tc>
          <w:tcPr>
            <w:tcW w:w="23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3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10,647</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12,477</w:t>
            </w: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Shareholders' equity:</w:t>
            </w:r>
          </w:p>
        </w:tc>
        <w:tc>
          <w:tcPr>
            <w:tcW w:w="3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60"/>
              <w:spacing w:after="0"/>
              <w:rPr>
                <w:sz w:val="20"/>
                <w:szCs w:val="20"/>
                <w:color w:val="auto"/>
              </w:rPr>
            </w:pPr>
            <w:r>
              <w:rPr>
                <w:rFonts w:ascii="Arial" w:cs="Arial" w:eastAsia="Arial" w:hAnsi="Arial"/>
                <w:sz w:val="18"/>
                <w:szCs w:val="18"/>
                <w:color w:val="auto"/>
                <w:w w:val="89"/>
              </w:rPr>
              <w:t>Common stock, par value $0.001, 50,000,000 shares authorized, 8,929,350</w:t>
            </w:r>
          </w:p>
        </w:tc>
        <w:tc>
          <w:tcPr>
            <w:tcW w:w="3140" w:type="dxa"/>
            <w:vAlign w:val="bottom"/>
            <w:gridSpan w:val="2"/>
          </w:tcPr>
          <w:p>
            <w:pPr>
              <w:jc w:val="right"/>
              <w:ind w:right="1490"/>
              <w:spacing w:after="0"/>
              <w:rPr>
                <w:sz w:val="20"/>
                <w:szCs w:val="20"/>
                <w:color w:val="auto"/>
              </w:rPr>
            </w:pPr>
            <w:r>
              <w:rPr>
                <w:rFonts w:ascii="Arial" w:cs="Arial" w:eastAsia="Arial" w:hAnsi="Arial"/>
                <w:sz w:val="18"/>
                <w:szCs w:val="18"/>
                <w:color w:val="auto"/>
                <w:w w:val="88"/>
              </w:rPr>
              <w:t>and 8,929,134 shares</w:t>
            </w: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issued and outstanding, respectively</w:t>
            </w: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9</w:t>
            </w:r>
          </w:p>
        </w:tc>
        <w:tc>
          <w:tcPr>
            <w:tcW w:w="8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39,034</w:t>
            </w:r>
          </w:p>
        </w:tc>
        <w:tc>
          <w:tcPr>
            <w:tcW w:w="8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38,810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Accumulated deficit</w:t>
            </w:r>
          </w:p>
        </w:tc>
        <w:tc>
          <w:tcPr>
            <w:tcW w:w="3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(8,164)</w:t>
            </w:r>
          </w:p>
        </w:tc>
        <w:tc>
          <w:tcPr>
            <w:tcW w:w="8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(9,721)</w:t>
            </w:r>
          </w:p>
        </w:tc>
        <w:tc>
          <w:tcPr>
            <w:tcW w:w="0" w:type="dxa"/>
            <w:vAlign w:val="bottom"/>
          </w:tcPr>
          <w:p>
            <w:pPr>
              <w:spacing w:after="0"/>
              <w:rPr>
                <w:sz w:val="1"/>
                <w:szCs w:val="1"/>
                <w:color w:val="auto"/>
              </w:rPr>
            </w:pPr>
          </w:p>
        </w:tc>
      </w:tr>
      <w:tr>
        <w:trPr>
          <w:trHeight w:val="237"/>
        </w:trPr>
        <w:tc>
          <w:tcPr>
            <w:tcW w:w="2300" w:type="dxa"/>
            <w:vAlign w:val="bottom"/>
          </w:tcPr>
          <w:p>
            <w:pPr>
              <w:ind w:left="180"/>
              <w:spacing w:after="0"/>
              <w:rPr>
                <w:sz w:val="20"/>
                <w:szCs w:val="20"/>
                <w:color w:val="auto"/>
              </w:rPr>
            </w:pPr>
            <w:r>
              <w:rPr>
                <w:rFonts w:ascii="Arial" w:cs="Arial" w:eastAsia="Arial" w:hAnsi="Arial"/>
                <w:sz w:val="18"/>
                <w:szCs w:val="18"/>
                <w:color w:val="auto"/>
              </w:rPr>
              <w:t>Total shareholders' equity</w:t>
            </w:r>
          </w:p>
        </w:tc>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30,879</w:t>
            </w: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29,098</w:t>
            </w:r>
          </w:p>
        </w:tc>
        <w:tc>
          <w:tcPr>
            <w:tcW w:w="0" w:type="dxa"/>
            <w:vAlign w:val="bottom"/>
          </w:tcPr>
          <w:p>
            <w:pPr>
              <w:spacing w:after="0"/>
              <w:rPr>
                <w:sz w:val="1"/>
                <w:szCs w:val="1"/>
                <w:color w:val="auto"/>
              </w:rPr>
            </w:pPr>
          </w:p>
        </w:tc>
      </w:tr>
      <w:tr>
        <w:trPr>
          <w:trHeight w:val="216"/>
        </w:trPr>
        <w:tc>
          <w:tcPr>
            <w:tcW w:w="55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1800" w:type="dxa"/>
            <w:vAlign w:val="bottom"/>
          </w:tcPr>
          <w:p>
            <w:pPr>
              <w:spacing w:after="0"/>
              <w:rPr>
                <w:sz w:val="18"/>
                <w:szCs w:val="18"/>
                <w:color w:val="auto"/>
              </w:rPr>
            </w:pPr>
          </w:p>
        </w:tc>
        <w:tc>
          <w:tcPr>
            <w:tcW w:w="13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41,526</w:t>
            </w:r>
          </w:p>
        </w:tc>
        <w:tc>
          <w:tcPr>
            <w:tcW w:w="8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41,575</w:t>
            </w: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rPr>
                <w:sz w:val="20"/>
                <w:szCs w:val="20"/>
                <w:color w:val="auto"/>
              </w:rPr>
            </w:pPr>
            <w:r>
              <w:rPr>
                <w:rFonts w:ascii="Arial" w:cs="Arial" w:eastAsia="Arial" w:hAnsi="Arial"/>
                <w:sz w:val="18"/>
                <w:szCs w:val="18"/>
                <w:color w:val="auto"/>
              </w:rPr>
              <w:t>Contact::</w:t>
            </w:r>
          </w:p>
        </w:tc>
        <w:tc>
          <w:tcPr>
            <w:tcW w:w="3200" w:type="dxa"/>
            <w:vAlign w:val="bottom"/>
            <w:vMerge w:val="restart"/>
          </w:tcPr>
          <w:p>
            <w:pPr>
              <w:ind w:left="240"/>
              <w:spacing w:after="0"/>
              <w:rPr>
                <w:sz w:val="20"/>
                <w:szCs w:val="20"/>
                <w:color w:val="auto"/>
              </w:rPr>
            </w:pPr>
            <w:r>
              <w:rPr>
                <w:rFonts w:ascii="Arial" w:cs="Arial" w:eastAsia="Arial" w:hAnsi="Arial"/>
                <w:sz w:val="18"/>
                <w:szCs w:val="18"/>
                <w:color w:val="auto"/>
              </w:rPr>
              <w:t>ClearOne Communications, Inc.</w:t>
            </w:r>
          </w:p>
        </w:tc>
        <w:tc>
          <w:tcPr>
            <w:tcW w:w="18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4"/>
        </w:trPr>
        <w:tc>
          <w:tcPr>
            <w:tcW w:w="2300" w:type="dxa"/>
            <w:vAlign w:val="bottom"/>
            <w:vMerge w:val="continue"/>
          </w:tcPr>
          <w:p>
            <w:pPr>
              <w:spacing w:after="0"/>
              <w:rPr>
                <w:sz w:val="24"/>
                <w:szCs w:val="24"/>
                <w:color w:val="auto"/>
              </w:rPr>
            </w:pPr>
          </w:p>
        </w:tc>
        <w:tc>
          <w:tcPr>
            <w:tcW w:w="320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Investor Relations</w:t>
            </w: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(801) 303-3555</w:t>
            </w:r>
          </w:p>
        </w:tc>
        <w:tc>
          <w:tcPr>
            <w:tcW w:w="1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5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2019-12-10T09:02:59Z</dcterms:created>
  <dcterms:modified xsi:type="dcterms:W3CDTF">2019-12-10T09:02:59Z</dcterms:modified>
</cp:coreProperties>
</file>