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November 18,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(November 16, 2022)</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8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001-33660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87-0398877</w:t>
            </w:r>
          </w:p>
        </w:tc>
        <w:tc>
          <w:tcPr>
            <w:tcW w:w="0" w:type="dxa"/>
            <w:vAlign w:val="bottom"/>
          </w:tcPr>
          <w:p>
            <w:pPr>
              <w:spacing w:after="0"/>
              <w:rPr>
                <w:sz w:val="1"/>
                <w:szCs w:val="1"/>
                <w:color w:val="auto"/>
              </w:rPr>
            </w:pPr>
          </w:p>
        </w:tc>
      </w:tr>
      <w:tr>
        <w:trPr>
          <w:trHeight w:val="228"/>
        </w:trPr>
        <w:tc>
          <w:tcPr>
            <w:tcW w:w="44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387"/>
        </w:trPr>
        <w:tc>
          <w:tcPr>
            <w:tcW w:w="7620" w:type="dxa"/>
            <w:vAlign w:val="bottom"/>
            <w:tcBorders>
              <w:bottom w:val="single" w:sz="8" w:color="auto"/>
            </w:tcBorders>
            <w:gridSpan w:val="6"/>
          </w:tcPr>
          <w:p>
            <w:pPr>
              <w:ind w:left="1240"/>
              <w:spacing w:after="0"/>
              <w:rPr>
                <w:sz w:val="20"/>
                <w:szCs w:val="20"/>
                <w:color w:val="auto"/>
              </w:rPr>
            </w:pPr>
            <w:r>
              <w:rPr>
                <w:rFonts w:ascii="Times New Roman" w:cs="Times New Roman" w:eastAsia="Times New Roman" w:hAnsi="Times New Roman"/>
                <w:sz w:val="18"/>
                <w:szCs w:val="18"/>
                <w:b w:val="1"/>
                <w:bCs w:val="1"/>
                <w:color w:val="auto"/>
              </w:rPr>
              <w:t>5225 Wiley Post Way, Suite 500, Salt Lake City, Utah</w:t>
            </w:r>
          </w:p>
        </w:tc>
        <w:tc>
          <w:tcPr>
            <w:tcW w:w="3600" w:type="dxa"/>
            <w:vAlign w:val="bottom"/>
            <w:tcBorders>
              <w:bottom w:val="single" w:sz="8" w:color="auto"/>
            </w:tcBorders>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84116</w:t>
            </w:r>
          </w:p>
        </w:tc>
        <w:tc>
          <w:tcPr>
            <w:tcW w:w="0" w:type="dxa"/>
            <w:vAlign w:val="bottom"/>
          </w:tcPr>
          <w:p>
            <w:pPr>
              <w:spacing w:after="0"/>
              <w:rPr>
                <w:sz w:val="1"/>
                <w:szCs w:val="1"/>
                <w:color w:val="auto"/>
              </w:rPr>
            </w:pPr>
          </w:p>
        </w:tc>
      </w:tr>
      <w:tr>
        <w:trPr>
          <w:trHeight w:val="228"/>
        </w:trPr>
        <w:tc>
          <w:tcPr>
            <w:tcW w:w="7620" w:type="dxa"/>
            <w:vAlign w:val="bottom"/>
            <w:gridSpan w:val="6"/>
          </w:tcPr>
          <w:p>
            <w:pPr>
              <w:ind w:left="19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319"/>
        </w:trPr>
        <w:tc>
          <w:tcPr>
            <w:tcW w:w="4580" w:type="dxa"/>
            <w:vAlign w:val="bottom"/>
            <w:gridSpan w:val="3"/>
            <w:vMerge w:val="restart"/>
          </w:tcPr>
          <w:p>
            <w:pPr>
              <w:ind w:left="3700"/>
              <w:spacing w:after="0"/>
              <w:rPr>
                <w:sz w:val="20"/>
                <w:szCs w:val="20"/>
                <w:color w:val="auto"/>
              </w:rPr>
            </w:pPr>
            <w:r>
              <w:rPr>
                <w:rFonts w:ascii="Times New Roman" w:cs="Times New Roman" w:eastAsia="Times New Roman" w:hAnsi="Times New Roman"/>
                <w:sz w:val="18"/>
                <w:szCs w:val="18"/>
                <w:color w:val="auto"/>
                <w:w w:val="92"/>
              </w:rPr>
              <w:t>(Registrant’s</w:t>
            </w:r>
          </w:p>
        </w:tc>
        <w:tc>
          <w:tcPr>
            <w:tcW w:w="2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 (801) 975-7200</w:t>
            </w: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area code)</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80" w:type="dxa"/>
            <w:vAlign w:val="bottom"/>
            <w:gridSpan w:val="3"/>
            <w:vMerge w:val="continue"/>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telephone number, including</w:t>
            </w:r>
          </w:p>
        </w:tc>
        <w:tc>
          <w:tcPr>
            <w:tcW w:w="900" w:type="dxa"/>
            <w:vAlign w:val="bottom"/>
            <w:gridSpan w:val="2"/>
            <w:vMerge w:val="continue"/>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p>
      <w:pPr>
        <w:ind w:left="540" w:hanging="525"/>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40" w:hanging="525"/>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40" w:hanging="525"/>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40" w:hanging="525"/>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178" w:lineRule="exact"/>
        <w:rPr>
          <w:sz w:val="24"/>
          <w:szCs w:val="24"/>
          <w:color w:val="auto"/>
        </w:rPr>
      </w:pPr>
    </w:p>
    <w:p>
      <w:pPr>
        <w:ind w:right="5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1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42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416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601"/>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16, 2022 ClearOne, Inc. (the “Company”) held its 2022 annual meeting of shareholders (the “Annual Meeting”) at which shareholders voted on two proposals listed below. The final voting result with respect to the proposal is also set forth below. As of September 29, 2022, the record date for the Annual Meeting, there were 23,952,555 shares of common stock issued and outstanding.</w:t>
      </w:r>
    </w:p>
    <w:p>
      <w:pPr>
        <w:spacing w:after="0" w:line="203" w:lineRule="exact"/>
        <w:rPr>
          <w:sz w:val="20"/>
          <w:szCs w:val="20"/>
          <w:color w:val="auto"/>
        </w:rPr>
      </w:pPr>
    </w:p>
    <w:p>
      <w:pPr>
        <w:ind w:left="400" w:right="260" w:hanging="364"/>
        <w:spacing w:after="0" w:line="282" w:lineRule="auto"/>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All five directors were re-elected to serve terms expiring at the 2022 annual meeting of shareholders or until their successors are duly elected and qualified.</w:t>
      </w:r>
    </w:p>
    <w:p>
      <w:pPr>
        <w:spacing w:after="0" w:line="39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Nominee</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Votes for</w:t>
            </w:r>
          </w:p>
        </w:tc>
        <w:tc>
          <w:tcPr>
            <w:tcW w:w="34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Votes withheld</w:t>
            </w:r>
          </w:p>
        </w:tc>
        <w:tc>
          <w:tcPr>
            <w:tcW w:w="3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Votes abstained</w:t>
            </w:r>
          </w:p>
        </w:tc>
        <w:tc>
          <w:tcPr>
            <w:tcW w:w="34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8"/>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Larry R. Hendricks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14,057,026</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387,822</w:t>
            </w:r>
          </w:p>
        </w:tc>
        <w:tc>
          <w:tcPr>
            <w:tcW w:w="3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5,948,194</w:t>
            </w:r>
          </w:p>
        </w:tc>
      </w:tr>
      <w:tr>
        <w:trPr>
          <w:trHeight w:val="257"/>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B. Higley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13,512,186</w:t>
            </w:r>
          </w:p>
        </w:tc>
        <w:tc>
          <w:tcPr>
            <w:tcW w:w="34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932,662</w:t>
            </w:r>
          </w:p>
        </w:tc>
        <w:tc>
          <w:tcPr>
            <w:tcW w:w="320" w:type="dxa"/>
            <w:vAlign w:val="bottom"/>
          </w:tcPr>
          <w:p>
            <w:pPr>
              <w:spacing w:after="0"/>
              <w:rPr>
                <w:sz w:val="22"/>
                <w:szCs w:val="22"/>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5,948,194</w:t>
            </w:r>
          </w:p>
        </w:tc>
      </w:tr>
      <w:tr>
        <w:trPr>
          <w:trHeight w:val="257"/>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 Robinson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13,508,984</w:t>
            </w:r>
          </w:p>
        </w:tc>
        <w:tc>
          <w:tcPr>
            <w:tcW w:w="34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935,864</w:t>
            </w:r>
          </w:p>
        </w:tc>
        <w:tc>
          <w:tcPr>
            <w:tcW w:w="320" w:type="dxa"/>
            <w:vAlign w:val="bottom"/>
          </w:tcPr>
          <w:p>
            <w:pPr>
              <w:spacing w:after="0"/>
              <w:rPr>
                <w:sz w:val="22"/>
                <w:szCs w:val="22"/>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5,948,194</w:t>
            </w:r>
          </w:p>
        </w:tc>
      </w:tr>
      <w:tr>
        <w:trPr>
          <w:trHeight w:val="275"/>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Whaley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14,045,154</w:t>
            </w:r>
          </w:p>
        </w:tc>
        <w:tc>
          <w:tcPr>
            <w:tcW w:w="34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399,694</w:t>
            </w:r>
          </w:p>
        </w:tc>
        <w:tc>
          <w:tcPr>
            <w:tcW w:w="320" w:type="dxa"/>
            <w:vAlign w:val="bottom"/>
          </w:tcPr>
          <w:p>
            <w:pPr>
              <w:spacing w:after="0"/>
              <w:rPr>
                <w:sz w:val="23"/>
                <w:szCs w:val="23"/>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5,948,194</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right="200" w:hanging="365"/>
        <w:spacing w:after="0" w:line="282" w:lineRule="auto"/>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compensation of the Company’s named executive officers: Shareholders approved the compensation of the Company’s named executive officers.</w:t>
      </w: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Votes for</w:t>
            </w: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Votes against</w:t>
            </w:r>
          </w:p>
        </w:tc>
        <w:tc>
          <w:tcPr>
            <w:tcW w:w="2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Votes abstained</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28"/>
        </w:trPr>
        <w:tc>
          <w:tcPr>
            <w:tcW w:w="17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13,428,891</w:t>
            </w:r>
          </w:p>
        </w:tc>
        <w:tc>
          <w:tcPr>
            <w:tcW w:w="340" w:type="dxa"/>
            <w:vAlign w:val="bottom"/>
          </w:tcPr>
          <w:p>
            <w:pPr>
              <w:spacing w:after="0"/>
              <w:rPr>
                <w:sz w:val="19"/>
                <w:szCs w:val="19"/>
                <w:color w:val="auto"/>
              </w:rPr>
            </w:pPr>
          </w:p>
        </w:tc>
        <w:tc>
          <w:tcPr>
            <w:tcW w:w="1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991,785</w:t>
            </w:r>
          </w:p>
        </w:tc>
        <w:tc>
          <w:tcPr>
            <w:tcW w:w="340" w:type="dxa"/>
            <w:vAlign w:val="bottom"/>
          </w:tcPr>
          <w:p>
            <w:pPr>
              <w:spacing w:after="0"/>
              <w:rPr>
                <w:sz w:val="19"/>
                <w:szCs w:val="19"/>
                <w:color w:val="auto"/>
              </w:rPr>
            </w:pPr>
          </w:p>
        </w:tc>
        <w:tc>
          <w:tcPr>
            <w:tcW w:w="168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24,173</w:t>
            </w:r>
          </w:p>
        </w:tc>
        <w:tc>
          <w:tcPr>
            <w:tcW w:w="340" w:type="dxa"/>
            <w:vAlign w:val="bottom"/>
          </w:tcPr>
          <w:p>
            <w:pPr>
              <w:spacing w:after="0"/>
              <w:rPr>
                <w:sz w:val="19"/>
                <w:szCs w:val="19"/>
                <w:color w:val="auto"/>
              </w:rPr>
            </w:pPr>
          </w:p>
        </w:tc>
        <w:tc>
          <w:tcPr>
            <w:tcW w:w="16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5,948,193</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100" w:type="dxa"/>
            <w:vAlign w:val="bottom"/>
          </w:tcPr>
          <w:p>
            <w:pPr>
              <w:spacing w:after="0"/>
              <w:rPr>
                <w:sz w:val="20"/>
                <w:szCs w:val="20"/>
                <w:color w:val="auto"/>
              </w:rPr>
            </w:pP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 104.1</w:t>
            </w:r>
          </w:p>
        </w:tc>
        <w:tc>
          <w:tcPr>
            <w:tcW w:w="10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574"/>
        </w:trPr>
        <w:tc>
          <w:tcPr>
            <w:tcW w:w="114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CLEARONE, INC.</w:t>
      </w:r>
    </w:p>
    <w:p>
      <w:pPr>
        <w:spacing w:after="0" w:line="250"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Date: November 18, 2022</w:t>
      </w:r>
      <w:r>
        <w:rPr>
          <w:sz w:val="20"/>
          <w:szCs w:val="20"/>
          <w:color w:val="auto"/>
        </w:rPr>
        <w:tab/>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18415</wp:posOffset>
            </wp:positionV>
            <wp:extent cx="3763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Narsi Narayanan</w:t>
      </w:r>
    </w:p>
    <w:p>
      <w:pPr>
        <w:spacing w:after="0" w:line="24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00"/>
      </w:cols>
      <w:pgMar w:left="320" w:top="54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2022-11-18T15:35:02Z</dcterms:created>
  <dcterms:modified xsi:type="dcterms:W3CDTF">2022-11-18T15:35:02Z</dcterms:modified>
</cp:coreProperties>
</file>