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510"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2024</w:t>
      </w:r>
    </w:p>
    <w:p>
      <w:pPr>
        <w:spacing w:after="0" w:line="3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transition period _______ to 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540"/>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18"/>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Larger Accelerated Filer </w:t>
            </w:r>
            <w:r>
              <w:rPr>
                <w:rFonts w:ascii="MS PGothic" w:cs="MS PGothic" w:eastAsia="MS PGothic" w:hAnsi="MS PGothic"/>
                <w:sz w:val="18"/>
                <w:szCs w:val="18"/>
                <w:color w:val="auto"/>
              </w:rPr>
              <w:t>☐</w:t>
            </w: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70"/>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00" w:type="dxa"/>
            <w:vAlign w:val="bottom"/>
          </w:tcPr>
          <w:p>
            <w:pPr>
              <w:ind w:left="1820"/>
              <w:spacing w:after="0" w:line="207" w:lineRule="exact"/>
              <w:rPr>
                <w:sz w:val="20"/>
                <w:szCs w:val="20"/>
                <w:color w:val="auto"/>
              </w:rPr>
            </w:pPr>
            <w:r>
              <w:rPr>
                <w:rFonts w:ascii="Times New Roman" w:cs="Times New Roman" w:eastAsia="Times New Roman" w:hAnsi="Times New Roman"/>
                <w:sz w:val="18"/>
                <w:szCs w:val="18"/>
                <w:color w:val="auto"/>
                <w:w w:val="99"/>
              </w:rPr>
              <w:t xml:space="preserve">Emerging Growth Company </w:t>
            </w:r>
            <w:r>
              <w:rPr>
                <w:rFonts w:ascii="MS PGothic" w:cs="MS PGothic" w:eastAsia="MS PGothic" w:hAnsi="MS PGothic"/>
                <w:sz w:val="18"/>
                <w:szCs w:val="18"/>
                <w:color w:val="auto"/>
                <w:w w:val="99"/>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November 13, 2024 was 23,969,148.</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SEPTEMBER 30, 2024</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shd w:val="clear" w:color="auto" w:fill="CCEEFF"/>
          </w:tcPr>
          <w:p>
            <w:pPr>
              <w:spacing w:after="0"/>
              <w:rPr>
                <w:sz w:val="20"/>
                <w:szCs w:val="20"/>
                <w:color w:val="auto"/>
              </w:rPr>
            </w:pPr>
          </w:p>
        </w:tc>
        <w:tc>
          <w:tcPr>
            <w:tcW w:w="8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3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2024 and December 31, 2023</w:t>
            </w:r>
          </w:p>
        </w:tc>
        <w:tc>
          <w:tcPr>
            <w:tcW w:w="13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89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nine months ended</w:t>
            </w:r>
          </w:p>
        </w:tc>
        <w:tc>
          <w:tcPr>
            <w:tcW w:w="1380" w:type="dxa"/>
            <w:vAlign w:val="bottom"/>
            <w:tcBorders>
              <w:bottom w:val="single" w:sz="8" w:color="CCEEFF"/>
            </w:tcBorders>
            <w:vMerge w:val="restart"/>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9"/>
        </w:trPr>
        <w:tc>
          <w:tcPr>
            <w:tcW w:w="920" w:type="dxa"/>
            <w:vAlign w:val="bottom"/>
            <w:shd w:val="clear" w:color="auto" w:fill="CCEEFF"/>
          </w:tcPr>
          <w:p>
            <w:pPr>
              <w:spacing w:after="0"/>
              <w:rPr>
                <w:sz w:val="11"/>
                <w:szCs w:val="11"/>
                <w:color w:val="auto"/>
              </w:rPr>
            </w:pPr>
          </w:p>
        </w:tc>
        <w:tc>
          <w:tcPr>
            <w:tcW w:w="8940" w:type="dxa"/>
            <w:vAlign w:val="bottom"/>
            <w:gridSpan w:val="17"/>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8940" w:type="dxa"/>
            <w:vAlign w:val="bottom"/>
            <w:gridSpan w:val="17"/>
            <w:vMerge w:val="continue"/>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2024 and 2023</w:t>
            </w:r>
          </w:p>
        </w:tc>
        <w:tc>
          <w:tcPr>
            <w:tcW w:w="13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36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13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3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340" w:type="dxa"/>
            <w:vAlign w:val="bottom"/>
            <w:tcBorders>
              <w:bottom w:val="single" w:sz="8" w:color="CCEEFF"/>
            </w:tcBorders>
            <w:gridSpan w:val="16"/>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14,269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4,054</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2,237</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2,057</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23,969,148 and 23,969,148 shares issued and</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31,640</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(7,856)</w:t>
            </w: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3,273</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6,687</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2,819</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(7,190)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(2,046)</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23,957,311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23,957,311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51,143</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w:t>
            </w: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(9,389)</w:t>
            </w:r>
          </w:p>
        </w:tc>
      </w:tr>
      <w:tr>
        <w:trPr>
          <w:trHeight w:val="20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tcPr>
          <w:p>
            <w:pPr>
              <w:spacing w:after="0"/>
              <w:rPr>
                <w:sz w:val="18"/>
                <w:szCs w:val="18"/>
                <w:color w:val="auto"/>
              </w:rPr>
            </w:pPr>
          </w:p>
        </w:tc>
      </w:tr>
      <w:tr>
        <w:trPr>
          <w:trHeight w:val="210"/>
        </w:trPr>
        <w:tc>
          <w:tcPr>
            <w:tcW w:w="7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payment</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(28,979)</w:t>
            </w: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(2,675)</w:t>
            </w:r>
          </w:p>
        </w:tc>
      </w:tr>
      <w:tr>
        <w:trPr>
          <w:trHeight w:val="223"/>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00" w:type="dxa"/>
            <w:vAlign w:val="bottom"/>
            <w:tcBorders>
              <w:bottom w:val="single" w:sz="8" w:color="CCEEFF"/>
            </w:tcBorders>
          </w:tcPr>
          <w:p>
            <w:pPr>
              <w:spacing w:after="0"/>
              <w:rPr>
                <w:sz w:val="19"/>
                <w:szCs w:val="19"/>
                <w:color w:val="auto"/>
              </w:rPr>
            </w:pPr>
          </w:p>
        </w:tc>
      </w:tr>
      <w:tr>
        <w:trPr>
          <w:trHeight w:val="210"/>
        </w:trPr>
        <w:tc>
          <w:tcPr>
            <w:tcW w:w="7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2024 and December 31, 2023, the results of operations for the three and nine months ended September 30, 2024 and 2023, and the cash flows for the nine months ended September 30, 2024 and 2023. The results of operations for the three and nine months ended September 30, 2024 and 2023 are not necessarily indicative of the results for a full-year period. These interim unaudited condensed consolidated financial statements should be read in conjunction with the financial statements included in our Annual Report on Form 10-K for the year ended December 31, 2023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2023. There have been no changes to these policies during the quarter ended September 30, 2024 that are of significance or potential significance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our cash and cash equivalents were approximately $1,685 compared to $17,835 as of December 31, 2023. Our working capital was $19,712 as of September 30, 2024. Net cash used in operating activities was $4,575 for the nine months ended September 30, 2024, a decrease of $55,718 compared to $51,143 of cash provided by operating activities for the nine months ended September 30, 2023. The decrease in cash is mainly due to payment of dividends $14,496 in April 2024 and $28,979 in May 2023. These conditions raise substantial doubt about continuing as a going concern. The Company believes, although there can be no assurance, that the current cash position and effective management of working capital, will provide the liquidity needed to meet our operating needs through at least November 14,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9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3,357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1,172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260" w:type="dxa"/>
            <w:vAlign w:val="bottom"/>
          </w:tcPr>
          <w:p>
            <w:pPr>
              <w:spacing w:after="0"/>
              <w:rPr>
                <w:sz w:val="19"/>
                <w:szCs w:val="19"/>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2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2,504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3"/>
              </w:rPr>
              <w:t>8,430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3,236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1,358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26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2,504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3"/>
              </w:rPr>
              <w:t>8,430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loss per share does not assume exercise or conversion of securities that would have an anti-dilutive effect.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the amount of net loss for the period available to each weighted-average share of common stock outstanding during the reporting period. Diluted loss per common share is the amount of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23,957,311</w:t>
            </w: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23,969,148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23,960,313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23,969,148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23,957,311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5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options, warrants and convertible portion of senior</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outstanding</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5,515,489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6,294,994</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5,579,061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6,316,137</w:t>
            </w: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options, warrants and convertible portion of senior</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not included in the computation</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5,515,489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6,294,994</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5,579,061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6,316,137</w:t>
            </w:r>
          </w:p>
        </w:tc>
      </w:tr>
      <w:tr>
        <w:trPr>
          <w:trHeight w:val="459"/>
        </w:trPr>
        <w:tc>
          <w:tcPr>
            <w:tcW w:w="5260" w:type="dxa"/>
            <w:vAlign w:val="bottom"/>
          </w:tcPr>
          <w:p>
            <w:pPr>
              <w:spacing w:after="0"/>
              <w:rPr>
                <w:sz w:val="24"/>
                <w:szCs w:val="24"/>
                <w:color w:val="auto"/>
              </w:rPr>
            </w:pP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as of September 30, 2024 and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32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in an unrealized loss position as of September 30, 2024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6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6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0"/>
                <w:szCs w:val="20"/>
                <w:color w:val="auto"/>
              </w:rPr>
            </w:pPr>
          </w:p>
        </w:tc>
        <w:tc>
          <w:tcPr>
            <w:tcW w:w="12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6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September 30, 2024 and December 31, 2023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760" w:type="dxa"/>
            <w:vAlign w:val="bottom"/>
          </w:tcPr>
          <w:p>
            <w:pPr>
              <w:spacing w:after="0"/>
              <w:rPr>
                <w:sz w:val="20"/>
                <w:szCs w:val="20"/>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09"/>
        </w:trPr>
        <w:tc>
          <w:tcPr>
            <w:tcW w:w="6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(9,358)</w:t>
            </w:r>
          </w:p>
        </w:tc>
      </w:tr>
      <w:tr>
        <w:trPr>
          <w:trHeight w:val="223"/>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three and nine months ended September 30, 2024 and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9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r>
      <w:tr>
        <w:trPr>
          <w:trHeight w:val="459"/>
        </w:trPr>
        <w:tc>
          <w:tcPr>
            <w:tcW w:w="3960" w:type="dxa"/>
            <w:vAlign w:val="bottom"/>
          </w:tcPr>
          <w:p>
            <w:pPr>
              <w:spacing w:after="0"/>
              <w:rPr>
                <w:sz w:val="24"/>
                <w:szCs w:val="24"/>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September 30, 2024 and December 31, 2023 consisted of the following:</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8,539</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three and nine months ended September 30, 2024 and 2023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5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78"/>
        </w:trPr>
        <w:tc>
          <w:tcPr>
            <w:tcW w:w="5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(gain) incurred on valuation of inventory at lower of cost or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value and write-off of obsolete inventory</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three and nine months ended September 30, 2024 and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which expired in August 2024. This facility supports the Company's administrative, marketing, customer support, and research and product development activities. The lease is currently operating on a month-to-month basis. The Company is planning to renew the lease.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tcPr>
          <w:p>
            <w:pPr>
              <w:spacing w:after="0"/>
              <w:rPr>
                <w:sz w:val="24"/>
                <w:szCs w:val="24"/>
                <w:color w:val="auto"/>
              </w:rPr>
            </w:pPr>
          </w:p>
        </w:tc>
        <w:tc>
          <w:tcPr>
            <w:tcW w:w="148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September 30, 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(Remainder)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31,640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74,934</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(28,979)</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23,501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42,013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 of Common Stock and Warrants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plans for the nine months ended September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4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4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beginning of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end of September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remaining unrecognized compensation cost related to non-vested stock options, net of forfeitures, was approximately $77, which will be recognized over a weighted average period of 2.2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expense has been recorded as follows: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520" w:type="dxa"/>
            <w:vAlign w:val="bottom"/>
          </w:tcPr>
          <w:p>
            <w:pPr>
              <w:spacing w:after="0"/>
              <w:rPr>
                <w:sz w:val="24"/>
                <w:szCs w:val="24"/>
                <w:color w:val="auto"/>
              </w:rPr>
            </w:pPr>
          </w:p>
        </w:tc>
        <w:tc>
          <w:tcPr>
            <w:tcW w:w="29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5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nine months ended September 30, 2024 mostly represents income tax expense (benefit) recorded for jurisdictions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approximately $1,079 of uncertain tax positions as of September 30, 2024. Due to the inherent uncertainty of the underlying tax positions, it is not possible to forecast the payment of this liability for any particular year, therefore, it is reflected in other long-term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September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our expectations regarding the ongoing transition of manufacturing of our products from China to Singapore by our electronics manufacturing services provider;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2023.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for the period ended September 30, 2024 and in Part I, Item 1A “Risk Factors” in our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11, 2024, we announced a one-time special cash dividend of $0.50 per share of ClearOne common stock, paid on April 10, 2024 to shareholders of record on April 2,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2024 we 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DIALOG® UVHF wireless Microphone system was named a winner of the 2024 Communications Solutions products of the year award.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2024, ClearOne recorded a 31% increase in unique visitors at our 2024 Infocomm India trade show booth, while the overall annual increase of all attendees at that trade show was only 17%.</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revenue decreased by 49% in the third quarter of 2024 when compared to the third quarter of 2023, primarily due to a significant decrease in revenues from the audio-conferencing category. The revenue decline was also caused by significantly reduced demand for our products in many regions including USA, Europe and China when compared to 2023-Q3 revenues. We believe this revenue decline was primarily due to the cumulative impact of past production shortages. We believe that lack of product availability has caused some of our channel partners to purchase and install competing brands. Historically, we have seen a lag of several months between the time that our professional conferencing products are specified for installation and the date when those products are installed. Since our product availability was constrained through a significant part of Q4 2023, we believe our revenue was impacted negatively by these market dynamics through much of Q3 2024. We have also faced sales headwinds from our products’ lack of Microsoft Teams certification, despite their longtime functional compatibility with this platform. Our work through the first nine months of 2024 has focused on mitigating these impacts through maintaining consistent dialogues, product demonstrations, and feedback cycles with end users and channel partners, along with improving our visibility at key industry events. In addition, we saw a reduction in sales in the Middle East region, where we had previously experienced consistent sales growth, as we transitioned to a new distributor for the Middle East region. We believe our revenue performance in 2024-Q3 compared to 2023-Q3 also was to a small extent impacted negatively due to increased costs associated with electronic raw materials that have affected the global manufacturing of high tech products. We expect these increased costs in various degrees to continue through the remainder of 2024 and 2025.</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decreased to 24.4% during the third quarter of 2024 from 33.1% during the third quarter of 2023. Our gross profit margin decreased to 20.7% during the first nine months of 2024 compared to 32.8% during the first nine months of 2023. This is due to scrapping of inventory items and selling aged inventory at larger discounts.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increased from $(1.4) million in the third quarter of 2023 to $(2.1) million in the third quarter of 2024. The increase in net loss was mainly due to</w:t>
      </w:r>
    </w:p>
    <w:p>
      <w:pPr>
        <w:spacing w:after="0" w:line="27" w:lineRule="exact"/>
        <w:rPr>
          <w:sz w:val="20"/>
          <w:szCs w:val="20"/>
          <w:color w:val="auto"/>
        </w:rPr>
      </w:pPr>
    </w:p>
    <w:p>
      <w:pPr>
        <w:jc w:val="both"/>
        <w:ind w:firstLine="8"/>
        <w:spacing w:after="0" w:line="255"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revenues and decrease in gross margin from purchase price variances from increasing vendor costs and sales price discounts. Net loss increased from $(3.2) million for the first nine months of 2023 to $(6.8) million for the first nine months of 2024. The increase was mainly due to (a) decrease in revenue by $6.1 million, (b) significant decrease in Gross margin from 32.8% to 20.7% and (c) decrease in interest income.</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generating operating profits through our strategic initiatives namely product innovation and cost reduction.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 gain market share and achieve certain non-financial goals. It has become increasingly important to have higher interoperability with other products in the audio-visual market as well as certifications from leading video conferencing service providers like Microsoft and Zoom.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audio-conferencing products, which is our flagship product category, continue to be ahead of the competition despite the reduction in revenues. Our strength in this space is largely due to our fully integrated suite of products consisting of DSP wide range of professional microphone products and video collaboration products. Despite our strong leadership position in the installed professional audio-conferencing market, we face challenges to revenue growth due to the lack of component availability to build our products in 2023 driving growth to competitors, pricing pressures from new competitors attracted to the commercial market due to higher margins, and the lack of certifications from Microsoft. Notably, the Microsoft Teams device certification program is closed to new meeting room devices and solutions. Although we have requested admission into this certification program on multiple occasions ClearOne has been denied admission by Microsoft so far.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audio-conferencing products and microphones, and offering a wide range of innovative professional cameras will generate growth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 (approximately 61.6% in the first nine months of 2024) from operations outside North and South America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$22 thousand on September 30, 2024 compared to $30 thousand on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and nine months ended September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and nine months ended September 30, 2024 (“2024-Q3”) ("2024-YTD") and 2023 ("2023-Q3") ("2023-YTD"), respectively, together with the percentage of total revenue which each such item represents: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4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96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7"/>
        </w:trPr>
        <w:tc>
          <w:tcPr>
            <w:tcW w:w="26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Favorable</w:t>
            </w: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(Adverse) in %</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(Adverse) in %</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6,687</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product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2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decreased to $2.5 million in 2024-Q3 compared to $4.9 million in 2023-Q3 due to a 50% decline in audio conferencing, a 40% decline in video products, and a 50% decrease in microphones. Our traditional ceiling mics, personal audio-conferencing products, and video cameras suffered revenue declines due to lack of demand and the loss of the major customer. When comparing 2024-Q3 to 2023-Q3, all sales regions suffered revenue loss. Revenues from Americas declined by 61%, from Europe and Africa by 50%, and from Asia Pacific (including Middle East, India and Australia) by 34%.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decreased to $8.4 million in 2024-YTD compared to $14.6 million 2023-YTD due to a 48% decline in audio conferencing, a 30% decline in video products, and a 39% decrease in microphones. Our traditional ceiling mics, personal audio-conferencing products. and video cameras suffered revenue declines due to lack of demand. When comparing 2024-YTD to 2023-YTD, all sales regions suffered revenue loss. Revenues from Americas decline by 56%, from Europe and Africa by 44%, and from Asia Pacific (including Middle east, India and Australia) by 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margin decreased from 33.1% during 2023-Q3 to 24.4% during 2024-Q3.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was due to discounting products to close sales and an increase in purchase price variances from increasing vendor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margin decreased from 32.8% during 2023-YTD to 20.7% during 2024-YTD.</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decline was due to increased inventory scrap and write-off costs, discounting products to close sales, and an increase in purchase price variance from increasing vendor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in the near term continues to depend significantly on our revenues from professionally installed audio-conferencing products. We hold long-term inventory and if we are unable to sell our long-term inventory, our profitability might be affected by inventory write-offs and price mark-downs. Our long-term inventory consists primarily of three product categories. These categories are as follows: Converge Pro and Beamforming microphone array products, cameras, and raw materials that will be used primarily for manufacturing professional audio-conferencing products and BMA microphones. Any business changes that are adverse to these product lines could potentially impact our ability to sell our long-term inventory in addition to our current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in 2024-Q3 were $2.8 million compared to $3.1 million in 2023-Q3. Total operating expenses were $8.9 million for 2024-YTD compared to $9.8 million for 2023-YTD.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expenses remained consistent in 2024-Q3 , $1.1 million compared to $1.1 million in 2023-Q3.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expenses remained consistent in 2024-YTD $3.6 million compared to $3.6 million in 2023-YTD.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remained consistent in 2024-Q3, $0.8 million compared to $0.8 million in 2023-Q3.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to $2.5 million in 2024-YTD compared to $2.8 million for 2023- YTD. The reduction was primarily due to a reduction in personnel.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decreased to $1.0 million in 2024-Q3 compared to $1.1 million in 2023-Q3. The reduction was primarily due to (a) decrease in insurance expenses, (b) and a reduction in amortization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decreased to $2.8 million in 2024-YTD compared to $3.4 million in 2023-YTD. The reduction was primarily due to (a) a decrease in legal expenses, (b) and a decrease in insurance expenses, (c) reduction in employee-related expenses, (d) and a reduction in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$0 in 2024-Q3 compared to $0.1 million in 2023-Q3. Interest expense decreased to $0.3 million in 2024-YTD compared to $0.5 million in 2023-YTD. The interest expense was $0.0 due to repayment of all the debts in full in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interest income, foreign currency changes and gain or loss on disposal of assets. Other income for 2024-Q3 included $0.03 million of interest income received on marketable securities compared to $0.24 million in 2023-Q3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of 2024-Q3 includes $0.087 million of gain on disposal of inventory compared to $(0.08) million of interest expense on debt in 2023-Q3.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nine months ended September 30, 2024 and 2023, we did not recognize any benefit from the losses incurred due to setting up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our cash and cash equivalents were approximately $1.7 million compared to $17.8 million as of December 31, 2023. Our working capital was $19.7 million and $39.1 million as of September 30, 2024 and December 31,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approximately $4.6 million in the nine months ended September 30, 2024, a decrease of approximately $55.7 million from $51.1 million of cash provided by operating activities in the nine months ended September 30, 2023. The decrease in cash inflow was primarily due to the difference between $55 million in receipts from legal settlements received in first half of 2023 and $0 received in first nine months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nine months ended September 30, 2024 was $2.9 million compared to $6.8 million of cash used in investing activities in the nine months ended September 30, 2023. The increase in cash provided by investing activities was primarily due to proceeds from sale of marketable securities of $7.9 million offset by purchases of marketable securities of $(4.7) million in the nine months ended September 30, 2024 compared to $3 million and $(9.3) million respectively for the nine months ended September 30,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2024 was $(14.5) million compared to $(31.7) million of cash being used in the nine months ended September 30, 2023. This was comprised primarily of dividend distributions payments made.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although there can be no assurance, that the current cash position and effective management of working capital, will provide the liquidity needed to meet our operating needs through at least November 14, 2025.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on favorable terms or at all. If the Company needs additional capital and is unable to secure financing, it may be required to further reduce expenses, or delay product development and enhancement.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open purchase orders of approximately $3.5 million, mostly for the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inventory totaling $16.5 million, of which non-current inventory accounted for $2.2 million. This compares to total inventories of $13.8 million, which includes non-current inventory of $3.1 million as of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September 30, 2024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September 30, 2024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September 30, 2024.</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September 30, 2024,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factors under Part I, Item 1A in our Annual Report on Form 10-K for the year ended December 31, 2023 are hereby supplemented with the following additional risk factor: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20, 2024, we received a letter (the “Notice”)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5550(a)(2) (the “Minimum Bid Price Requirement”). The last reported closing price of our common stock on the Nasdaq Capital Market on August 13, 2024 was $0.6411 per share and has been below the $1.00 closing bid price since May 6, 2024. In accordance with Nasdaq Marketplace Rule 5810(c)(3) (A), we have a period of 180 calendar days from June 20, 2024, or until December 17, 2024, to regain compliance with the Minimum Bid Price Requirement. If at any time before December 17, 2024, the closing bid price of our common stock closes at or above $1.00 per share for a minimum of 10 consecutive trading days (which number days may be extended by Nasdaq), Nasdaq will provide written notification that we have achieved compliance with the Minimum Bid Price Requirement, and the matter would be resolved. If compliance is not achieved within the 180-day period, Nasdaq would provide written notification to us that our common stock is subject to delisting. In the event that we fail to regain compliance with Nasdaq continued listing standards by the expiration of the applicable cure period or any extension period, Nasdaq will commence suspension and delisting procedures with respect to our common stock, which could impair the value of your investment.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426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Certification of Chief Executive Officer (filed herewith)</w:t>
            </w:r>
          </w:p>
        </w:tc>
        <w:tc>
          <w:tcPr>
            <w:tcW w:w="49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9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(filed herewith)</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4960" w:type="dxa"/>
            <w:vAlign w:val="bottom"/>
          </w:tcPr>
          <w:p>
            <w:pPr>
              <w:spacing w:after="0"/>
              <w:rPr>
                <w:sz w:val="24"/>
                <w:szCs w:val="24"/>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7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54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27"/>
        </w:trPr>
        <w:tc>
          <w:tcPr>
            <w:tcW w:w="60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70"/>
        </w:trPr>
        <w:tc>
          <w:tcPr>
            <w:tcW w:w="608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27"/>
        </w:trPr>
        <w:tc>
          <w:tcPr>
            <w:tcW w:w="60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270"/>
        </w:trPr>
        <w:tc>
          <w:tcPr>
            <w:tcW w:w="608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702"/>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1"/>
                <w:szCs w:val="21"/>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3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/s/Simon Brewer</w:t>
            </w:r>
          </w:p>
        </w:tc>
      </w:tr>
      <w:tr>
        <w:trPr>
          <w:trHeight w:val="191"/>
        </w:trPr>
        <w:tc>
          <w:tcPr>
            <w:tcW w:w="60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Quarterly Report of ClearOne, Inc. on Form 10-Q for the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Brewer</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2024-11-14T15:28:47Z</dcterms:created>
  <dcterms:modified xsi:type="dcterms:W3CDTF">2024-11-14T15:28:47Z</dcterms:modified>
</cp:coreProperties>
</file>