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October 29, 2007</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u w:val="single" w:color="auto"/>
          <w:color w:val="auto"/>
        </w:rPr>
        <w:t>ClearOne Communications,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(State or Other Jurisdiction of Incorporation)</w:t>
      </w:r>
    </w:p>
    <w:p>
      <w:pPr>
        <w:spacing w:after="0" w:line="234" w:lineRule="exact"/>
        <w:rPr>
          <w:sz w:val="24"/>
          <w:szCs w:val="24"/>
          <w:color w:val="auto"/>
        </w:rPr>
      </w:pPr>
    </w:p>
    <w:tbl>
      <w:tblPr>
        <w:tblLayout w:type="fixed"/>
        <w:tblInd w:w="1160" w:type="dxa"/>
        <w:tblCellMar>
          <w:top w:w="0" w:type="dxa"/>
          <w:left w:w="0" w:type="dxa"/>
          <w:bottom w:w="0" w:type="dxa"/>
          <w:right w:w="0" w:type="dxa"/>
        </w:tblCellMar>
      </w:tblPr>
      <w:tr>
        <w:trPr>
          <w:trHeight w:val="241"/>
        </w:trPr>
        <w:tc>
          <w:tcPr>
            <w:tcW w:w="4000" w:type="dxa"/>
            <w:vAlign w:val="bottom"/>
          </w:tcPr>
          <w:p>
            <w:pPr>
              <w:jc w:val="center"/>
              <w:spacing w:after="0"/>
              <w:rPr>
                <w:sz w:val="20"/>
                <w:szCs w:val="20"/>
                <w:color w:val="auto"/>
              </w:rPr>
            </w:pPr>
            <w:r>
              <w:rPr>
                <w:rFonts w:ascii="Arial" w:cs="Arial" w:eastAsia="Arial" w:hAnsi="Arial"/>
                <w:sz w:val="18"/>
                <w:szCs w:val="18"/>
                <w:b w:val="1"/>
                <w:bCs w:val="1"/>
                <w:color w:val="auto"/>
                <w:w w:val="90"/>
              </w:rPr>
              <w:t>000-17219</w:t>
            </w:r>
          </w:p>
        </w:tc>
        <w:tc>
          <w:tcPr>
            <w:tcW w:w="5120" w:type="dxa"/>
            <w:vAlign w:val="bottom"/>
            <w:gridSpan w:val="2"/>
          </w:tcPr>
          <w:p>
            <w:pPr>
              <w:jc w:val="right"/>
              <w:ind w:right="1470"/>
              <w:spacing w:after="0"/>
              <w:rPr>
                <w:sz w:val="20"/>
                <w:szCs w:val="20"/>
                <w:color w:val="auto"/>
              </w:rPr>
            </w:pPr>
            <w:r>
              <w:rPr>
                <w:rFonts w:ascii="Arial" w:cs="Arial" w:eastAsia="Arial" w:hAnsi="Arial"/>
                <w:sz w:val="18"/>
                <w:szCs w:val="18"/>
                <w:b w:val="1"/>
                <w:bCs w:val="1"/>
                <w:color w:val="auto"/>
              </w:rPr>
              <w:t>87-0398877</w:t>
            </w:r>
          </w:p>
        </w:tc>
      </w:tr>
      <w:tr>
        <w:trPr>
          <w:trHeight w:val="202"/>
        </w:trPr>
        <w:tc>
          <w:tcPr>
            <w:tcW w:w="40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1140" w:type="dxa"/>
            <w:vAlign w:val="bottom"/>
          </w:tcPr>
          <w:p>
            <w:pPr>
              <w:spacing w:after="0"/>
              <w:rPr>
                <w:sz w:val="17"/>
                <w:szCs w:val="17"/>
                <w:color w:val="auto"/>
              </w:rPr>
            </w:pPr>
          </w:p>
        </w:tc>
        <w:tc>
          <w:tcPr>
            <w:tcW w:w="39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66"/>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5225 Wiley Post Way, Suite 500,</w:t>
            </w:r>
          </w:p>
        </w:tc>
        <w:tc>
          <w:tcPr>
            <w:tcW w:w="114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23"/>
        </w:trPr>
        <w:tc>
          <w:tcPr>
            <w:tcW w:w="4000" w:type="dxa"/>
            <w:vAlign w:val="bottom"/>
          </w:tcPr>
          <w:p>
            <w:pPr>
              <w:jc w:val="center"/>
              <w:spacing w:after="0"/>
              <w:rPr>
                <w:sz w:val="20"/>
                <w:szCs w:val="20"/>
                <w:color w:val="auto"/>
              </w:rPr>
            </w:pPr>
            <w:r>
              <w:rPr>
                <w:rFonts w:ascii="Arial" w:cs="Arial" w:eastAsia="Arial" w:hAnsi="Arial"/>
                <w:sz w:val="18"/>
                <w:szCs w:val="18"/>
                <w:b w:val="1"/>
                <w:bCs w:val="1"/>
                <w:color w:val="auto"/>
                <w:w w:val="93"/>
              </w:rPr>
              <w:t>Salt Lake City, Utah</w:t>
            </w:r>
          </w:p>
        </w:tc>
        <w:tc>
          <w:tcPr>
            <w:tcW w:w="5120" w:type="dxa"/>
            <w:vAlign w:val="bottom"/>
            <w:gridSpan w:val="2"/>
          </w:tcPr>
          <w:p>
            <w:pPr>
              <w:jc w:val="right"/>
              <w:ind w:right="1670"/>
              <w:spacing w:after="0"/>
              <w:rPr>
                <w:sz w:val="20"/>
                <w:szCs w:val="20"/>
                <w:color w:val="auto"/>
              </w:rPr>
            </w:pPr>
            <w:r>
              <w:rPr>
                <w:rFonts w:ascii="Arial" w:cs="Arial" w:eastAsia="Arial" w:hAnsi="Arial"/>
                <w:sz w:val="18"/>
                <w:szCs w:val="18"/>
                <w:b w:val="1"/>
                <w:bCs w:val="1"/>
                <w:color w:val="auto"/>
              </w:rPr>
              <w:t>84116</w:t>
            </w:r>
          </w:p>
        </w:tc>
      </w:tr>
      <w:tr>
        <w:trPr>
          <w:trHeight w:val="230"/>
        </w:trPr>
        <w:tc>
          <w:tcPr>
            <w:tcW w:w="4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140" w:type="dxa"/>
            <w:vAlign w:val="bottom"/>
          </w:tcPr>
          <w:p>
            <w:pPr>
              <w:spacing w:after="0"/>
              <w:rPr>
                <w:sz w:val="20"/>
                <w:szCs w:val="20"/>
                <w:color w:val="auto"/>
              </w:rPr>
            </w:pPr>
          </w:p>
        </w:tc>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30.425)</w:t>
      </w:r>
    </w:p>
    <w:p>
      <w:pPr>
        <w:spacing w:after="0" w:line="23"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40.14a-12)</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561340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06"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 xml:space="preserve">Theft of Intellectual Property and Copyright Complaints. </w:t>
      </w:r>
      <w:r>
        <w:rPr>
          <w:rFonts w:ascii="Arial" w:cs="Arial" w:eastAsia="Arial" w:hAnsi="Arial"/>
          <w:sz w:val="16"/>
          <w:szCs w:val="16"/>
          <w:color w:val="auto"/>
        </w:rPr>
        <w:t>In January 2007, the Company filed a lawsuit in the Third Judicial District Court, Salt Lake County,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State of Utah against WideBand Solutions, Inc. and two of its principals, one former employee named Dr. Jun Yang, and one previously affiliated with the Company (the “Intellectual Property Case”). ClearOne also brought claims against Biamp Systems Corporation, Inc. The matter was subsequently removed to federal court, the United States District Court, District of Utah, Central Division. The case is styled </w:t>
      </w:r>
      <w:r>
        <w:rPr>
          <w:rFonts w:ascii="Arial" w:cs="Arial" w:eastAsia="Arial" w:hAnsi="Arial"/>
          <w:sz w:val="16"/>
          <w:szCs w:val="16"/>
          <w:i w:val="1"/>
          <w:iCs w:val="1"/>
          <w:color w:val="auto"/>
        </w:rPr>
        <w:t>ClearOne Communications, Inc. v. Jun Yang, et. al.</w:t>
      </w:r>
      <w:r>
        <w:rPr>
          <w:rFonts w:ascii="Arial" w:cs="Arial" w:eastAsia="Arial" w:hAnsi="Arial"/>
          <w:sz w:val="16"/>
          <w:szCs w:val="16"/>
          <w:color w:val="auto"/>
        </w:rPr>
        <w:t xml:space="preserve"> Civil No. 2:07-co-37 TC. The Complaint brings claims against different combinations of the defendants for, among other things, misappropriation of certain trade secrets, breach of contract, conversion, unjust enrichment and intentional interference with business and contractual relations. The relief being sought by the Company includes an order enjoining the defendants from further use of the Company’s trade secrets and an award consisting of, among other things, compensation and damages related to the unjust enrichment of the defendants. The Court subsequently granted leave to add a third WideBand principal as a defendant to the case. In August 2007, the Company filed a motion for a preliminary injunction in the United States District Court, District of Utah, seeking to enjoin Wideband Solutions, Inc. from licensing certain technology the Company believes constitutes its intellectual property and trade secrets to Harman Music Group, Inc. On October 30, 2007, the Chief Judge of the United States District Court, the Honorable Tena Campbell, issued a Memorandum Decision and Order (the “Injunction Order”). The Injunction Order “GRANTS ClearOne’s motion for a Preliminary Injunction,” and orders that “Dr. Yang, as well as his agents, servants, officers, employees, entities and those acting under his direction and control, are hereby enjoined from working on or delivering any computer code – either source code or object code – to Harman until the completion of the trial.” In reaching its decision, the Court found that Dr. Yang was subject to a valid and enforceable Confidentiality, Non-Competition, and Invention Assignment Agreement (the “NDA”), and that ClearOne had demonstrated “a substantial likelihood that ClearOne will succeed on its claims that Dr. Yang violated the NDA” and derived the code that WideBand was attempting to license to Harman from code belonging to ClearOne. The Injunction Order is Docket Entry 572.</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Monday, October 29, 2007, the Company filed a second action against WideBand and the same three principals named as defendants in the Intellectual Property Case, this time alleging copyright infringement, vicarious copyright infringement, and contributory copyright infringement (the “Copyright Case”). The claims in the Copyright Case arise out of a copyright issued to the Company for the same computer code that is the subject of the claims in the Intellectual Property Case. The relief being sought by the Company includes an order enjoining the defendants from further use of the Company’s copyrighted material, and an award consisting of, among other things, compensation and damages related the copyright infringement. The defendants in the Copyright Case have not yet filed a response.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This litigation is subject to all of the risks and uncertainties of litigation and there can be no assurance as to the probable result of this litigation.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Date: October 31,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518160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2019-12-11T21:06:31Z</dcterms:created>
  <dcterms:modified xsi:type="dcterms:W3CDTF">2019-12-11T21:06:31Z</dcterms:modified>
</cp:coreProperties>
</file>