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30,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4"/>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Arial" w:cs="Arial" w:eastAsia="Arial" w:hAnsi="Arial"/>
                <w:sz w:val="18"/>
                <w:szCs w:val="18"/>
                <w:b w:val="1"/>
                <w:bCs w:val="1"/>
                <w:color w:val="auto"/>
                <w:w w:val="90"/>
              </w:rPr>
              <w:t>(801) 975-7200</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40" w:firstLine="4214"/>
        <w:spacing w:after="0" w:line="277" w:lineRule="auto"/>
        <w:rPr>
          <w:sz w:val="20"/>
          <w:szCs w:val="20"/>
          <w:color w:val="auto"/>
        </w:rPr>
      </w:pPr>
      <w:r>
        <w:rPr>
          <w:rFonts w:ascii="Arial" w:cs="Arial" w:eastAsia="Arial" w:hAnsi="Arial"/>
          <w:sz w:val="18"/>
          <w:szCs w:val="18"/>
          <w:color w:val="auto"/>
        </w:rPr>
        <w:t>On April 30, 2015, ClearOne, Inc. issued a press release announcing its financial results for the three months ended March 31, 2015.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April 30, 2015 titled “ClearOne Reports First Quarter Results”.</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April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Record First Quarter Revenue and Net Income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Q1 Non-GAAP EPS Increased 100%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April 30,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up 7% to $13.6 million</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margin increased to 62% from 61%</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up 83%</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up 101%</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adjusted EBITDA up 76%</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First Quarter</w:t>
            </w:r>
          </w:p>
        </w:tc>
        <w:tc>
          <w:tcPr>
            <w:tcW w:w="940" w:type="dxa"/>
            <w:vAlign w:val="bottom"/>
            <w:tcBorders>
              <w:bottom w:val="single" w:sz="8" w:color="auto"/>
            </w:tcBorders>
          </w:tcPr>
          <w:p>
            <w:pPr>
              <w:spacing w:after="0"/>
              <w:rPr>
                <w:sz w:val="20"/>
                <w:szCs w:val="20"/>
                <w:color w:val="auto"/>
              </w:rPr>
            </w:pPr>
          </w:p>
        </w:tc>
      </w:tr>
      <w:tr>
        <w:trPr>
          <w:trHeight w:val="237"/>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r>
      <w:tr>
        <w:trPr>
          <w:trHeight w:val="33"/>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13,586</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10%</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83%</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76%</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Non-GAAP 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83" w:lineRule="exact"/>
        <w:rPr>
          <w:sz w:val="20"/>
          <w:szCs w:val="20"/>
          <w:color w:val="auto"/>
        </w:rPr>
      </w:pPr>
    </w:p>
    <w:p>
      <w:pPr>
        <w:ind w:right="34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months ended March 31, 2015.</w:t>
      </w:r>
    </w:p>
    <w:p>
      <w:pPr>
        <w:spacing w:after="0" w:line="116" w:lineRule="exact"/>
        <w:rPr>
          <w:sz w:val="20"/>
          <w:szCs w:val="20"/>
          <w:color w:val="auto"/>
        </w:rPr>
      </w:pPr>
    </w:p>
    <w:p>
      <w:pPr>
        <w:jc w:val="both"/>
        <w:ind w:right="60"/>
        <w:spacing w:after="0" w:line="366" w:lineRule="auto"/>
        <w:rPr>
          <w:sz w:val="20"/>
          <w:szCs w:val="20"/>
          <w:color w:val="auto"/>
        </w:rPr>
      </w:pPr>
      <w:r>
        <w:rPr>
          <w:rFonts w:ascii="Arial" w:cs="Arial" w:eastAsia="Arial" w:hAnsi="Arial"/>
          <w:sz w:val="18"/>
          <w:szCs w:val="18"/>
          <w:color w:val="auto"/>
        </w:rPr>
        <w:t>For the 2015 first quarter, revenue increased by 7% to $13.6 million, compared with $12.7 million for the first quarter of 2014. Gross profit was $8.5 million, or 62% of revenue, compared with $7.7 million, or 61% of revenue, for the first quarter of 2014. Non-GAAP operating income increased 83% to $2.5 million from $1.4 million for the first quarter of 2014. Non-GAAP net income increased 101% to $1.7 million, or $0.18 per diluted share, from $0.8 million, or $0.09 per diluted share, for the first quarter of 2014. Non-GAAP Adjusted EBITDA increased 76% to $2.8 million, or $0.30 per diluted share, from $1.6 million, or $0.17 per diluted share, for the first quarter of 2014.</w:t>
      </w:r>
    </w:p>
    <w:p>
      <w:pPr>
        <w:sectPr>
          <w:pgSz w:w="11900" w:h="16838" w:orient="portrait"/>
          <w:cols w:equalWidth="0" w:num="1">
            <w:col w:w="11420"/>
          </w:cols>
          <w:pgMar w:left="240" w:top="580" w:right="239" w:bottom="1440" w:gutter="0" w:footer="0" w:header="0"/>
        </w:sectPr>
      </w:pPr>
    </w:p>
    <w:bookmarkStart w:id="3" w:name="page4"/>
    <w:bookmarkEnd w:id="3"/>
    <w:p>
      <w:pPr>
        <w:ind w:right="320"/>
        <w:spacing w:after="0" w:line="387" w:lineRule="auto"/>
        <w:rPr>
          <w:sz w:val="20"/>
          <w:szCs w:val="20"/>
          <w:color w:val="auto"/>
        </w:rPr>
      </w:pPr>
      <w:r>
        <w:rPr>
          <w:rFonts w:ascii="Arial" w:cs="Arial" w:eastAsia="Arial" w:hAnsi="Arial"/>
          <w:sz w:val="18"/>
          <w:szCs w:val="18"/>
          <w:color w:val="auto"/>
        </w:rPr>
        <w:t>Cash, cash equivalents and investments totaled $36.3 million at March 31, 2015, up from $33.6 million at December 31, 2014. The company continued to have no debt.</w:t>
      </w:r>
    </w:p>
    <w:p>
      <w:pPr>
        <w:spacing w:after="0" w:line="116" w:lineRule="exact"/>
        <w:rPr>
          <w:sz w:val="20"/>
          <w:szCs w:val="20"/>
          <w:color w:val="auto"/>
        </w:rPr>
      </w:pPr>
    </w:p>
    <w:p>
      <w:pPr>
        <w:ind w:right="60"/>
        <w:spacing w:after="0" w:line="369" w:lineRule="auto"/>
        <w:rPr>
          <w:sz w:val="20"/>
          <w:szCs w:val="20"/>
          <w:color w:val="auto"/>
        </w:rPr>
      </w:pPr>
      <w:r>
        <w:rPr>
          <w:rFonts w:ascii="Arial" w:cs="Arial" w:eastAsia="Arial" w:hAnsi="Arial"/>
          <w:sz w:val="18"/>
          <w:szCs w:val="18"/>
          <w:color w:val="auto"/>
        </w:rPr>
        <w:t>“Our record revenues and profits for the first quarter of 2015 follow an impressive milestone achieved with our 2014 financial results - five consecutive years of topline and bottomline growth,” said Zee Hakimoglu, President and Chief Executive Officer. “Our solid first quarter financial performance was fueled by increased demand across all regions. More specifically, we saw continued strong sales for our innovative microphones, as well as network video streaming and media collaboration solutions.”</w:t>
      </w:r>
    </w:p>
    <w:p>
      <w:pPr>
        <w:spacing w:after="0" w:line="132" w:lineRule="exact"/>
        <w:rPr>
          <w:sz w:val="20"/>
          <w:szCs w:val="20"/>
          <w:color w:val="auto"/>
        </w:rPr>
      </w:pPr>
    </w:p>
    <w:p>
      <w:pPr>
        <w:ind w:right="220"/>
        <w:spacing w:after="0" w:line="366" w:lineRule="auto"/>
        <w:rPr>
          <w:sz w:val="20"/>
          <w:szCs w:val="20"/>
          <w:color w:val="auto"/>
        </w:rPr>
      </w:pPr>
      <w:r>
        <w:rPr>
          <w:rFonts w:ascii="Arial" w:cs="Arial" w:eastAsia="Arial" w:hAnsi="Arial"/>
          <w:sz w:val="18"/>
          <w:szCs w:val="18"/>
          <w:color w:val="auto"/>
        </w:rPr>
        <w:t>“While the growth achieved in the first quarter was a great start to the year, we are even more excited about our immediate future. Our unique product offerings, combined with our product and sales strategy, will significantly disrupt current business models backed by obsolete technologies. In addition, we continue to make great strides in our drive to standardize ClearOne products amongst the Fortune 500 and other blue chip companies. Recent successes include adoption of our innovative solutions by the largest electronics company in the world, the largest online social networking company and the fastest growing automobile company in the world.”</w:t>
      </w:r>
    </w:p>
    <w:p>
      <w:pPr>
        <w:spacing w:after="0" w:line="137" w:lineRule="exact"/>
        <w:rPr>
          <w:sz w:val="20"/>
          <w:szCs w:val="20"/>
          <w:color w:val="auto"/>
        </w:rPr>
      </w:pPr>
    </w:p>
    <w:p>
      <w:pPr>
        <w:ind w:right="140"/>
        <w:spacing w:after="0" w:line="395" w:lineRule="auto"/>
        <w:rPr>
          <w:sz w:val="20"/>
          <w:szCs w:val="20"/>
          <w:color w:val="auto"/>
        </w:rPr>
      </w:pPr>
      <w:r>
        <w:rPr>
          <w:rFonts w:ascii="Arial" w:cs="Arial" w:eastAsia="Arial" w:hAnsi="Arial"/>
          <w:sz w:val="17"/>
          <w:szCs w:val="17"/>
          <w:color w:val="auto"/>
        </w:rPr>
        <w:t>Hakimoglu continued, “We recently entered into a new relationship with a strategic reseller in China. This new partnership provides a perfect balance between the reseller’s extensive technical and integration expertise and ClearOne’s innovative audio, video and media collaboration solutions, enabling both companies to introduce compelling offerings in this vast market. Our new strategic reseller's comprehensive reach in China's government and private sectors will considerably grow ClearOne’s market share in Asia and ultimately open new pipelines for ClearOne products.”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Enhanced Wireless Microphone System with Built-in Dante</w:t>
      </w:r>
      <w:r>
        <w:rPr>
          <w:rFonts w:ascii="Arial" w:cs="Arial" w:eastAsia="Arial" w:hAnsi="Arial"/>
          <w:sz w:val="25"/>
          <w:szCs w:val="25"/>
          <w:b w:val="1"/>
          <w:bCs w:val="1"/>
          <w:color w:val="auto"/>
          <w:vertAlign w:val="superscript"/>
        </w:rPr>
        <w:t>TM</w:t>
      </w:r>
      <w:r>
        <w:rPr>
          <w:rFonts w:ascii="Arial" w:cs="Arial" w:eastAsia="Arial" w:hAnsi="Arial"/>
          <w:sz w:val="18"/>
          <w:szCs w:val="18"/>
          <w:b w:val="1"/>
          <w:bCs w:val="1"/>
          <w:color w:val="auto"/>
        </w:rPr>
        <w:t xml:space="preserve"> Technology</w:t>
      </w:r>
    </w:p>
    <w:p>
      <w:pPr>
        <w:spacing w:after="0" w:line="243" w:lineRule="exact"/>
        <w:rPr>
          <w:sz w:val="20"/>
          <w:szCs w:val="20"/>
          <w:color w:val="auto"/>
        </w:rPr>
      </w:pPr>
    </w:p>
    <w:p>
      <w:pPr>
        <w:ind w:right="140"/>
        <w:spacing w:after="0" w:line="398" w:lineRule="auto"/>
        <w:rPr>
          <w:sz w:val="20"/>
          <w:szCs w:val="20"/>
          <w:color w:val="auto"/>
        </w:rPr>
      </w:pPr>
      <w:r>
        <w:rPr>
          <w:rFonts w:ascii="Arial" w:cs="Arial" w:eastAsia="Arial" w:hAnsi="Arial"/>
          <w:sz w:val="16"/>
          <w:szCs w:val="16"/>
          <w:color w:val="auto"/>
        </w:rPr>
        <w:t>At the end of January, the company introduced a new version of its Digital Wireless Microphone products, now with support for Dante™ technology. Dante is the industry's fastest growing media networking solution for digital audio networking. The new ClearOne microphone coupled with the Dante media interface is the most economical and versatile, easy to install, easy to use, and easy to scale wireless system in the market today. This newly released microphone system complements other professional audio products from ClearOne. It uses radio-frequency digital wireless signal transmission technology with highly secure encryption for privacy and security. The ClearOne Dante wireless microphone inter-operates with any other Dante device from any supplier, including ClearOne Dante products such as the new CONVERGE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Matrix and CONNECT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Dante bridge for CONVERGE.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Media Streaming Product Line Broadened</w:t>
      </w:r>
    </w:p>
    <w:p>
      <w:pPr>
        <w:spacing w:after="0" w:line="216" w:lineRule="exact"/>
        <w:rPr>
          <w:sz w:val="20"/>
          <w:szCs w:val="20"/>
          <w:color w:val="auto"/>
        </w:rPr>
      </w:pPr>
    </w:p>
    <w:p>
      <w:pPr>
        <w:ind w:right="20"/>
        <w:spacing w:after="0" w:line="370" w:lineRule="auto"/>
        <w:rPr>
          <w:sz w:val="20"/>
          <w:szCs w:val="20"/>
          <w:color w:val="auto"/>
        </w:rPr>
      </w:pPr>
      <w:r>
        <w:rPr>
          <w:rFonts w:ascii="Arial" w:cs="Arial" w:eastAsia="Arial" w:hAnsi="Arial"/>
          <w:sz w:val="17"/>
          <w:szCs w:val="17"/>
          <w:color w:val="auto"/>
        </w:rPr>
        <w:t>At the beginning of February, the company announced its new value-priced VIEW</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 D210 decoder that enables high-quality, low-latency media streaming over existing IP networks. This cost-efficient network device from ClearOne is the ideal solution for less-demanding deployments such as digital signage applications. Such applications include displays at airports and transportation hubs, hotels, casinos and shopping malls. With the addition of this economical decoder, ClearOne continues to be truly differentiated in the professional market by offering complete AV streaming and distribution systems that can scale to fulfill projects of any size and complexity, from light commercial to the very largest environments.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0"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ClearOne provides non-GAAP financial information in the form of non-GAAP operating income, non-GAAP net income, non-GAAP Adjusted Earnings Before Interest, Taxes, Depreciation, and Amortization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operating income, non-</w:t>
      </w:r>
    </w:p>
    <w:p>
      <w:pPr>
        <w:sectPr>
          <w:pgSz w:w="11900" w:h="16838" w:orient="portrait"/>
          <w:cols w:equalWidth="0" w:num="1">
            <w:col w:w="11420"/>
          </w:cols>
          <w:pgMar w:left="240" w:top="638" w:right="239" w:bottom="1440" w:gutter="0" w:footer="0" w:header="0"/>
        </w:sectPr>
      </w:pPr>
    </w:p>
    <w:bookmarkStart w:id="4" w:name="page5"/>
    <w:bookmarkEnd w:id="4"/>
    <w:p>
      <w:pPr>
        <w:spacing w:after="0" w:line="413" w:lineRule="auto"/>
        <w:rPr>
          <w:sz w:val="20"/>
          <w:szCs w:val="20"/>
          <w:color w:val="auto"/>
        </w:rPr>
      </w:pPr>
      <w:r>
        <w:rPr>
          <w:rFonts w:ascii="Arial" w:cs="Arial" w:eastAsia="Arial" w:hAnsi="Arial"/>
          <w:sz w:val="16"/>
          <w:szCs w:val="16"/>
          <w:color w:val="auto"/>
        </w:rPr>
        <w:t>GAAP net income, non-GAAP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0" w:lineRule="exact"/>
        <w:rPr>
          <w:sz w:val="20"/>
          <w:szCs w:val="20"/>
          <w:color w:val="auto"/>
        </w:rPr>
      </w:pPr>
    </w:p>
    <w:p>
      <w:pPr>
        <w:jc w:val="both"/>
        <w:ind w:right="48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360"/>
          </w:cols>
          <w:pgMar w:left="240" w:top="638" w:right="29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2015</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As of December 31, 2014</w:t>
            </w:r>
          </w:p>
        </w:tc>
        <w:tc>
          <w:tcPr>
            <w:tcW w:w="0" w:type="dxa"/>
            <w:vAlign w:val="bottom"/>
          </w:tcPr>
          <w:p>
            <w:pPr>
              <w:spacing w:after="0"/>
              <w:rPr>
                <w:sz w:val="1"/>
                <w:szCs w:val="1"/>
                <w:color w:val="auto"/>
              </w:rPr>
            </w:pPr>
          </w:p>
        </w:tc>
      </w:tr>
      <w:tr>
        <w:trPr>
          <w:trHeight w:val="33"/>
        </w:trPr>
        <w:tc>
          <w:tcPr>
            <w:tcW w:w="762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10,865</w:t>
            </w:r>
          </w:p>
        </w:tc>
        <w:tc>
          <w:tcPr>
            <w:tcW w:w="120" w:type="dxa"/>
            <w:vAlign w:val="bottom"/>
          </w:tcPr>
          <w:p>
            <w:pPr>
              <w:spacing w:after="0"/>
              <w:rPr>
                <w:sz w:val="23"/>
                <w:szCs w:val="23"/>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7,440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7,314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6,994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$79 and $58, respectively</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8,593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9,916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13,869</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12,766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47,272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44,781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18,133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19,162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7,581</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7,896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12,724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89,681</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3,854</w:t>
            </w:r>
          </w:p>
        </w:tc>
        <w:tc>
          <w:tcPr>
            <w:tcW w:w="120" w:type="dxa"/>
            <w:vAlign w:val="bottom"/>
          </w:tcPr>
          <w:p>
            <w:pPr>
              <w:spacing w:after="0"/>
              <w:rPr>
                <w:sz w:val="23"/>
                <w:szCs w:val="23"/>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4,684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11,046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10,755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1,304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12,572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20" w:type="dxa"/>
            <w:vAlign w:val="bottom"/>
          </w:tcPr>
          <w:p>
            <w:pPr>
              <w:spacing w:after="0"/>
              <w:rPr>
                <w:sz w:val="20"/>
                <w:szCs w:val="20"/>
                <w:color w:val="auto"/>
              </w:rPr>
            </w:pPr>
            <w:r>
              <w:rPr>
                <w:rFonts w:ascii="Arial" w:cs="Arial" w:eastAsia="Arial" w:hAnsi="Arial"/>
                <w:sz w:val="18"/>
                <w:szCs w:val="18"/>
                <w:color w:val="auto"/>
                <w:w w:val="90"/>
              </w:rPr>
              <w:t>Common stock, par value $0.001, 50,000,000 shares authorized, 9,111,790 and 9,097,827 shares issued</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60"/>
              <w:spacing w:after="0"/>
              <w:rPr>
                <w:sz w:val="20"/>
                <w:szCs w:val="20"/>
                <w:color w:val="auto"/>
              </w:rPr>
            </w:pPr>
            <w:r>
              <w:rPr>
                <w:rFonts w:ascii="Arial" w:cs="Arial" w:eastAsia="Arial" w:hAnsi="Arial"/>
                <w:sz w:val="18"/>
                <w:szCs w:val="18"/>
                <w:color w:val="auto"/>
              </w:rPr>
              <w:t>and outstanding</w:t>
            </w:r>
          </w:p>
        </w:tc>
        <w:tc>
          <w:tcPr>
            <w:tcW w:w="1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45,204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44,939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32,029</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31,076</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77,109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76,016</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89,681</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13,586</w:t>
            </w:r>
          </w:p>
        </w:tc>
        <w:tc>
          <w:tcPr>
            <w:tcW w:w="100" w:type="dxa"/>
            <w:vAlign w:val="bottom"/>
          </w:tcPr>
          <w:p>
            <w:pPr>
              <w:spacing w:after="0"/>
              <w:rPr>
                <w:sz w:val="20"/>
                <w:szCs w:val="20"/>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7"/>
        </w:trPr>
        <w:tc>
          <w:tcPr>
            <w:tcW w:w="75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58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5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9,100,107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9,082,546</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9,508,479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9,558,941</w:t>
            </w:r>
          </w:p>
        </w:tc>
        <w:tc>
          <w:tcPr>
            <w:tcW w:w="0" w:type="dxa"/>
            <w:vAlign w:val="bottom"/>
          </w:tcPr>
          <w:p>
            <w:pPr>
              <w:spacing w:after="0"/>
              <w:rPr>
                <w:sz w:val="1"/>
                <w:szCs w:val="1"/>
                <w:color w:val="auto"/>
              </w:rPr>
            </w:pPr>
          </w:p>
        </w:tc>
      </w:tr>
      <w:tr>
        <w:trPr>
          <w:trHeight w:val="567"/>
        </w:trPr>
        <w:tc>
          <w:tcPr>
            <w:tcW w:w="7580" w:type="dxa"/>
            <w:vAlign w:val="bottom"/>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80" w:type="dxa"/>
            <w:vAlign w:val="bottom"/>
          </w:tcPr>
          <w:p>
            <w:pPr>
              <w:ind w:left="440"/>
              <w:spacing w:after="0"/>
              <w:rPr>
                <w:sz w:val="20"/>
                <w:szCs w:val="20"/>
                <w:color w:val="auto"/>
              </w:rPr>
            </w:pPr>
            <w:r>
              <w:rPr>
                <w:rFonts w:ascii="Arial" w:cs="Arial" w:eastAsia="Arial" w:hAnsi="Arial"/>
                <w:sz w:val="18"/>
                <w:szCs w:val="18"/>
                <w:color w:val="auto"/>
              </w:rPr>
              <w:t>Unrealized gain on available-for-sale securities, net of tax</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7580" w:type="dxa"/>
            <w:vAlign w:val="bottom"/>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13,586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12,708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Cost of goods sold</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Gross profit</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8,467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33"/>
        </w:trPr>
        <w:tc>
          <w:tcPr>
            <w:tcW w:w="762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7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Sales and marketing</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6,325</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762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10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10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2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108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108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594"/>
        </w:trPr>
        <w:tc>
          <w:tcPr>
            <w:tcW w:w="76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10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9,100,107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9,082,546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9,508,479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9,558,941</w:t>
            </w:r>
          </w:p>
        </w:tc>
        <w:tc>
          <w:tcPr>
            <w:tcW w:w="0" w:type="dxa"/>
            <w:vAlign w:val="bottom"/>
          </w:tcPr>
          <w:p>
            <w:pPr>
              <w:spacing w:after="0"/>
              <w:rPr>
                <w:sz w:val="1"/>
                <w:szCs w:val="1"/>
                <w:color w:val="auto"/>
              </w:rPr>
            </w:pPr>
          </w:p>
        </w:tc>
      </w:tr>
      <w:tr>
        <w:trPr>
          <w:trHeight w:val="594"/>
        </w:trPr>
        <w:tc>
          <w:tcPr>
            <w:tcW w:w="762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Adjustments:</w:t>
            </w: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53"/>
        </w:trPr>
        <w:tc>
          <w:tcPr>
            <w:tcW w:w="7620" w:type="dxa"/>
            <w:vAlign w:val="bottom"/>
          </w:tcPr>
          <w:p>
            <w:pPr>
              <w:spacing w:after="0"/>
              <w:rPr>
                <w:sz w:val="20"/>
                <w:szCs w:val="20"/>
                <w:color w:val="auto"/>
              </w:rPr>
            </w:pPr>
            <w:r>
              <w:rPr>
                <w:rFonts w:ascii="Arial" w:cs="Arial" w:eastAsia="Arial" w:hAnsi="Arial"/>
                <w:sz w:val="16"/>
                <w:szCs w:val="16"/>
                <w:color w:val="auto"/>
                <w:w w:val="96"/>
              </w:rPr>
              <w:t>Legal expenses for litigation relating to indemnification of former officers, theft of our intellectual property claims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160"/>
              <w:spacing w:after="0"/>
              <w:rPr>
                <w:sz w:val="20"/>
                <w:szCs w:val="20"/>
                <w:color w:val="auto"/>
              </w:rPr>
            </w:pPr>
            <w:r>
              <w:rPr>
                <w:rFonts w:ascii="Arial" w:cs="Arial" w:eastAsia="Arial" w:hAnsi="Arial"/>
                <w:sz w:val="16"/>
                <w:szCs w:val="16"/>
                <w:color w:val="auto"/>
              </w:rPr>
              <w:t>and our claim for damages</w:t>
            </w:r>
          </w:p>
        </w:tc>
        <w:tc>
          <w:tcPr>
            <w:tcW w:w="10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762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485</w:t>
            </w:r>
          </w:p>
        </w:tc>
      </w:tr>
      <w:tr>
        <w:trPr>
          <w:trHeight w:val="263"/>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8"/>
        </w:trPr>
        <w:tc>
          <w:tcPr>
            <w:tcW w:w="76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0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352</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2,523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1,161</w:t>
            </w:r>
          </w:p>
        </w:tc>
      </w:tr>
      <w:tr>
        <w:trPr>
          <w:trHeight w:val="249"/>
        </w:trPr>
        <w:tc>
          <w:tcPr>
            <w:tcW w:w="762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253"/>
        </w:trPr>
        <w:tc>
          <w:tcPr>
            <w:tcW w:w="7620" w:type="dxa"/>
            <w:vAlign w:val="bottom"/>
            <w:gridSpan w:val="2"/>
          </w:tcPr>
          <w:p>
            <w:pPr>
              <w:spacing w:after="0"/>
              <w:rPr>
                <w:sz w:val="20"/>
                <w:szCs w:val="20"/>
                <w:color w:val="auto"/>
              </w:rPr>
            </w:pPr>
            <w:r>
              <w:rPr>
                <w:rFonts w:ascii="Arial" w:cs="Arial" w:eastAsia="Arial" w:hAnsi="Arial"/>
                <w:sz w:val="16"/>
                <w:szCs w:val="16"/>
                <w:color w:val="auto"/>
                <w:w w:val="96"/>
              </w:rPr>
              <w:t>Legal expenses for litigation relating to indemnification of former officers, theft of our intellectual property claims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06"/>
        </w:trPr>
        <w:tc>
          <w:tcPr>
            <w:tcW w:w="7620" w:type="dxa"/>
            <w:vAlign w:val="bottom"/>
            <w:gridSpan w:val="2"/>
          </w:tcPr>
          <w:p>
            <w:pPr>
              <w:ind w:left="160"/>
              <w:spacing w:after="0"/>
              <w:rPr>
                <w:sz w:val="20"/>
                <w:szCs w:val="20"/>
                <w:color w:val="auto"/>
              </w:rPr>
            </w:pPr>
            <w:r>
              <w:rPr>
                <w:rFonts w:ascii="Arial" w:cs="Arial" w:eastAsia="Arial" w:hAnsi="Arial"/>
                <w:sz w:val="16"/>
                <w:szCs w:val="16"/>
                <w:color w:val="auto"/>
              </w:rPr>
              <w:t>and our claim for damages</w:t>
            </w:r>
          </w:p>
        </w:tc>
        <w:tc>
          <w:tcPr>
            <w:tcW w:w="10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341</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2,837</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1,615</w:t>
            </w:r>
          </w:p>
        </w:tc>
      </w:tr>
      <w:tr>
        <w:trPr>
          <w:trHeight w:val="20"/>
        </w:trPr>
        <w:tc>
          <w:tcPr>
            <w:tcW w:w="8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42"/>
        </w:trPr>
        <w:tc>
          <w:tcPr>
            <w:tcW w:w="762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10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9,100,107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9,082,546</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9,508,479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9,558,941</w:t>
            </w:r>
          </w:p>
        </w:tc>
      </w:tr>
      <w:tr>
        <w:trPr>
          <w:trHeight w:val="594"/>
        </w:trPr>
        <w:tc>
          <w:tcPr>
            <w:tcW w:w="762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0.18</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0.17</w:t>
            </w:r>
          </w:p>
        </w:tc>
      </w:tr>
    </w:tbl>
    <w:p>
      <w:pPr>
        <w:spacing w:after="0" w:line="1" w:lineRule="exact"/>
        <w:rPr>
          <w:sz w:val="20"/>
          <w:szCs w:val="20"/>
          <w:color w:val="auto"/>
        </w:rPr>
      </w:pP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2019-12-06T03:52:05Z</dcterms:created>
  <dcterms:modified xsi:type="dcterms:W3CDTF">2019-12-06T03:52:05Z</dcterms:modified>
</cp:coreProperties>
</file>