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880" w:right="3880" w:hanging="3872"/>
        <w:spacing w:after="0" w:line="598" w:lineRule="auto"/>
        <w:tabs>
          <w:tab w:leader="none" w:pos="62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December 31, 2007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3440" w:type="dxa"/>
        <w:tblCellMar>
          <w:top w:w="0" w:type="dxa"/>
          <w:left w:w="0" w:type="dxa"/>
          <w:bottom w:w="0" w:type="dxa"/>
          <w:right w:w="0" w:type="dxa"/>
        </w:tblCellMar>
      </w:tblPr>
      <w:tr>
        <w:trPr>
          <w:trHeight w:val="241"/>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Utah</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2480" w:type="dxa"/>
            <w:vAlign w:val="bottom"/>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180" w:type="dxa"/>
            <w:vAlign w:val="bottom"/>
          </w:tcPr>
          <w:p>
            <w:pPr>
              <w:spacing w:after="0"/>
              <w:rPr>
                <w:sz w:val="17"/>
                <w:szCs w:val="17"/>
                <w:color w:val="auto"/>
              </w:rPr>
            </w:pPr>
          </w:p>
        </w:tc>
        <w:tc>
          <w:tcPr>
            <w:tcW w:w="190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80" w:type="dxa"/>
            <w:vAlign w:val="bottom"/>
          </w:tcPr>
          <w:p>
            <w:pPr>
              <w:spacing w:after="0"/>
              <w:rPr>
                <w:sz w:val="20"/>
                <w:szCs w:val="20"/>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1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5225 Wiley Post Way, Suite 500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8"/>
        </w:trPr>
        <w:tc>
          <w:tcPr>
            <w:tcW w:w="248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Salt Lake City, Utah</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84116</w:t>
            </w:r>
          </w:p>
        </w:tc>
      </w:tr>
      <w:tr>
        <w:trPr>
          <w:trHeight w:val="230"/>
        </w:trPr>
        <w:tc>
          <w:tcPr>
            <w:tcW w:w="3120" w:type="dxa"/>
            <w:vAlign w:val="bottom"/>
            <w:tcBorders>
              <w:top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56" w:lineRule="exact"/>
        <w:rPr>
          <w:sz w:val="24"/>
          <w:szCs w:val="24"/>
          <w:color w:val="auto"/>
        </w:rPr>
      </w:pPr>
    </w:p>
    <w:p>
      <w:pPr>
        <w:jc w:val="both"/>
        <w:ind w:right="100"/>
        <w:spacing w:after="0" w:line="25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2" w:lineRule="exact"/>
        <w:rPr>
          <w:sz w:val="24"/>
          <w:szCs w:val="24"/>
          <w:color w:val="auto"/>
        </w:rPr>
      </w:pPr>
    </w:p>
    <w:p>
      <w:pPr>
        <w:ind w:left="2240"/>
        <w:spacing w:after="0" w:line="207" w:lineRule="exact"/>
        <w:tabs>
          <w:tab w:leader="none" w:pos="5080" w:val="left"/>
          <w:tab w:leader="none" w:pos="7420" w:val="left"/>
        </w:tabs>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x</w:t>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8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10,723,447 shares of the Company’s Common Stock, par value $0.001, outstanding on February 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2007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20" w:type="dxa"/>
            <w:vAlign w:val="bottom"/>
          </w:tcPr>
          <w:p>
            <w:pPr>
              <w:jc w:val="center"/>
              <w:ind w:left="310"/>
              <w:spacing w:after="0"/>
              <w:rPr>
                <w:sz w:val="20"/>
                <w:szCs w:val="20"/>
                <w:color w:val="auto"/>
              </w:rPr>
            </w:pPr>
            <w:r>
              <w:rPr>
                <w:rFonts w:ascii="Arial" w:cs="Arial" w:eastAsia="Arial" w:hAnsi="Arial"/>
                <w:sz w:val="18"/>
                <w:szCs w:val="18"/>
                <w:b w:val="1"/>
                <w:bCs w:val="1"/>
                <w:color w:val="auto"/>
              </w:rPr>
              <w:t>INDEX</w:t>
            </w:r>
          </w:p>
        </w:tc>
        <w:tc>
          <w:tcPr>
            <w:tcW w:w="14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Page Number</w:t>
            </w: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Disclosure Regarding Forward-Looking Statements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20" w:type="dxa"/>
            <w:vAlign w:val="bottom"/>
          </w:tcPr>
          <w:p>
            <w:pPr>
              <w:jc w:val="center"/>
              <w:ind w:left="310"/>
              <w:spacing w:after="0"/>
              <w:rPr>
                <w:sz w:val="20"/>
                <w:szCs w:val="20"/>
                <w:color w:val="auto"/>
              </w:rPr>
            </w:pPr>
            <w:r>
              <w:rPr>
                <w:rFonts w:ascii="Arial" w:cs="Arial" w:eastAsia="Arial" w:hAnsi="Arial"/>
                <w:sz w:val="18"/>
                <w:szCs w:val="18"/>
                <w:color w:val="auto"/>
                <w:w w:val="98"/>
              </w:rPr>
              <w:t>PART I – FINANCIAL INFORMATION</w:t>
            </w:r>
          </w:p>
        </w:tc>
        <w:tc>
          <w:tcPr>
            <w:tcW w:w="1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Condensed Consolidated Financial Statements</w:t>
            </w:r>
          </w:p>
        </w:tc>
        <w:tc>
          <w:tcPr>
            <w:tcW w:w="1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Condensed Consolidated Balance Sheets as of December 31, 2007 and June 30, 2007</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02"/>
        </w:trPr>
        <w:tc>
          <w:tcPr>
            <w:tcW w:w="2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Condensed Consolidated Statements of Income for the three months ended December 31, 2007 and 2006 and the six</w:t>
            </w:r>
          </w:p>
        </w:tc>
        <w:tc>
          <w:tcPr>
            <w:tcW w:w="14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months ended December 31, 2007 and 2006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20" w:type="dxa"/>
            <w:vAlign w:val="bottom"/>
          </w:tcPr>
          <w:p>
            <w:pPr>
              <w:ind w:left="260"/>
              <w:spacing w:after="0"/>
              <w:rPr>
                <w:sz w:val="20"/>
                <w:szCs w:val="20"/>
                <w:color w:val="auto"/>
              </w:rPr>
            </w:pPr>
            <w:r>
              <w:rPr>
                <w:rFonts w:ascii="Arial" w:cs="Arial" w:eastAsia="Arial" w:hAnsi="Arial"/>
                <w:sz w:val="18"/>
                <w:szCs w:val="18"/>
                <w:color w:val="auto"/>
              </w:rPr>
              <w:t>Condensed Consolidated Statements of Cash Flows for the six months ended December 31, 2007 and 2006</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PART II – OTHER INFORMATION</w:t>
            </w:r>
          </w:p>
        </w:tc>
        <w:tc>
          <w:tcPr>
            <w:tcW w:w="1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02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Defaults Upon Senior Securities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tcPr>
          <w:p>
            <w:pPr>
              <w:ind w:left="260"/>
              <w:spacing w:after="0"/>
              <w:rPr>
                <w:sz w:val="20"/>
                <w:szCs w:val="20"/>
                <w:color w:val="auto"/>
              </w:rPr>
            </w:pPr>
            <w:r>
              <w:rPr>
                <w:rFonts w:ascii="Arial" w:cs="Arial" w:eastAsia="Arial" w:hAnsi="Arial"/>
                <w:sz w:val="18"/>
                <w:szCs w:val="18"/>
                <w:color w:val="auto"/>
              </w:rPr>
              <w:t>Submission of Matters to a Vote of Security Holders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02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90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70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20" w:type="dxa"/>
            <w:vAlign w:val="bottom"/>
          </w:tcPr>
          <w:p>
            <w:pPr>
              <w:jc w:val="center"/>
              <w:ind w:left="310"/>
              <w:spacing w:after="0"/>
              <w:rPr>
                <w:sz w:val="20"/>
                <w:szCs w:val="20"/>
                <w:color w:val="auto"/>
              </w:rPr>
            </w:pPr>
            <w:r>
              <w:rPr>
                <w:rFonts w:ascii="Arial" w:cs="Arial" w:eastAsia="Arial" w:hAnsi="Arial"/>
                <w:sz w:val="18"/>
                <w:szCs w:val="18"/>
                <w:color w:val="auto"/>
                <w:w w:val="99"/>
              </w:rPr>
              <w:t>2</w:t>
            </w:r>
          </w:p>
        </w:tc>
        <w:tc>
          <w:tcPr>
            <w:tcW w:w="14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2200"/>
              <w:spacing w:after="0" w:line="201"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19,676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for doubtful accounts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of $60 and $54, respectively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 Bond for Preliminary Injunction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Note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38,942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Note Receiveable - long-term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Deferred product revenue</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Common stock, par value $0.001, 50,000,000 shares authorized,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280"/>
              <w:spacing w:after="0" w:line="201" w:lineRule="exact"/>
              <w:rPr>
                <w:sz w:val="20"/>
                <w:szCs w:val="20"/>
                <w:color w:val="auto"/>
              </w:rPr>
            </w:pPr>
            <w:r>
              <w:rPr>
                <w:rFonts w:ascii="Arial" w:cs="Arial" w:eastAsia="Arial" w:hAnsi="Arial"/>
                <w:sz w:val="18"/>
                <w:szCs w:val="18"/>
                <w:color w:val="auto"/>
              </w:rPr>
              <w:t>10,771,165 and 10,861,920 shares issued and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(16,592)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30,296</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41,602</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89"/>
              </w:rPr>
              <w:t>December</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December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9"/>
              </w:rPr>
              <w:t>December</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20,229</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00"/>
              <w:spacing w:after="0"/>
              <w:rPr>
                <w:sz w:val="20"/>
                <w:szCs w:val="20"/>
                <w:color w:val="auto"/>
              </w:rPr>
            </w:pPr>
            <w:r>
              <w:rPr>
                <w:rFonts w:ascii="Arial" w:cs="Arial" w:eastAsia="Arial" w:hAnsi="Arial"/>
                <w:sz w:val="18"/>
                <w:szCs w:val="18"/>
                <w:color w:val="auto"/>
              </w:rPr>
              <w:t>Total cost of goods sold</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00"/>
              <w:spacing w:after="0"/>
              <w:rPr>
                <w:sz w:val="20"/>
                <w:szCs w:val="20"/>
                <w:color w:val="auto"/>
              </w:rPr>
            </w:pPr>
            <w:r>
              <w:rPr>
                <w:rFonts w:ascii="Arial" w:cs="Arial" w:eastAsia="Arial" w:hAnsi="Arial"/>
                <w:sz w:val="18"/>
                <w:szCs w:val="18"/>
                <w:color w:val="auto"/>
              </w:rPr>
              <w:t>Total other income, net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Gain on disposal of discontinued operations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discontinued operations</w:t>
            </w:r>
          </w:p>
        </w:tc>
        <w:tc>
          <w:tcPr>
            <w:tcW w:w="4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76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INCOME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December</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December</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December</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from continuing operations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Diluted earnings per common share from continuing operations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9"/>
              </w:rPr>
              <w:t>Basic earnings per common share from discontinued operations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Diluted earnings per common share from discontinued operations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10,840,193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11,922,641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10,900,725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12,053,745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10,941,491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11,957,706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11,012,239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12,100,794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76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7"/>
                <w:szCs w:val="17"/>
                <w:color w:val="auto"/>
              </w:rPr>
            </w:pPr>
          </w:p>
        </w:tc>
      </w:tr>
      <w:tr>
        <w:trPr>
          <w:trHeight w:val="241"/>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w:t>
            </w:r>
          </w:p>
        </w:tc>
      </w:tr>
      <w:tr>
        <w:trPr>
          <w:trHeight w:val="216"/>
        </w:trPr>
        <w:tc>
          <w:tcPr>
            <w:tcW w:w="5240" w:type="dxa"/>
            <w:vAlign w:val="bottom"/>
          </w:tcPr>
          <w:p>
            <w:pPr>
              <w:ind w:left="160"/>
              <w:spacing w:after="0"/>
              <w:rPr>
                <w:sz w:val="20"/>
                <w:szCs w:val="20"/>
                <w:color w:val="auto"/>
              </w:rPr>
            </w:pPr>
            <w:r>
              <w:rPr>
                <w:rFonts w:ascii="Arial" w:cs="Arial" w:eastAsia="Arial" w:hAnsi="Arial"/>
                <w:sz w:val="18"/>
                <w:szCs w:val="18"/>
                <w:color w:val="auto"/>
                <w:w w:val="99"/>
              </w:rPr>
              <w:t>Adjustments to reconcile net income from continuing operations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 net cash provided by (used in) operations: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r>
      <w:tr>
        <w:trPr>
          <w:trHeight w:val="216"/>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r>
      <w:tr>
        <w:trPr>
          <w:trHeight w:val="216"/>
        </w:trPr>
        <w:tc>
          <w:tcPr>
            <w:tcW w:w="524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r>
      <w:tr>
        <w:trPr>
          <w:trHeight w:val="216"/>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assets and fixed assets write-offs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r>
      <w:tr>
        <w:trPr>
          <w:trHeight w:val="216"/>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Deposit - Bond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480"/>
              <w:spacing w:after="0"/>
              <w:rPr>
                <w:sz w:val="20"/>
                <w:szCs w:val="20"/>
                <w:color w:val="auto"/>
              </w:rPr>
            </w:pPr>
            <w:r>
              <w:rPr>
                <w:rFonts w:ascii="Arial" w:cs="Arial" w:eastAsia="Arial" w:hAnsi="Arial"/>
                <w:sz w:val="18"/>
                <w:szCs w:val="18"/>
                <w:color w:val="auto"/>
              </w:rPr>
              <w:t>Note receivable - Ken-A-Vision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r>
      <w:tr>
        <w:trPr>
          <w:trHeight w:val="216"/>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r>
      <w:tr>
        <w:trPr>
          <w:trHeight w:val="216"/>
        </w:trPr>
        <w:tc>
          <w:tcPr>
            <w:tcW w:w="5240" w:type="dxa"/>
            <w:vAlign w:val="bottom"/>
          </w:tcPr>
          <w:p>
            <w:pPr>
              <w:ind w:left="480"/>
              <w:spacing w:after="0"/>
              <w:rPr>
                <w:sz w:val="20"/>
                <w:szCs w:val="20"/>
                <w:color w:val="auto"/>
              </w:rPr>
            </w:pPr>
            <w:r>
              <w:rPr>
                <w:rFonts w:ascii="Arial" w:cs="Arial" w:eastAsia="Arial" w:hAnsi="Arial"/>
                <w:sz w:val="18"/>
                <w:szCs w:val="18"/>
                <w:color w:val="auto"/>
              </w:rPr>
              <w:t>Prepaid expenses and other asssets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r>
      <w:tr>
        <w:trPr>
          <w:trHeight w:val="216"/>
        </w:trPr>
        <w:tc>
          <w:tcPr>
            <w:tcW w:w="524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r>
      <w:tr>
        <w:trPr>
          <w:trHeight w:val="216"/>
        </w:trPr>
        <w:tc>
          <w:tcPr>
            <w:tcW w:w="524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(1,160)</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continuing operating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w:t>
            </w:r>
          </w:p>
        </w:tc>
      </w:tr>
      <w:tr>
        <w:trPr>
          <w:trHeight w:val="216"/>
        </w:trPr>
        <w:tc>
          <w:tcPr>
            <w:tcW w:w="5240" w:type="dxa"/>
            <w:vAlign w:val="bottom"/>
          </w:tcPr>
          <w:p>
            <w:pPr>
              <w:ind w:left="480"/>
              <w:spacing w:after="0"/>
              <w:rPr>
                <w:sz w:val="20"/>
                <w:szCs w:val="20"/>
                <w:color w:val="auto"/>
              </w:rPr>
            </w:pPr>
            <w:r>
              <w:rPr>
                <w:rFonts w:ascii="Arial" w:cs="Arial" w:eastAsia="Arial" w:hAnsi="Arial"/>
                <w:sz w:val="18"/>
                <w:szCs w:val="18"/>
                <w:color w:val="auto"/>
              </w:rPr>
              <w:t>Net cash provided by discontinued operating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r>
      <w:tr>
        <w:trPr>
          <w:trHeight w:val="216"/>
        </w:trPr>
        <w:tc>
          <w:tcPr>
            <w:tcW w:w="5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r>
      <w:tr>
        <w:trPr>
          <w:trHeight w:val="216"/>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r>
      <w:tr>
        <w:trPr>
          <w:trHeight w:val="216"/>
        </w:trPr>
        <w:tc>
          <w:tcPr>
            <w:tcW w:w="524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(6,900)</w:t>
            </w:r>
          </w:p>
        </w:tc>
      </w:tr>
      <w:tr>
        <w:trPr>
          <w:trHeight w:val="216"/>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10,950</w:t>
            </w:r>
          </w:p>
        </w:tc>
      </w:tr>
      <w:tr>
        <w:trPr>
          <w:trHeight w:val="27"/>
        </w:trPr>
        <w:tc>
          <w:tcPr>
            <w:tcW w:w="5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240" w:type="dxa"/>
            <w:vAlign w:val="bottom"/>
          </w:tcPr>
          <w:p>
            <w:pPr>
              <w:ind w:left="480"/>
              <w:spacing w:after="0"/>
              <w:rPr>
                <w:sz w:val="20"/>
                <w:szCs w:val="20"/>
                <w:color w:val="auto"/>
              </w:rPr>
            </w:pPr>
            <w:r>
              <w:rPr>
                <w:rFonts w:ascii="Arial" w:cs="Arial" w:eastAsia="Arial" w:hAnsi="Arial"/>
                <w:sz w:val="18"/>
                <w:szCs w:val="18"/>
                <w:color w:val="auto"/>
                <w:w w:val="98"/>
              </w:rPr>
              <w:t>Net cash provided by (used in) continuing investing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3,489</w:t>
            </w:r>
          </w:p>
        </w:tc>
      </w:tr>
      <w:tr>
        <w:trPr>
          <w:trHeight w:val="216"/>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r>
      <w:tr>
        <w:trPr>
          <w:trHeight w:val="27"/>
        </w:trPr>
        <w:tc>
          <w:tcPr>
            <w:tcW w:w="5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5240" w:type="dxa"/>
            <w:vAlign w:val="bottom"/>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4,048</w:t>
            </w:r>
          </w:p>
        </w:tc>
      </w:tr>
      <w:tr>
        <w:trPr>
          <w:trHeight w:val="216"/>
        </w:trPr>
        <w:tc>
          <w:tcPr>
            <w:tcW w:w="5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5240" w:type="dxa"/>
            <w:vAlign w:val="bottom"/>
          </w:tcPr>
          <w:p>
            <w:pPr>
              <w:ind w:left="160"/>
              <w:spacing w:after="0"/>
              <w:rPr>
                <w:sz w:val="20"/>
                <w:szCs w:val="20"/>
                <w:color w:val="auto"/>
              </w:rPr>
            </w:pPr>
            <w:r>
              <w:rPr>
                <w:rFonts w:ascii="Arial" w:cs="Arial" w:eastAsia="Arial" w:hAnsi="Arial"/>
                <w:sz w:val="18"/>
                <w:szCs w:val="18"/>
                <w:color w:val="auto"/>
              </w:rPr>
              <w:t>Purchase and retirement of stock</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(4,745)</w:t>
            </w:r>
          </w:p>
        </w:tc>
      </w:tr>
      <w:tr>
        <w:trPr>
          <w:trHeight w:val="216"/>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attributable to exercise of stock options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524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(4,739)</w:t>
            </w:r>
          </w:p>
        </w:tc>
      </w:tr>
      <w:tr>
        <w:trPr>
          <w:trHeight w:val="216"/>
        </w:trPr>
        <w:tc>
          <w:tcPr>
            <w:tcW w:w="5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r>
      <w:tr>
        <w:trPr>
          <w:trHeight w:val="27"/>
        </w:trPr>
        <w:tc>
          <w:tcPr>
            <w:tcW w:w="5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1,840</w:t>
            </w:r>
          </w:p>
        </w:tc>
      </w:tr>
      <w:tr>
        <w:trPr>
          <w:trHeight w:val="21"/>
        </w:trPr>
        <w:tc>
          <w:tcPr>
            <w:tcW w:w="5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7"/>
                <w:szCs w:val="17"/>
                <w:color w:val="auto"/>
              </w:rPr>
            </w:pPr>
          </w:p>
        </w:tc>
      </w:tr>
      <w:tr>
        <w:trPr>
          <w:trHeight w:val="241"/>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Exchanged accounts receivable from a vendor with accounts payable to</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same vendor</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5480" w:type="dxa"/>
            <w:vAlign w:val="bottom"/>
          </w:tcPr>
          <w:p>
            <w:pPr>
              <w:ind w:left="160"/>
              <w:spacing w:after="0" w:line="201" w:lineRule="exact"/>
              <w:rPr>
                <w:sz w:val="20"/>
                <w:szCs w:val="20"/>
                <w:color w:val="auto"/>
              </w:rPr>
            </w:pPr>
            <w:r>
              <w:rPr>
                <w:rFonts w:ascii="Arial" w:cs="Arial" w:eastAsia="Arial" w:hAnsi="Arial"/>
                <w:sz w:val="18"/>
                <w:szCs w:val="18"/>
                <w:color w:val="auto"/>
                <w:w w:val="92"/>
              </w:rPr>
              <w:t>Increase in accumulated deficit and income tax liability as a result of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adoption of FIN48 (see note 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incentive for Edgewater leasehold improvements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w:t>
            </w: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-121920</wp:posOffset>
            </wp:positionV>
            <wp:extent cx="542861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accompanying condensed consolidated financial statements, consisting of the condensed consolidated balance sheets as of December 31, 2007 and June 30, 2007, the condensed consolidated statements of income for the three months and six months ended December 31, 2007 and 2006, and the condensed consolidated statements of cash flows for the six months ended December 31, 2007 and 2006, have been prepared in accordance with accounting principles generally accepted in the United States for interim financial information and with the instructions to Form 10-Q.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2007.</w:t>
      </w:r>
    </w:p>
    <w:p>
      <w:pPr>
        <w:spacing w:after="0" w:line="2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 as of December 31, 2007 and June 30, 2007 (in thousands):</w:t>
      </w:r>
    </w:p>
    <w:p>
      <w:pPr>
        <w:spacing w:after="0" w:line="248" w:lineRule="exact"/>
        <w:rPr>
          <w:sz w:val="20"/>
          <w:szCs w:val="20"/>
          <w:color w:val="auto"/>
        </w:rPr>
      </w:pPr>
    </w:p>
    <w:tbl>
      <w:tblPr>
        <w:tblLayout w:type="fixed"/>
        <w:tblInd w:w="2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6,792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Payment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December 31, 2007, the Company had two share-based compensation plans, one which was replaced on November 20, 2007, and one which became active on the same date. The plans are described below.</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Provisions of the 1998 Plan included the granting of stock options. Provisions of the 1998 Plan include the granting of incentive and non-qualified stock options.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December 31, 2007, 20,000 and 150,250 of these options that cliff vest after 9.8 and 6.0 years, respectively, remain outstanding.</w:t>
      </w:r>
    </w:p>
    <w:p>
      <w:pPr>
        <w:spacing w:after="0" w:line="21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in their sole discretion, determine, or in the absence of a Compensation Committee, a properly constituted Compensation Committee or the Board itself.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ind w:right="60"/>
        <w:spacing w:after="0" w:line="288"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w:t>
      </w:r>
    </w:p>
    <w:p>
      <w:pPr>
        <w:ind w:right="40"/>
        <w:spacing w:after="0" w:line="295" w:lineRule="auto"/>
        <w:rPr>
          <w:sz w:val="20"/>
          <w:szCs w:val="20"/>
          <w:color w:val="auto"/>
        </w:rPr>
      </w:pPr>
      <w:r>
        <w:rPr>
          <w:rFonts w:ascii="Arial" w:cs="Arial" w:eastAsia="Arial" w:hAnsi="Arial"/>
          <w:sz w:val="16"/>
          <w:szCs w:val="16"/>
          <w:color w:val="auto"/>
        </w:rPr>
        <w:t>corporate transaction, the Company’s Board of Directors have the authority to elect that all unvested options shall vest and become exercisable immediately prior to the event or closing of the transaction. All options outstanding as of December 31, 2007 had contractual lives of ten years. Under the 1998 Plan, 2,500,000 shares were authorized for grant. As of December 31, 2007, there were 1,363,983 options outstanding under the 1998 Plan, which includes the cliff vesting and 3 or 4-year vesting options discussed above. As of December 31, 2007, no options had been granted under the 2007 Plan.</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5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During the first fiscal quarter of 2007, the Company completed the sales of its document and educational camera product line to Ken-A-Vision Manufacturing. Additionally, during fiscal 2005, the Company sold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Six Months Ended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December</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December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91"/>
              </w:rPr>
              <w:t>December</w:t>
            </w: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ind w:right="47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discontinued operations: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w w:val="96"/>
              </w:rPr>
              <w:t>Total gain (loss) on disposal of discontinued operations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OM Video</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tax benefit (provision)</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Borders>
              <w:top w:val="single" w:sz="8" w:color="CCEEFF"/>
            </w:tcBorders>
            <w:gridSpan w:val="2"/>
          </w:tcPr>
          <w:p>
            <w:pPr>
              <w:spacing w:after="0"/>
              <w:rPr>
                <w:sz w:val="18"/>
                <w:szCs w:val="18"/>
                <w:color w:val="auto"/>
              </w:rPr>
            </w:pPr>
          </w:p>
        </w:tc>
        <w:tc>
          <w:tcPr>
            <w:tcW w:w="9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income (loss) from discontinued operations, net of income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640" w:type="dxa"/>
            <w:vAlign w:val="bottom"/>
          </w:tcPr>
          <w:p>
            <w:pPr>
              <w:jc w:val="right"/>
              <w:ind w:right="477"/>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Total income (loss) from discontinued operations,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income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right w:val="single" w:sz="8" w:color="CCEEFF"/>
            </w:tcBorders>
            <w:shd w:val="clear" w:color="auto" w:fill="CCEEFF"/>
          </w:tcPr>
          <w:p>
            <w:pPr>
              <w:spacing w:after="0"/>
              <w:rPr>
                <w:sz w:val="20"/>
                <w:szCs w:val="20"/>
                <w:color w:val="auto"/>
              </w:rPr>
            </w:pPr>
          </w:p>
        </w:tc>
        <w:tc>
          <w:tcPr>
            <w:tcW w:w="640" w:type="dxa"/>
            <w:vAlign w:val="bottom"/>
            <w:shd w:val="clear" w:color="auto" w:fill="CCEEFF"/>
          </w:tcPr>
          <w:p>
            <w:pPr>
              <w:jc w:val="right"/>
              <w:ind w:right="47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$1.3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 The Company reevaluated its options and concluded that its best course of action was to enforce its security and appoint a receiver over the assets of OM Video. As of December 31, 2007, the amount of the promissory note and contingent earn-out provision was approximately $659 which is net of $633 collected through receivership.</w:t>
      </w:r>
    </w:p>
    <w:p>
      <w:pPr>
        <w:sectPr>
          <w:pgSz w:w="11900" w:h="16838" w:orient="portrait"/>
          <w:cols w:equalWidth="0" w:num="1">
            <w:col w:w="11420"/>
          </w:cols>
          <w:pgMar w:left="240" w:top="368"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Income Taxes</w:t>
      </w: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July 2006, the FASB issued Interpretation No. 48 (“FIN 48”), Accounting for Uncertainty in Income Taxes, which clarifies the accounting for uncertainty in income taxes recognized in the financial statements in accordance with FASB Statement No. 109, Accounting for Income Taxes. Under FIN 48, tax positions shall initially be recognized in the financial statements when it is more likely than not the position will be sustained upon examination by the tax authorities. Such tax positions shall initially and subsequently be measured as the largest amount of tax benefit that is greater than 50% likely of being realized upon ultimate settlement with the tax authority assuming full knowledge of the position and all relevant facts.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adopted the provisions of FIN 48 on July 1, 2007. Upon adoption, we recognized a FIN 48 liability of $755 for permanent tax items. Included in the $755 liability was approximately $78 in interest and penalties related to unrecognized tax benefits. We also recognized $159 of temporary FIN 48 liability. After taking our SFAS 5 “Accounting for Contingencies” contingent liability balance of $618 from June 30, 2007 we posted a cumulative-effect adjustment of approximately $295, increasing our liability for unrecognized tax benefits and reducing the July 1, 2007 balance of retained earnings. The total liability for unrecognized tax benefits at July 1, 2007, including temporary tax differences, was approximately $914.</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our first and second fiscal quarters of 2008, we recorded approximately $45 and $125, respectively, related to unrecognized tax benefits that would favorably impact our effective tax rate if recognized. The total outstanding balance for liabilities related to unrecognized tax benefits at December 31, 2007 was $1,084 of which $99 was associated with interest and penalties. We account for interest expense and penalties for unrecognized tax benefits as part of our income tax provision.</w:t>
      </w:r>
    </w:p>
    <w:p>
      <w:pPr>
        <w:spacing w:after="0" w:line="21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The reversal of a previously established valuation allowance results in a benefit for income taxes. As of December 31, 2007 we continued to be fully reserved against our net deferred tax assets which total to approximately $4.7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Contingent Liability</w:t>
      </w:r>
    </w:p>
    <w:p>
      <w:pPr>
        <w:spacing w:after="0" w:line="25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accordance with Statement of Financial Accounting Standards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the Company accrued $1.8 million in its fiscal 2008 first quarter and an additional $115 in its fiscal 2008 second quarter, representing the probable amount that as of the date of the financial statements could be reasonably estimated of its liability, through trial, associated with the advancement of funds related to indemnification agreements with two former officers.</w:t>
      </w:r>
    </w:p>
    <w:p>
      <w:pPr>
        <w:spacing w:after="0" w:line="255" w:lineRule="auto"/>
        <w:rPr>
          <w:sz w:val="20"/>
          <w:szCs w:val="20"/>
          <w:color w:val="auto"/>
        </w:rPr>
      </w:pPr>
      <w:r>
        <w:rPr>
          <w:rFonts w:ascii="Arial" w:cs="Arial" w:eastAsia="Arial" w:hAnsi="Arial"/>
          <w:sz w:val="18"/>
          <w:szCs w:val="18"/>
          <w:color w:val="auto"/>
        </w:rPr>
        <w:t>As disclosed in July 2007, the Company was informed that two of its former officers have been indicted by the United States Attorney's Office for the District of Utah. The Company has been advised that the trial date has been moved to April 21, 2008. The Company is cooperating fully with the U.S. Attorney's office in this matter and has been advised that it is neither a target nor a subject of the investigation or indictment.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Bond for Preliminary Injunction</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As explained in Part II. Legal Proceedings, and in reference to the case of </w:t>
      </w:r>
      <w:r>
        <w:rPr>
          <w:rFonts w:ascii="Arial" w:cs="Arial" w:eastAsia="Arial" w:hAnsi="Arial"/>
          <w:sz w:val="16"/>
          <w:szCs w:val="16"/>
          <w:i w:val="1"/>
          <w:iCs w:val="1"/>
          <w:color w:val="auto"/>
        </w:rPr>
        <w:t>ClearOne Communications, Inc. v. Andrew Chiang, et al</w:t>
      </w:r>
      <w:r>
        <w:rPr>
          <w:rFonts w:ascii="Arial" w:cs="Arial" w:eastAsia="Arial" w:hAnsi="Arial"/>
          <w:sz w:val="16"/>
          <w:szCs w:val="16"/>
          <w:color w:val="auto"/>
        </w:rPr>
        <w:t>, a preliminary injunction order was granted to ClearOne on October 30, 2007. In conjunction with the United States District Court’s grant of ClearOne’s motion for a preliminary injunction, the Courtissued an order establishing the amount for the bond to be posted by ClearOne. The bond was set in the amount of $907,909, placed with the clerk of the Court on November 6, 2007 and recorded as a deposit in the current assets section of the Company’s balance sheet.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Recent Accounting Pronouncements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September 2006, the Financial Accounting Standards Board (“FASB”) issued the Statement of Financial Accounting Standards (“SFAS”) No. 157 “Fair Value Measurements.” This statement defines fair value, establishes a framework for measuring fair value in generally accepted accounting principles and expands disclosures about fair value. SFAS 157 expands the disclosures about the use of fair value to measure assets and liabilities in interim and annual periods subsequent to initial recognition. The disclosures focus on the inputs used to measure fair value, the recurring fair value measurements using significant unobservable inputs and the effect of the measurement on earnings (or changes in net assets) for the period. The guidance in SFAS 157 also applies for derivatives and other financial instruments measured at fair value under Statement 133 “Accounting for Derivative Instruments and Hedging Activities” at initial recognition and in all subsequent periods. SFAS 157 is effective for fiscal years beginning after November 15, 2007, and interim periods within those fiscal years. We are currently reviewing the requirements of SFAS 157, and at this point in time, have not determined what impact, if any, SFAS 157 will have on our results of operations and financial position.</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are currently reviewing the requirements of this statement and, at this point in time, have not determined the impact, if any, that this statement may have on our results of operations and financial position.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3" w:name="page14"/>
    <w:bookmarkEnd w:id="13"/>
    <w:p>
      <w:pPr>
        <w:spacing w:after="0"/>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2007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high-quality audio conferencing products, which range from personal conferencing products to tabletop conferencing phones to premium and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2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color w:val="auto"/>
        </w:rPr>
        <w:t>We provide a right of return on product sales to distributors.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we believe that our calculations are indicative of actual levels of inventory in the distribution channel. As of December 31, 2007, the Company deferred $5.0 million in revenue and $1.9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21-month period ended December 31, 2007 (in thousands).</w:t>
      </w:r>
    </w:p>
    <w:p>
      <w:pPr>
        <w:spacing w:after="0" w:line="20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Deferred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of Goods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Deferred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Revenue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Sold</w:t>
            </w:r>
          </w:p>
        </w:tc>
        <w:tc>
          <w:tcPr>
            <w:tcW w:w="100" w:type="dxa"/>
            <w:vAlign w:val="bottom"/>
          </w:tcPr>
          <w:p>
            <w:pPr>
              <w:spacing w:after="0"/>
              <w:rPr>
                <w:sz w:val="20"/>
                <w:szCs w:val="20"/>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Gross Profit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September 30, 2007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June 30, 2007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31, 2007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September 30, 2006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March 31, 2006</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Intangibles</w:t>
      </w:r>
    </w:p>
    <w:p>
      <w:pPr>
        <w:spacing w:after="0" w:line="27" w:lineRule="exact"/>
        <w:rPr>
          <w:sz w:val="20"/>
          <w:szCs w:val="20"/>
          <w:color w:val="auto"/>
        </w:rPr>
      </w:pPr>
    </w:p>
    <w:p>
      <w:pPr>
        <w:ind w:right="1220"/>
        <w:spacing w:after="0" w:line="290" w:lineRule="auto"/>
        <w:rPr>
          <w:sz w:val="20"/>
          <w:szCs w:val="20"/>
          <w:color w:val="auto"/>
        </w:rPr>
      </w:pPr>
      <w:r>
        <w:rPr>
          <w:rFonts w:ascii="Arial" w:cs="Arial" w:eastAsia="Arial" w:hAnsi="Arial"/>
          <w:sz w:val="17"/>
          <w:szCs w:val="17"/>
          <w:color w:val="auto"/>
        </w:rPr>
        <w:t>We assess the impairment of intangibles annually or whenever events or changes in circumstances indicate that the carrying value may not be recoverable. Some factors we consider important which could trigger an impairment review include the following:</w:t>
      </w:r>
    </w:p>
    <w:p>
      <w:pPr>
        <w:spacing w:after="0" w:line="189"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we determine that the carrying value of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intangibles for impairment at least annually.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ind w:right="16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assess the impairment of long-lived assets, such as property,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 The reversal of a previously established valuation allowance results in a benefit for income taxes. As of December 31, 2007, we continued to be fully reserved against our net deferred tax assets which total to approximately $4.6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6" w:name="page17"/>
    <w:bookmarkEnd w:id="16"/>
    <w:p>
      <w:pPr>
        <w:ind w:right="20"/>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color w:val="auto"/>
        </w:rPr>
        <w:t>Results of Operations for the three months or the second fiscal quarter (“2Q”) and six months or the first half of the fiscal year (“1H”) ended December 31, 2007 and 2006</w:t>
      </w:r>
    </w:p>
    <w:p>
      <w:pPr>
        <w:ind w:right="200"/>
        <w:spacing w:after="0" w:line="261"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three and six months ended December 31, 2007 and 2006, together with the percentage of total revenue which each such item represents:</w:t>
      </w:r>
    </w:p>
    <w:p>
      <w:pPr>
        <w:spacing w:after="0" w:line="20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rPr>
              <w:t>Six Months Ended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5"/>
          </w:tcPr>
          <w:p>
            <w:pPr>
              <w:jc w:val="center"/>
              <w:ind w:right="5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7"/>
                <w:szCs w:val="17"/>
                <w:color w:val="auto"/>
              </w:rPr>
            </w:pPr>
          </w:p>
        </w:tc>
        <w:tc>
          <w:tcPr>
            <w:tcW w:w="176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52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7"/>
                <w:szCs w:val="17"/>
                <w:color w:val="auto"/>
              </w:rPr>
            </w:pPr>
          </w:p>
        </w:tc>
        <w:tc>
          <w:tcPr>
            <w:tcW w:w="178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8,714</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General and administrative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ind w:left="160"/>
              <w:spacing w:after="0" w:line="201" w:lineRule="exact"/>
              <w:rPr>
                <w:sz w:val="20"/>
                <w:szCs w:val="20"/>
                <w:color w:val="auto"/>
              </w:rPr>
            </w:pPr>
            <w:r>
              <w:rPr>
                <w:rFonts w:ascii="Arial" w:cs="Arial" w:eastAsia="Arial" w:hAnsi="Arial"/>
                <w:sz w:val="18"/>
                <w:szCs w:val="18"/>
                <w:color w:val="auto"/>
              </w:rPr>
              <w:t>Research and product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Total operating expenses</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top w:val="single" w:sz="8" w:color="CCEEFF"/>
            </w:tcBorders>
          </w:tcPr>
          <w:p>
            <w:pPr>
              <w:ind w:left="320"/>
              <w:spacing w:after="0" w:line="201" w:lineRule="exact"/>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(expense), net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w w:val="97"/>
              </w:rPr>
              <w:t>Income (loss) from continuing</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operations before income</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benefit from</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top w:val="single" w:sz="8" w:color="CCEEFF"/>
            </w:tcBorders>
          </w:tcPr>
          <w:p>
            <w:pPr>
              <w:ind w:left="160"/>
              <w:spacing w:after="0" w:line="201" w:lineRule="exact"/>
              <w:rPr>
                <w:sz w:val="20"/>
                <w:szCs w:val="20"/>
                <w:color w:val="auto"/>
              </w:rPr>
            </w:pPr>
            <w:r>
              <w:rPr>
                <w:rFonts w:ascii="Arial" w:cs="Arial" w:eastAsia="Arial" w:hAnsi="Arial"/>
                <w:sz w:val="18"/>
                <w:szCs w:val="18"/>
                <w:color w:val="auto"/>
              </w:rPr>
              <w:t>Income (loss) from</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Income from discontinued</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for 2Q 2008increased by 7%, or approximately $680,000compared to 2Q 2007. The 2Q 2008 increase was due primarily to growth in the Company’s professional audio and partially due to growth in its tabletop conferencing products. The Company’s professional audio and tabletop conferencing products collectively increased approximately $985,000 over 2Q 2007. The Company also expended about $95,000 less in marketing related programs (e.g. marketing development funds, rebates, etc.) in 2Q 2008 than in 2Q 2007. The 2Q 2008 increases were offset by an approximate $400,000 decline in the Company’s premium, personal and conferencing furniture lines over the same period of 2007.</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18" w:name="page19"/>
    <w:bookmarkEnd w:id="18"/>
    <w:p>
      <w:pPr>
        <w:ind w:right="100"/>
        <w:spacing w:after="0" w:line="259" w:lineRule="auto"/>
        <w:rPr>
          <w:sz w:val="20"/>
          <w:szCs w:val="20"/>
          <w:color w:val="auto"/>
        </w:rPr>
      </w:pPr>
      <w:r>
        <w:rPr>
          <w:rFonts w:ascii="Arial" w:cs="Arial" w:eastAsia="Arial" w:hAnsi="Arial"/>
          <w:sz w:val="18"/>
          <w:szCs w:val="18"/>
          <w:color w:val="auto"/>
        </w:rPr>
        <w:t>1H 2008revenue increased by 4%, or approximately $715,000compared to 1H 2007. The 1H 2008 revenue increase was led by growth in professional audio products sales which increased $1.2 million over 1H 2007. The Company also expended $200,000 less in marketing related programs (e.g. marketing development funds, rebates, etc.) in 1H2008 compared to 1H2007. These increases were offset by reduced premium, tabletop, personal, conferencing furniture and other product sales which together declined about $650,000 in 1H2008.</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2Q 2008 and 2007, the net change in deferred revenue based on the net movement of inventory in the channel was a net recognition of $895,000 and $538,000 in revenue, respectively. In 1H 2008 and 2007, the net change in deferred revenue based on the net movement of inventory in the channel was a deferral of ($108,000) and recognition of $1.2 million in revenue, respectively.</w:t>
      </w:r>
    </w:p>
    <w:p>
      <w:pPr>
        <w:spacing w:after="0" w:line="2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revenues from sales outside of the United States accounted for 29% and 27% of total revenue for the three and six months ended December 31, 2007, respectively and 31% and 29% of total revenue for the three and six months ended December 31, 2006,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gross profit margin (GPM), gross profit as a percentage of sales, was 59% and 52% in 2Q 2008 and 2Q 2007, respectively. The 2Q 2008 GPM improvement was due largely to the favorable 2Q 2008 sales mix as the Company’s highest margin professional audio conferencing products represented a larger portion of total revenue than in 2Q 2007. Additionally, 2Q 2008 GPM was positively impacted by lower inventory obsolescence reserve requirements and lower unfavorable manufacturing variances than in 2Q 2007.</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GPM for 1H 2008 and 1H 2007 was 57% and 53%, respectively. The 1H 2008 GPM improvement was also due to the favorable sales mix as the Company’s highest margin professional audio conferencing products represented a larger portion of total revenue than in 1H 2007. The 1H 2008 GPM improvements were partially offset by the 1Q 2008 increase in the Company’s reserve for inventory obsolescence required to account for the increase in slow-moving inventory in addition to the 1Q 2008 unfavorable manufacturing variances.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2Q 2008 operating expenses were $4.5 million, an increase of about $120,000, or 3%, from $4.3 million for 2Q 2007. 1H 2008 operating expenses were $10.7 million, an increase of $1.6 million, or 17%, from $9.1 million for 1H 2007. The following is a more detailed discussion of expenses related to sales and marketing, general and administrative, and research and product development.</w:t>
      </w:r>
    </w:p>
    <w:p>
      <w:pPr>
        <w:spacing w:after="0" w:line="20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u w:val="single" w:color="auto"/>
          <w:color w:val="auto"/>
        </w:rPr>
        <w:t>Sales and marketing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Sales and Marketing (S&amp;M) expenses include selling, customer service, and marketing expenses such as employee-related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allocations of overhead expenses, trade shows, and other advertising and selling expenses. 2Q 2008 S&amp;M expenses decreased $200,000, or 12%, to $1.6 million compared to 2Q2007 S&amp;M expenses of $1.8 million. As a percentage of revenues, 2Q 2008 and 2007 S&amp;M expenses were 15% and 18%, respectively. The lower 2Q 2008 percentage can be attributed to the 7% higher revenues over 2Q 2007 in addition to lower S&amp;M expenses primarily related to significantly lower payroll and related expenses of $400,000 associated with lower S&amp;M headcount partially offset by an increase in advertising and related expenses to promote the Company’s differentiated value in targeted publications and trade shows. 1H 2008 S&amp;M expenses decreased about $525,000, or 14%, to $3.2 million compared to 1H 2007 expenses of $3.7 million. As a percentage of revenues, 1H 2008 and 2007 marketing and selling expenses were 16% and 19%, respectively. The lower 1H 2008 percentage can be attributed the 4% higher revenues over 1H 2007 in addition to significantly lower payroll and related expenses and lower travel expenses, partially offset by an increase in advertising and related expenses.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and administrative (G&amp;A) expenses include employee-related costs, professional service fees, allocations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overhead expenses, litigation costs, including costs associated with the SEC investigation and subsequent litigation, and corporate administrative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finance and human resources. 2Q 2008 G&amp;A expenses increased $510,000, or 74%, to $1.2 million compared to 2Q 2007 expenses of $688,000.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2Q 2008 and 2007 G&amp;A expenses were 11% and 7% of sales, respectively. The 2Q 2008 increase was primarily due to higher legal fees of $465,000;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$115,000 of which was related to increasing the Company’s contingent liability reserve associated with the advancement of funds related to indemnification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with two former officers. The remaining $350,000 in 2Q 2008 legal fees were primarily related to the Company’s lawsuit filed against WideBand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et al. for, among other things, theft of intellectual property, more thoroughly described in Part II of this Form 10-Q.</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1H 2008 G&amp;A expenses increased $2.6 million, or 174%, to $4.1 million compared to 1H 2007 expenses of $1.5 million. 1H 2008 and 2007 G&amp;A expenses were 20% and 8% of sales, respectively. The $2.6 million increase in 1H 2008 was primarily due to estimating and establishing a $1.8 million accrual for a contingent liability in 1Q 2008, which was subsequently increased by $115,000 in 2Q 2008. In accordance with Statement of Financial Accounting Standards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the Company has accrued a total of $1.9 million in 1H 2008, the balance of which was $1.1 million at December 31, 2007, representing the probable amount that as of the date of the financial statements could be reasonably estimated of its liability, through trial, associated with the advancement of funds related to indemnification agreements with two former officers (please refer to “Legal Proceedings” in Part II of this Form 10-Q for additional information). Also, during 1H 2008 the Company incurred about $690,000 in legal fees, primarily related to its lawsuit against WideBand, et al. The Company also paid Edward D. Bagley, the Company’s former director and Chairman the sum of $200,000 in 1Q 2008 upon his resignation and in consideration for his service as a director of the Company since 1994.</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Research and product development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product development (R&amp;D) expenses include research and development,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and engineering services, and test and application expenses, including employee-related costs, outside services, expensed materials, depreciation, and an allocation of overhead expenses. 2Q 2008 R&amp;D expenses decreased to $1.7 million from $1.9 million in 2Q 2007. As a percentage of revenues, 2Q 2008 and 2007 R&amp;D expenses were 16% and 18%, respectively. The 2Q 2008 decrease was due primarily to lower payroll and related expenses in addition to slightly lower R&amp;D project expenses. 1H 2008 R&amp;D expenses decreased $500,000, or 13%, to $3.4 million compared with 1H 2007 expenses of $3.9 million. The 1H 2008 decrease in R&amp;D expenses was due primarily lower R&amp;D project expenses as compared to 1H 2007 when the Company was heavily involved in working towards launching its next generation of professional product, Converge Pro.</w:t>
      </w:r>
    </w:p>
    <w:p>
      <w:pPr>
        <w:spacing w:after="0" w:line="199"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b w:val="1"/>
          <w:bCs w:val="1"/>
          <w:u w:val="single" w:color="auto"/>
          <w:color w:val="auto"/>
        </w:rPr>
        <w:t>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2Q 2008 operating income increased to $1.9 million from $915,000 in 2Q 2007. The 2Q 2008 operating profit increase of $1.0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was due mainly to the $1.1 million increase in gross profit. 1H 2008 and 2007 operating income was $809,000 and $1.2 million, respectively. The 1H 2008 operating income decrease of approximately $400,000 was due mainly to the $1.9 million contingent liability charged to general &amp; administrative expenses associated with the advancement of funds under the indemnification agreements with two former officers, partially offset by the 1H 2008 $1.2 million gross profit increase.</w:t>
      </w:r>
    </w:p>
    <w:p>
      <w:pPr>
        <w:spacing w:after="0" w:line="21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u w:val="single" w:color="auto"/>
          <w:color w:val="auto"/>
        </w:rPr>
        <w:t>Other income, net</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income (expense), net, includes interest income, interest expense, capital gains, gain (loss) on the disposal of assets, and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gain (loss). 2Q 2008 other income was $311,000 or slightly lower than other income of $320,000 in 2Q 2007. Other income in 1H 2008 and 2007 was about even at approximately $650,000 in each respective period.</w:t>
      </w:r>
    </w:p>
    <w:p>
      <w:pPr>
        <w:spacing w:after="0" w:line="20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u w:val="single" w:color="auto"/>
          <w:color w:val="auto"/>
        </w:rPr>
        <w:t>Income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2Q 2008 income from continuing operations was $1.8 million, an increase of $700,000 from</w:t>
      </w:r>
      <w:r>
        <w:rPr>
          <w:rFonts w:ascii="Arial" w:cs="Arial" w:eastAsia="Arial" w:hAnsi="Arial"/>
          <w:sz w:val="16"/>
          <w:szCs w:val="16"/>
          <w:b w:val="1"/>
          <w:bCs w:val="1"/>
          <w:color w:val="auto"/>
        </w:rPr>
        <w:t xml:space="preserve"> </w:t>
      </w:r>
      <w:r>
        <w:rPr>
          <w:rFonts w:ascii="Arial" w:cs="Arial" w:eastAsia="Arial" w:hAnsi="Arial"/>
          <w:sz w:val="16"/>
          <w:szCs w:val="16"/>
          <w:color w:val="auto"/>
        </w:rPr>
        <w:t>$1.1 million in 2Q 2007. As a percentage of revenues, 2Q 2008 and 2007 income from continuing operations was 16.5% and 10.7%, respectively. 1H 2008 income from continuing operations was $842,000 compared to $1.7 million in 1H 2007. As a percentage of revenues, 1H 2008 and 2007 income from continuing operations was 4.2% and 8.8%, respectively. The lower income from continuing operations in 1H 2008 was due to $1.9 million contingent liability charged to general &amp; administrative expenses associated with the advancement of funds under indemnification agreements with two former officers.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0" w:name="page21"/>
    <w:bookmarkEnd w:id="20"/>
    <w:p>
      <w:pPr>
        <w:ind w:right="40"/>
        <w:spacing w:after="0" w:line="261" w:lineRule="auto"/>
        <w:rPr>
          <w:sz w:val="20"/>
          <w:szCs w:val="20"/>
          <w:color w:val="auto"/>
        </w:rPr>
      </w:pPr>
      <w:r>
        <w:rPr>
          <w:rFonts w:ascii="Arial" w:cs="Arial" w:eastAsia="Arial" w:hAnsi="Arial"/>
          <w:sz w:val="18"/>
          <w:szCs w:val="18"/>
          <w:b w:val="1"/>
          <w:bCs w:val="1"/>
          <w:u w:val="single" w:color="auto"/>
          <w:color w:val="auto"/>
        </w:rPr>
        <w:t>Income (loss) from discontinued operations, net of tax</w:t>
      </w:r>
      <w:r>
        <w:rPr>
          <w:rFonts w:ascii="Arial" w:cs="Arial" w:eastAsia="Arial" w:hAnsi="Arial"/>
          <w:sz w:val="18"/>
          <w:szCs w:val="18"/>
          <w:b w:val="1"/>
          <w:bCs w:val="1"/>
          <w:color w:val="auto"/>
        </w:rPr>
        <w:t xml:space="preserve">. </w:t>
      </w:r>
      <w:r>
        <w:rPr>
          <w:rFonts w:ascii="Arial" w:cs="Arial" w:eastAsia="Arial" w:hAnsi="Arial"/>
          <w:sz w:val="18"/>
          <w:szCs w:val="18"/>
          <w:color w:val="auto"/>
        </w:rPr>
        <w:t>During 2Q 2008 and 2007 we recorded income from discontinued operations, net of tax of $1,000</w:t>
      </w:r>
      <w:r>
        <w:rPr>
          <w:rFonts w:ascii="Arial" w:cs="Arial" w:eastAsia="Arial" w:hAnsi="Arial"/>
          <w:sz w:val="18"/>
          <w:szCs w:val="18"/>
          <w:b w:val="1"/>
          <w:bCs w:val="1"/>
          <w:color w:val="auto"/>
        </w:rPr>
        <w:t xml:space="preserve"> </w:t>
      </w:r>
      <w:r>
        <w:rPr>
          <w:rFonts w:ascii="Arial" w:cs="Arial" w:eastAsia="Arial" w:hAnsi="Arial"/>
          <w:sz w:val="18"/>
          <w:szCs w:val="18"/>
          <w:color w:val="auto"/>
        </w:rPr>
        <w:t>and $4,000, respectively. The 2Q 2008 income was exclusively related to funds received through the receivership of OM Video. The 2Q 2007 income of $4,000 was related to income from the discontinued operations of the document and educational camera product line. For 1H 2008 and 2007 income from discontinued operations, net of tax was $16,000 and $41,000, respectively.</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u w:val="single" w:color="auto"/>
          <w:color w:val="auto"/>
        </w:rPr>
        <w:t>Net income and earnings per share</w:t>
      </w:r>
      <w:r>
        <w:rPr>
          <w:rFonts w:ascii="Arial" w:cs="Arial" w:eastAsia="Arial" w:hAnsi="Arial"/>
          <w:sz w:val="17"/>
          <w:szCs w:val="17"/>
          <w:b w:val="1"/>
          <w:bCs w:val="1"/>
          <w:color w:val="auto"/>
        </w:rPr>
        <w:t xml:space="preserve">. </w:t>
      </w:r>
      <w:r>
        <w:rPr>
          <w:rFonts w:ascii="Arial" w:cs="Arial" w:eastAsia="Arial" w:hAnsi="Arial"/>
          <w:sz w:val="17"/>
          <w:szCs w:val="17"/>
          <w:color w:val="auto"/>
        </w:rPr>
        <w:t>2Q 2008 net income was $1.8 million, an increase of $700,000 from $1.1 million in 2Q 2007. As a percentage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revenues, 2Q 2008 and 2007 net income was 16.5% and 10.7%, respectively. The 2Q 2008 increase was due to the 7% increase in revenue, augmented by the 21% increase in gross margins. 1H 2008 net income was $858,000 compared to $1.8 million in 1H 2007. As a percentage of revenues, 1H 2008 and 2007 net income was 4.2% and 9.0%, respectively. The $900,000 1H 2008 decrease was due largely to the establishment of a $1.9 million accrual for the contingent liability representing the probable amount that as of the date of the financial statements could be reasonably estimated of the Company’s liability, through trial, associated with the advancement of funds related to indemnification agreements with two former officers. The income tax provision rates in 2Q and 1H 2008 were 20.1% and 42.4%, respectively, compared to 12.6% and 7.3% in 2Q and 1H 2007, respectively. The increase in the 2008 tax rates were due largely to the Company’s adoption of FIN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in addition to recognition of tax on the undistributed earnings of the Company’s foreign subsidiaries.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Diluted 2Q 2008 earnings per share (EPS) were 80% higher than in 2Q 2007. Diluted 1H 2008 (EPS) were 46% lower than in 1H 2007. The significant 2Q 2008 EPS improvement was due to the $700,000 increase in net income augmented by approximately 1 million fewer diluted shares outstanding due to the Company’s December 2006 tender offer and open market share repurchases. The 46% decrease 1H 2008 decrease in EPS over the same period of the prior year was due primarily to the Company’s 1H 2008 establishment of a $1.9 million accrual for a contingent liability previously discussed partially offset by the approximate 1 million lower diluted shares in 1H2008 from 1H 2007.</w:t>
      </w:r>
    </w:p>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2Q and 1H 2008 diluted weighted shares outstanding were 10,941,491 and 11,012,239, respectively. 2Q and 1H 2007 diluted weighted shares outstanding were 11,957,706 and 12,100,794,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2007, our cash and cash equivalents were approximately $3.0 million and our marketable securities were approximately $19.7 million, which represented a slight overall increase of approximately $37,000 in our balances from June 30, 2007 which had cash and cash equivalents of approximately $2.8 million and marketable securities of approximately $19.9 million.</w:t>
      </w:r>
    </w:p>
    <w:p>
      <w:pPr>
        <w:spacing w:after="0" w:line="2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Net cash provided by operating activities was $1.5 million for the six months ended December 31, 2007, an increase of $230,000 from the net cash provided by operating activities of $1.3 million for the six months ended December 31, 2006. The year-over-year increase can be attributed to the cash provided by changes in working capital of about $1.3 million, partially offset by the decrease in net income from continuing operations of $878,000 and lower depreciation and stock-based compensation which collectively decreased $176,000 from 1H2006.</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flows (used in) investing activities were ($212,000) for the six months ended December 31, 2007, a decrease of $4.3 million from the net cash flows provided by investing activities of $4.1 million for the six months ended December 31, 2006. The change was primarily attributable to the sale of $4.0 million in marketable securities in 1H 2007 used to fund a December 2006 repurchase of tendered shares of common stock in addition to the 1H 2007 $559,000 net cash provided by discontinued investing operations related to the sale of the Company’s educational camera product line partially offset by $193,000 lower 1H 2008 property and equipment purchases.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six months ended December 31, 2007 totaled ($1.1 million) which was approximately $3.7 million less than the ($4.7 million) (used in) financing activities during 1H 2007. The 1H 2008 decrease was primarily related to the Company’s 1H 2007 repurchase of 1.1 million shares of common stock in December 2006.</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Additionally in 1H 2008, we paid approximately $1.1 million in income taxes and reduced our July 1, 2007 balance of retained earnings by $295 upon our adoption of FASB issued Interpretation No. 48 (“FIN 48”), Accounting for Uncertainty in Income Taxes as discussed in note 5. During 1H 2007 we recorded $1.1 million in non-cash financing activities related to leasehold improvements to our new headquarters, the majority of which was paid as an incentive by the lessor as part of the lease agreement. These improvements are being accounted for in accordance with FASB Technical Bulletin No. 88-1, </w:t>
      </w:r>
      <w:r>
        <w:rPr>
          <w:rFonts w:ascii="Arial" w:cs="Arial" w:eastAsia="Arial" w:hAnsi="Arial"/>
          <w:sz w:val="18"/>
          <w:szCs w:val="18"/>
          <w:i w:val="1"/>
          <w:iCs w:val="1"/>
          <w:color w:val="auto"/>
        </w:rPr>
        <w:t>Issues Relating to</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Leases</w:t>
      </w:r>
      <w:r>
        <w:rPr>
          <w:rFonts w:ascii="Arial" w:cs="Arial" w:eastAsia="Arial" w:hAnsi="Arial"/>
          <w:sz w:val="18"/>
          <w:szCs w:val="18"/>
          <w:color w:val="auto"/>
        </w:rPr>
        <w:t>, which states among other things that landlord incentives which fund leasehold improvements should be recorded as deferred 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as reductions to lease expense over the term of the lease.</w:t>
      </w:r>
    </w:p>
    <w:p>
      <w:pPr>
        <w:spacing w:after="0" w:line="22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Management believes that future income from operations and effective management of working capital will provide the liquidity needed to finance growth plans. In addition to capital expenditures, the Company plans to use cash during the remainder of fiscal 2008 for selective infusions of technological, marketing or product manufacturing rights to broaden the Company's product offerings; for continued share repurchases; and if available for a reasonable price, acquisitions that may strategically fit the Company’s business and are accretive to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2007.</w:t>
      </w:r>
    </w:p>
    <w:p>
      <w:pPr>
        <w:spacing w:after="0" w:line="24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ind w:right="120"/>
        <w:spacing w:after="0" w:line="256"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December 31, 2007.</w:t>
      </w:r>
    </w:p>
    <w:p>
      <w:pPr>
        <w:ind w:right="600"/>
        <w:spacing w:after="0" w:line="261" w:lineRule="auto"/>
        <w:rPr>
          <w:sz w:val="20"/>
          <w:szCs w:val="20"/>
          <w:color w:val="auto"/>
        </w:rPr>
      </w:pPr>
      <w:r>
        <w:rPr>
          <w:rFonts w:ascii="Arial" w:cs="Arial" w:eastAsia="Arial" w:hAnsi="Arial"/>
          <w:sz w:val="18"/>
          <w:szCs w:val="18"/>
          <w:color w:val="auto"/>
        </w:rPr>
        <w:t>Based upon this evaluation, our management, including the Chief Executive Officer and the Chief Financial Officer, has concluded that our disclosure controls and procedures were effective as of December 31, 2007.</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December 31, 2007, that have materially affected, or are reasonably likely to materially affect, the Company’s internal controls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which arise in the normal course of business. Such matters are subject to many uncertainties and outcomes that are not predictable. However, based on the information available to us as of February 8, 2008 and after discussions with legal counsel, we do not believe any such other proceedings will have a material, adverse effect on our business, results of operations, financial position, or liquidity, except as described below.</w:t>
      </w:r>
    </w:p>
    <w:p>
      <w:pPr>
        <w:spacing w:after="0" w:line="19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Theft of Intellectual Property and Copyright Complaints. </w:t>
      </w:r>
      <w:r>
        <w:rPr>
          <w:rFonts w:ascii="Arial" w:cs="Arial" w:eastAsia="Arial" w:hAnsi="Arial"/>
          <w:sz w:val="16"/>
          <w:szCs w:val="16"/>
          <w:color w:val="auto"/>
        </w:rPr>
        <w:t>In January 2007, the Company filed a lawsuit in the Third Judicial District Court, Salt Lake County,</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Utah against WideBand Solutions, Inc. and two of its principals, one former employee named Dr. Jun Yang, and one previously affiliated with an entity which sold certain assets to the Company (the “Intellectual Property Case”). ClearOne also brought claims against Biamp Systems Corporation,</w:t>
      </w:r>
    </w:p>
    <w:p>
      <w:pPr>
        <w:spacing w:after="0" w:line="283" w:lineRule="auto"/>
        <w:rPr>
          <w:sz w:val="20"/>
          <w:szCs w:val="20"/>
          <w:color w:val="auto"/>
        </w:rPr>
      </w:pPr>
      <w:r>
        <w:rPr>
          <w:rFonts w:ascii="Arial" w:cs="Arial" w:eastAsia="Arial" w:hAnsi="Arial"/>
          <w:sz w:val="16"/>
          <w:szCs w:val="16"/>
          <w:color w:val="auto"/>
        </w:rPr>
        <w:t xml:space="preserve">Inc. The matter was subsequently removed to federal court, the United States District Court, District of Utah, Central Division. The case is styled </w:t>
      </w:r>
      <w:r>
        <w:rPr>
          <w:rFonts w:ascii="Arial" w:cs="Arial" w:eastAsia="Arial" w:hAnsi="Arial"/>
          <w:sz w:val="16"/>
          <w:szCs w:val="16"/>
          <w:i w:val="1"/>
          <w:iCs w:val="1"/>
          <w:color w:val="auto"/>
        </w:rPr>
        <w:t>ClearOne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Communications, Inc. v. Jun Yang, et. al. </w:t>
      </w:r>
      <w:r>
        <w:rPr>
          <w:rFonts w:ascii="Arial" w:cs="Arial" w:eastAsia="Arial" w:hAnsi="Arial"/>
          <w:sz w:val="16"/>
          <w:szCs w:val="16"/>
          <w:color w:val="auto"/>
        </w:rPr>
        <w:t>Civil No. 2:07-co-37 TC. The Complaint brings claims against different combinations of the defendants for, among</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things, misappropriation of certain trade secrets, breach of contract, conversion, unjust enrichment and intentional interference with business and contractual relations, primarily in relation to certain algorithms and computer code. The relief being sought by the Company includes an order enjoining the defendants from further use of the Company’s trade secrets and an award consisting of, among other things, compensation and damages related to the unjust enrichment of the defendants. The Court subsequently granted leave to add a third WideBand principal as a defendant to the case. In August 2007, the Company filed a motion for a preliminary injunction in the Intellectual Property Case, in the United States District Court, District of Utah, seeking to enjoin Wideband Solutions, Inc. from licensing certain technology the Company believes constitutes its intellectual property and trade secrets to Harman Music Group, Inc. On September 13, 2007, the court in the Intellectual Property Case granted ClearOne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also brings claims related to the theft and misuse of ClearOne’s confidential and trade secret information. On October 30, 2007, the Chief Judge of the United States District Court in the Intellectual Property Case, the Honorable Tena Campbell, issued a Memorandum Decision and Order (the “Injunction Order”). The Injunction Order “GRANTS ClearOne’s motion for a Preliminary Injunction,” and orders that “Dr. Yang, as well as his agents, servants, officers, employees, entities and those acting under his direction and control, are hereby enjoined from working on or delivering any computer code – either source code or object code – to Harman until the completion of the trial.” In reaching its decision, the Court found that Dr. Yang was subject to a valid and enforceable Confidentiality, Non-Competition, and Invention Assignment Agreement (the “NDA”), and that ClearOne had demonstrated “a substantial likelihood that ClearOne will succeed on its claims that Dr. Yang violated the NDA” and derived the code that WideBand was attempting to license to Harman from code belonging to ClearOne. The Injunction Order is Docket Entry 572. On November 5, 2007, the Honorable Tena Campbell issued an order establishing the amount for the bond to be posted by ClearOne in conjunction with the Court’s grant of ClearOne’s motion for a preliminary injunction. The bond was set in the amount of $907,909. In accordance with the order, the Company placed the bond with the clerk of the Court on November 6, 2007. On October 29, 2007, the Company filed a second action against WideBand and the same three principals named as defendants in the Intellectual Property Case, this time alleging copyright infringement, vicarious copyright infringement, and contributory copyright infringement (the “Copyright Case”). The claims in the Copyright Case arise out of a copyright issued to the Company for the same intellectual property, including the algorithms and computer code that is the subject of the claims in the Intellectual Property Case. The relief being sought by the Company includes an order enjoining the defendants from further use of the Company’s copyrighted material, and an award consisting of, among other things, compensation and damages related to the copyright infringement. These litigations are subject to all of the risks and uncertainties of litigation and there can be no assurance as to the probable result of the litigations.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i w:val="1"/>
          <w:iCs w:val="1"/>
          <w:color w:val="auto"/>
        </w:rPr>
        <w:t xml:space="preserve">Former Officer Indemnification. </w:t>
      </w:r>
      <w:r>
        <w:rPr>
          <w:rFonts w:ascii="Arial" w:cs="Arial" w:eastAsia="Arial" w:hAnsi="Arial"/>
          <w:sz w:val="16"/>
          <w:szCs w:val="16"/>
          <w:color w:val="auto"/>
        </w:rPr>
        <w:t>In July 2007, the Company was advised that the United States Attorney’s Office for the District of Utah indicted two former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The Company has been advised that a trial date has been set for April 21, 2008. The Company is cooperating fully with the U.S. Attorney’s office in this matter and has been advised that it is neither a target nor a subject of the investigation or indictment. By virtue of certain provisions of the Company’s Articles of Incorporation, Bylaws and indemnification agreements with these former officers, the Company has a direct financial obligation to advance funds related to the indemnification agreements with each former officer for any liability and for all reasonable attorney’s fees and costs incurred in defending against the charges brought by the United States Attorney. In accordance with Statement of Financial Accounting Standards No. 5, Accounting for Contingencies, ClearOne has accrued a total of $1.9 million in the first half of its fiscal 2008, representing the probable amount that as of the date of the financial statements could be reasonably estimated of its liability, through trial, associated with the advancement of funds related to the indemnification agreements. The $1.9 million accrual is management’s best estimate of the Company’s liability as of the date of the issuance of its financial statements. In accordance with SFAS 5, the Company will adjust its contingent liability, as necessary, to reflect the probable amount of its liability that can be reasonably estimated. The Company’s actual liability may be higher or lower than management’s estimate upon final resolution of the matter.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December 31, 2007 unaudited condensed consolidated financial statements and related notes.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2007,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dealers, systems integrators and value-added resellers. Our expectations for both short- and long-term future net revenues are based on our own estimates of future demand.</w:t>
      </w:r>
    </w:p>
    <w:p>
      <w:pPr>
        <w:spacing w:after="0" w:line="21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52"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We have, in the past,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w:t>
      </w:r>
    </w:p>
    <w:p>
      <w:pPr>
        <w:spacing w:after="0" w:line="193"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5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The majority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 We periodically audit a limited number of distributors.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August 2005, we entered into a manufacturing agreement with a manufacturing services provider, to manufacturer substantially all the products that were previously manufactured at our Salt Lake City, Utah manufacturing facility. Subsequently, we entered into agreements with offshore manufacturers who also manufacture several of our product lines. If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some of our products.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rely on our suppliers to provide us with materials that are compliant with environmental laws and regulations such as Restrictions on Hazardous Substances (RoHS) rules in Europe, and WEEE directives, among others. We also rely on our contract manufacturer’s whose processes must be maintained in accordance with such regulations. We work with our suppliers and contract manufacturers for ongoing compliance with regulations and attempt to identify possible discrepancies as quickly as possible; however, one or more of our products could be in violation of a regulation due to a supplier and/or contract manufacturer making a non-compliant material or process change which could result in a material adverse effect on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fulfillment strategy.</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2008, we commenced the use of a third party supply chain management (“SCM”) firm who manages the receiving, storing, picking, packing, shipping and inventory management of the majority of the Company’s products. If the SCM firm experiences difficulties and/or interruptions in their operations preventing them from adequately fulfilling the Company’s products, we would experience a delay in shipping product to our customers which would negatively impact on our revenues. Should there be any disruption in the SCM’s services due to natural disaster, economic or political difficulties, quarantines, transportation restrictions, acts of terror or other similar events, such disruption would have a material adverse effect on our business. Currently, we have no second source of fulfillment of the majority of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proprietary/intellectual property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hold a number of patents. To the extent that we have patentable technology for which we have not filed patent applications, others may be able to use such technology or even gain priority over us by patenting such technology themselves.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International sales represent a significant portion of our total product sales.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w:t>
      </w:r>
    </w:p>
    <w:p>
      <w:pPr>
        <w:spacing w:after="0" w:line="198"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9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Wedepend on our ability to hire and retain qualified key and highly-skilled employees to manage, research and develop, market, and service new and existing products. Competition for such key and highly-skilled employeesis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Future losses could be significant and, if incurred, could harm our business and have a material adverse effect on our operating results and financial position.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52"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197" w:lineRule="exact"/>
        <w:rPr>
          <w:sz w:val="20"/>
          <w:szCs w:val="20"/>
          <w:color w:val="auto"/>
        </w:rPr>
      </w:pPr>
    </w:p>
    <w:p>
      <w:pPr>
        <w:ind w:left="660" w:hanging="139"/>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Stock Repurchases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Dollar Value) of Shares that</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May by</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Plans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 Plans or</w:t>
            </w:r>
          </w:p>
        </w:tc>
      </w:tr>
      <w:tr>
        <w:trPr>
          <w:trHeight w:val="241"/>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Period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 (1)</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(1)</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October 1, 2007- October 31,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85,555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$6.74</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85,555</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$2,482,511</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November 1, 2007 – November 30, 2007</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56,969</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$5.70</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56,969</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$2,158,034</w:t>
            </w: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2007 – December 31, 2007</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37,999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$5.19</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37,999</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$1,960,962</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180,523</w:t>
            </w:r>
          </w:p>
        </w:tc>
        <w:tc>
          <w:tcPr>
            <w:tcW w:w="12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180,523</w:t>
            </w:r>
          </w:p>
        </w:tc>
        <w:tc>
          <w:tcPr>
            <w:tcW w:w="24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30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30, 2007, the Company announced that its Board of Directors had approved a stock buy-back program to purchase up $3,625,000 of the Company’s common stock over the next 12 months in open market and private block transactions. All repurchased shares will be immediately retired. The stock buy-back program will expire in August 30, 2008.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On November 20, 2007 at the annual meeting, shareholders of the Company approved the following matters submitted to them for consideration: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Elected the following as directors of the Company:</w:t>
            </w:r>
          </w:p>
        </w:tc>
        <w:tc>
          <w:tcPr>
            <w:tcW w:w="14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43"/>
        </w:trPr>
        <w:tc>
          <w:tcPr>
            <w:tcW w:w="528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r>
      <w:tr>
        <w:trPr>
          <w:trHeight w:val="217"/>
        </w:trPr>
        <w:tc>
          <w:tcPr>
            <w:tcW w:w="5280" w:type="dxa"/>
            <w:vAlign w:val="bottom"/>
          </w:tcPr>
          <w:p>
            <w:pPr>
              <w:spacing w:after="0"/>
              <w:rPr>
                <w:sz w:val="18"/>
                <w:szCs w:val="18"/>
                <w:color w:val="auto"/>
              </w:rPr>
            </w:pPr>
          </w:p>
        </w:tc>
        <w:tc>
          <w:tcPr>
            <w:tcW w:w="14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FOR</w:t>
            </w:r>
          </w:p>
        </w:tc>
        <w:tc>
          <w:tcPr>
            <w:tcW w:w="1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WITHHELD</w:t>
            </w:r>
          </w:p>
        </w:tc>
      </w:tr>
      <w:tr>
        <w:trPr>
          <w:trHeight w:val="202"/>
        </w:trPr>
        <w:tc>
          <w:tcPr>
            <w:tcW w:w="5280" w:type="dxa"/>
            <w:vAlign w:val="bottom"/>
          </w:tcPr>
          <w:p>
            <w:pPr>
              <w:ind w:left="2860"/>
              <w:spacing w:after="0" w:line="201" w:lineRule="exact"/>
              <w:rPr>
                <w:sz w:val="20"/>
                <w:szCs w:val="20"/>
                <w:color w:val="auto"/>
              </w:rPr>
            </w:pPr>
            <w:r>
              <w:rPr>
                <w:rFonts w:ascii="Arial" w:cs="Arial" w:eastAsia="Arial" w:hAnsi="Arial"/>
                <w:sz w:val="18"/>
                <w:szCs w:val="18"/>
                <w:color w:val="auto"/>
              </w:rPr>
              <w:t>Brad R. Baldwin</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9"/>
              </w:rPr>
              <w:t>8,819,091</w:t>
            </w:r>
          </w:p>
        </w:tc>
        <w:tc>
          <w:tcPr>
            <w:tcW w:w="186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1,163,033</w:t>
            </w:r>
          </w:p>
        </w:tc>
      </w:tr>
      <w:tr>
        <w:trPr>
          <w:trHeight w:val="230"/>
        </w:trPr>
        <w:tc>
          <w:tcPr>
            <w:tcW w:w="5280" w:type="dxa"/>
            <w:vAlign w:val="bottom"/>
          </w:tcPr>
          <w:p>
            <w:pPr>
              <w:ind w:left="2860"/>
              <w:spacing w:after="0"/>
              <w:rPr>
                <w:sz w:val="20"/>
                <w:szCs w:val="20"/>
                <w:color w:val="auto"/>
              </w:rPr>
            </w:pPr>
            <w:r>
              <w:rPr>
                <w:rFonts w:ascii="Arial" w:cs="Arial" w:eastAsia="Arial" w:hAnsi="Arial"/>
                <w:sz w:val="18"/>
                <w:szCs w:val="18"/>
                <w:color w:val="auto"/>
              </w:rPr>
              <w:t>Zeynep “Zee” Hakimoglu</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8,899,674</w:t>
            </w:r>
          </w:p>
        </w:tc>
        <w:tc>
          <w:tcPr>
            <w:tcW w:w="1860" w:type="dxa"/>
            <w:vAlign w:val="bottom"/>
          </w:tcPr>
          <w:p>
            <w:pPr>
              <w:jc w:val="center"/>
              <w:ind w:right="10"/>
              <w:spacing w:after="0"/>
              <w:rPr>
                <w:sz w:val="20"/>
                <w:szCs w:val="20"/>
                <w:color w:val="auto"/>
              </w:rPr>
            </w:pPr>
            <w:r>
              <w:rPr>
                <w:rFonts w:ascii="Arial" w:cs="Arial" w:eastAsia="Arial" w:hAnsi="Arial"/>
                <w:sz w:val="18"/>
                <w:szCs w:val="18"/>
                <w:color w:val="auto"/>
                <w:w w:val="89"/>
              </w:rPr>
              <w:t>1,082,450</w:t>
            </w:r>
          </w:p>
        </w:tc>
      </w:tr>
      <w:tr>
        <w:trPr>
          <w:trHeight w:val="229"/>
        </w:trPr>
        <w:tc>
          <w:tcPr>
            <w:tcW w:w="5280" w:type="dxa"/>
            <w:vAlign w:val="bottom"/>
          </w:tcPr>
          <w:p>
            <w:pPr>
              <w:ind w:left="2860"/>
              <w:spacing w:after="0"/>
              <w:rPr>
                <w:sz w:val="20"/>
                <w:szCs w:val="20"/>
                <w:color w:val="auto"/>
              </w:rPr>
            </w:pPr>
            <w:r>
              <w:rPr>
                <w:rFonts w:ascii="Arial" w:cs="Arial" w:eastAsia="Arial" w:hAnsi="Arial"/>
                <w:sz w:val="18"/>
                <w:szCs w:val="18"/>
                <w:color w:val="auto"/>
              </w:rPr>
              <w:t>Larry R. Hendricks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8,820,363</w:t>
            </w:r>
          </w:p>
        </w:tc>
        <w:tc>
          <w:tcPr>
            <w:tcW w:w="1860" w:type="dxa"/>
            <w:vAlign w:val="bottom"/>
          </w:tcPr>
          <w:p>
            <w:pPr>
              <w:jc w:val="center"/>
              <w:ind w:right="10"/>
              <w:spacing w:after="0"/>
              <w:rPr>
                <w:sz w:val="20"/>
                <w:szCs w:val="20"/>
                <w:color w:val="auto"/>
              </w:rPr>
            </w:pPr>
            <w:r>
              <w:rPr>
                <w:rFonts w:ascii="Arial" w:cs="Arial" w:eastAsia="Arial" w:hAnsi="Arial"/>
                <w:sz w:val="18"/>
                <w:szCs w:val="18"/>
                <w:color w:val="auto"/>
                <w:w w:val="89"/>
              </w:rPr>
              <w:t>1,161,761</w:t>
            </w:r>
          </w:p>
        </w:tc>
      </w:tr>
      <w:tr>
        <w:trPr>
          <w:trHeight w:val="230"/>
        </w:trPr>
        <w:tc>
          <w:tcPr>
            <w:tcW w:w="5280" w:type="dxa"/>
            <w:vAlign w:val="bottom"/>
          </w:tcPr>
          <w:p>
            <w:pPr>
              <w:ind w:left="2860"/>
              <w:spacing w:after="0"/>
              <w:rPr>
                <w:sz w:val="20"/>
                <w:szCs w:val="20"/>
                <w:color w:val="auto"/>
              </w:rPr>
            </w:pPr>
            <w:r>
              <w:rPr>
                <w:rFonts w:ascii="Arial" w:cs="Arial" w:eastAsia="Arial" w:hAnsi="Arial"/>
                <w:sz w:val="18"/>
                <w:szCs w:val="18"/>
                <w:color w:val="auto"/>
              </w:rPr>
              <w:t>Scott M. Huntsman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8,820,241</w:t>
            </w:r>
          </w:p>
        </w:tc>
        <w:tc>
          <w:tcPr>
            <w:tcW w:w="1860" w:type="dxa"/>
            <w:vAlign w:val="bottom"/>
          </w:tcPr>
          <w:p>
            <w:pPr>
              <w:jc w:val="center"/>
              <w:ind w:right="10"/>
              <w:spacing w:after="0"/>
              <w:rPr>
                <w:sz w:val="20"/>
                <w:szCs w:val="20"/>
                <w:color w:val="auto"/>
              </w:rPr>
            </w:pPr>
            <w:r>
              <w:rPr>
                <w:rFonts w:ascii="Arial" w:cs="Arial" w:eastAsia="Arial" w:hAnsi="Arial"/>
                <w:sz w:val="18"/>
                <w:szCs w:val="18"/>
                <w:color w:val="auto"/>
                <w:w w:val="89"/>
              </w:rPr>
              <w:t>1,161,883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Approved the ClearOne Communications, Inc. 2007 Equity Incentive Plan as follows:</w:t>
      </w:r>
    </w:p>
    <w:p>
      <w:pPr>
        <w:spacing w:after="0" w:line="247" w:lineRule="exact"/>
        <w:rPr>
          <w:sz w:val="20"/>
          <w:szCs w:val="20"/>
          <w:color w:val="auto"/>
        </w:rPr>
      </w:pPr>
    </w:p>
    <w:tbl>
      <w:tblPr>
        <w:tblLayout w:type="fixed"/>
        <w:tblInd w:w="2880" w:type="dxa"/>
        <w:tblCellMar>
          <w:top w:w="0" w:type="dxa"/>
          <w:left w:w="0" w:type="dxa"/>
          <w:bottom w:w="0" w:type="dxa"/>
          <w:right w:w="0" w:type="dxa"/>
        </w:tblCellMar>
      </w:tblPr>
      <w:tr>
        <w:trPr>
          <w:trHeight w:val="215"/>
        </w:trPr>
        <w:tc>
          <w:tcPr>
            <w:tcW w:w="13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4"/>
              </w:rPr>
              <w:t>BROKER</w:t>
            </w:r>
          </w:p>
        </w:tc>
      </w:tr>
      <w:tr>
        <w:trPr>
          <w:trHeight w:val="264"/>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FOR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AGAINST</w:t>
            </w:r>
          </w:p>
        </w:tc>
        <w:tc>
          <w:tcPr>
            <w:tcW w:w="1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8"/>
              </w:rPr>
              <w:t>ABSTAIN</w:t>
            </w:r>
          </w:p>
        </w:tc>
        <w:tc>
          <w:tcPr>
            <w:tcW w:w="14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NON-VOTES</w:t>
            </w:r>
          </w:p>
        </w:tc>
      </w:tr>
      <w:tr>
        <w:trPr>
          <w:trHeight w:val="230"/>
        </w:trPr>
        <w:tc>
          <w:tcPr>
            <w:tcW w:w="1380" w:type="dxa"/>
            <w:vAlign w:val="bottom"/>
          </w:tcPr>
          <w:p>
            <w:pPr>
              <w:jc w:val="right"/>
              <w:ind w:right="250"/>
              <w:spacing w:after="0"/>
              <w:rPr>
                <w:sz w:val="20"/>
                <w:szCs w:val="20"/>
                <w:color w:val="auto"/>
              </w:rPr>
            </w:pPr>
            <w:r>
              <w:rPr>
                <w:rFonts w:ascii="Arial" w:cs="Arial" w:eastAsia="Arial" w:hAnsi="Arial"/>
                <w:sz w:val="18"/>
                <w:szCs w:val="18"/>
                <w:color w:val="auto"/>
              </w:rPr>
              <w:t>3,020,748</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1,792,560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981,418</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89"/>
              </w:rPr>
              <w:t>4,187,398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860" w:type="dxa"/>
            <w:vAlign w:val="bottom"/>
          </w:tcPr>
          <w:p>
            <w:pPr>
              <w:ind w:left="140"/>
              <w:spacing w:after="0"/>
              <w:rPr>
                <w:sz w:val="20"/>
                <w:szCs w:val="20"/>
                <w:color w:val="auto"/>
              </w:rPr>
            </w:pPr>
            <w:r>
              <w:rPr>
                <w:rFonts w:ascii="Arial" w:cs="Arial" w:eastAsia="Arial" w:hAnsi="Arial"/>
                <w:sz w:val="18"/>
                <w:szCs w:val="18"/>
                <w:color w:val="auto"/>
                <w:w w:val="93"/>
              </w:rPr>
              <w:t>SEC Ref.</w:t>
            </w:r>
          </w:p>
        </w:tc>
        <w:tc>
          <w:tcPr>
            <w:tcW w:w="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7"/>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No.</w:t>
            </w:r>
          </w:p>
        </w:tc>
        <w:tc>
          <w:tcPr>
            <w:tcW w:w="9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Title of Document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r>
      <w:tr>
        <w:trPr>
          <w:trHeight w:val="202"/>
        </w:trPr>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1"/>
              </w:rPr>
              <w:t>31.1</w:t>
            </w:r>
          </w:p>
        </w:tc>
        <w:tc>
          <w:tcPr>
            <w:tcW w:w="860" w:type="dxa"/>
            <w:vAlign w:val="bottom"/>
          </w:tcPr>
          <w:p>
            <w:pPr>
              <w:ind w:left="380"/>
              <w:spacing w:after="0" w:line="201" w:lineRule="exact"/>
              <w:rPr>
                <w:sz w:val="20"/>
                <w:szCs w:val="20"/>
                <w:color w:val="auto"/>
              </w:rPr>
            </w:pPr>
            <w:r>
              <w:rPr>
                <w:rFonts w:ascii="Arial" w:cs="Arial" w:eastAsia="Arial" w:hAnsi="Arial"/>
                <w:sz w:val="18"/>
                <w:szCs w:val="18"/>
                <w:color w:val="auto"/>
              </w:rPr>
              <w:t>31</w:t>
            </w:r>
          </w:p>
        </w:tc>
        <w:tc>
          <w:tcPr>
            <w:tcW w:w="940" w:type="dxa"/>
            <w:vAlign w:val="bottom"/>
          </w:tcPr>
          <w:p>
            <w:pPr>
              <w:ind w:left="60"/>
              <w:spacing w:after="0" w:line="201" w:lineRule="exact"/>
              <w:rPr>
                <w:sz w:val="20"/>
                <w:szCs w:val="20"/>
                <w:color w:val="auto"/>
              </w:rPr>
            </w:pPr>
            <w:r>
              <w:rPr>
                <w:rFonts w:ascii="Arial" w:cs="Arial" w:eastAsia="Arial" w:hAnsi="Arial"/>
                <w:sz w:val="18"/>
                <w:szCs w:val="18"/>
                <w:color w:val="auto"/>
                <w:w w:val="90"/>
              </w:rPr>
              <w:t>Section 302</w:t>
            </w:r>
          </w:p>
        </w:tc>
        <w:tc>
          <w:tcPr>
            <w:tcW w:w="3480" w:type="dxa"/>
            <w:vAlign w:val="bottom"/>
          </w:tcPr>
          <w:p>
            <w:pPr>
              <w:ind w:left="20"/>
              <w:spacing w:after="0" w:line="201" w:lineRule="exact"/>
              <w:rPr>
                <w:sz w:val="20"/>
                <w:szCs w:val="20"/>
                <w:color w:val="auto"/>
              </w:rPr>
            </w:pPr>
            <w:r>
              <w:rPr>
                <w:rFonts w:ascii="Arial" w:cs="Arial" w:eastAsia="Arial" w:hAnsi="Arial"/>
                <w:sz w:val="18"/>
                <w:szCs w:val="18"/>
                <w:color w:val="auto"/>
              </w:rPr>
              <w:t>Certification of Chief Executive Officer</w:t>
            </w:r>
          </w:p>
        </w:tc>
        <w:tc>
          <w:tcPr>
            <w:tcW w:w="1920" w:type="dxa"/>
            <w:vAlign w:val="bottom"/>
          </w:tcPr>
          <w:p>
            <w:pPr>
              <w:jc w:val="center"/>
              <w:spacing w:after="0" w:line="201" w:lineRule="exact"/>
              <w:rPr>
                <w:sz w:val="20"/>
                <w:szCs w:val="20"/>
                <w:color w:val="auto"/>
              </w:rPr>
            </w:pPr>
            <w:r>
              <w:rPr>
                <w:rFonts w:ascii="Arial" w:cs="Arial" w:eastAsia="Arial" w:hAnsi="Arial"/>
                <w:sz w:val="18"/>
                <w:szCs w:val="18"/>
                <w:color w:val="auto"/>
                <w:w w:val="99"/>
              </w:rPr>
              <w:t>This filing</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60" w:type="dxa"/>
            <w:vAlign w:val="bottom"/>
          </w:tcPr>
          <w:p>
            <w:pPr>
              <w:ind w:left="380"/>
              <w:spacing w:after="0"/>
              <w:rPr>
                <w:sz w:val="20"/>
                <w:szCs w:val="20"/>
                <w:color w:val="auto"/>
              </w:rPr>
            </w:pPr>
            <w:r>
              <w:rPr>
                <w:rFonts w:ascii="Arial" w:cs="Arial" w:eastAsia="Arial" w:hAnsi="Arial"/>
                <w:sz w:val="18"/>
                <w:szCs w:val="18"/>
                <w:color w:val="auto"/>
              </w:rPr>
              <w:t>31</w:t>
            </w:r>
          </w:p>
        </w:tc>
        <w:tc>
          <w:tcPr>
            <w:tcW w:w="940" w:type="dxa"/>
            <w:vAlign w:val="bottom"/>
          </w:tcPr>
          <w:p>
            <w:pPr>
              <w:ind w:left="60"/>
              <w:spacing w:after="0"/>
              <w:rPr>
                <w:sz w:val="20"/>
                <w:szCs w:val="20"/>
                <w:color w:val="auto"/>
              </w:rPr>
            </w:pPr>
            <w:r>
              <w:rPr>
                <w:rFonts w:ascii="Arial" w:cs="Arial" w:eastAsia="Arial" w:hAnsi="Arial"/>
                <w:sz w:val="18"/>
                <w:szCs w:val="18"/>
                <w:color w:val="auto"/>
                <w:w w:val="90"/>
              </w:rPr>
              <w:t>Section 302</w:t>
            </w:r>
          </w:p>
        </w:tc>
        <w:tc>
          <w:tcPr>
            <w:tcW w:w="34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This filing</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60" w:type="dxa"/>
            <w:vAlign w:val="bottom"/>
          </w:tcPr>
          <w:p>
            <w:pPr>
              <w:ind w:left="380"/>
              <w:spacing w:after="0"/>
              <w:rPr>
                <w:sz w:val="20"/>
                <w:szCs w:val="20"/>
                <w:color w:val="auto"/>
              </w:rPr>
            </w:pPr>
            <w:r>
              <w:rPr>
                <w:rFonts w:ascii="Arial" w:cs="Arial" w:eastAsia="Arial" w:hAnsi="Arial"/>
                <w:sz w:val="18"/>
                <w:szCs w:val="18"/>
                <w:color w:val="auto"/>
              </w:rPr>
              <w:t>32</w:t>
            </w:r>
          </w:p>
        </w:tc>
        <w:tc>
          <w:tcPr>
            <w:tcW w:w="940" w:type="dxa"/>
            <w:vAlign w:val="bottom"/>
          </w:tcPr>
          <w:p>
            <w:pPr>
              <w:ind w:left="60"/>
              <w:spacing w:after="0"/>
              <w:rPr>
                <w:sz w:val="20"/>
                <w:szCs w:val="20"/>
                <w:color w:val="auto"/>
              </w:rPr>
            </w:pPr>
            <w:r>
              <w:rPr>
                <w:rFonts w:ascii="Arial" w:cs="Arial" w:eastAsia="Arial" w:hAnsi="Arial"/>
                <w:sz w:val="18"/>
                <w:szCs w:val="18"/>
                <w:color w:val="auto"/>
                <w:w w:val="90"/>
              </w:rPr>
              <w:t>Section 906</w:t>
            </w:r>
          </w:p>
        </w:tc>
        <w:tc>
          <w:tcPr>
            <w:tcW w:w="34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This filing</w:t>
            </w: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860" w:type="dxa"/>
            <w:vAlign w:val="bottom"/>
          </w:tcPr>
          <w:p>
            <w:pPr>
              <w:ind w:left="380"/>
              <w:spacing w:after="0"/>
              <w:rPr>
                <w:sz w:val="20"/>
                <w:szCs w:val="20"/>
                <w:color w:val="auto"/>
              </w:rPr>
            </w:pPr>
            <w:r>
              <w:rPr>
                <w:rFonts w:ascii="Arial" w:cs="Arial" w:eastAsia="Arial" w:hAnsi="Arial"/>
                <w:sz w:val="18"/>
                <w:szCs w:val="18"/>
                <w:color w:val="auto"/>
              </w:rPr>
              <w:t>32</w:t>
            </w:r>
          </w:p>
        </w:tc>
        <w:tc>
          <w:tcPr>
            <w:tcW w:w="940" w:type="dxa"/>
            <w:vAlign w:val="bottom"/>
          </w:tcPr>
          <w:p>
            <w:pPr>
              <w:ind w:left="60"/>
              <w:spacing w:after="0"/>
              <w:rPr>
                <w:sz w:val="20"/>
                <w:szCs w:val="20"/>
                <w:color w:val="auto"/>
              </w:rPr>
            </w:pPr>
            <w:r>
              <w:rPr>
                <w:rFonts w:ascii="Arial" w:cs="Arial" w:eastAsia="Arial" w:hAnsi="Arial"/>
                <w:sz w:val="18"/>
                <w:szCs w:val="18"/>
                <w:color w:val="auto"/>
                <w:w w:val="90"/>
              </w:rPr>
              <w:t>Section 906</w:t>
            </w:r>
          </w:p>
        </w:tc>
        <w:tc>
          <w:tcPr>
            <w:tcW w:w="34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This filing</w:t>
            </w:r>
          </w:p>
        </w:tc>
      </w:tr>
    </w:tbl>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February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February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364" w:right="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52" w:lineRule="exact"/>
        <w:rPr>
          <w:sz w:val="20"/>
          <w:szCs w:val="20"/>
          <w:color w:val="auto"/>
        </w:rPr>
      </w:pPr>
    </w:p>
    <w:p>
      <w:pPr>
        <w:ind w:left="500" w:hanging="23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3"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Zeynep Hakimoglu, certify, pursuant to 18 U.S.C. Section 1350, as adopted pursuant to Section 906 of the Sarbanes-Oxley Act of 2002, that the Quarterly Report of ClearOne Communications, Inc. on Form 10-Q for the three months ended December 31, 2007,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Quarterly Report of ClearOne Communications, Inc. on Form 10-Q for the three months ended December 31, 2007,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February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2019-12-13T17:45:46Z</dcterms:created>
  <dcterms:modified xsi:type="dcterms:W3CDTF">2019-12-13T17:45:46Z</dcterms:modified>
</cp:coreProperties>
</file>