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10-K/A</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55" w:lineRule="exact"/>
        <w:rPr>
          <w:sz w:val="24"/>
          <w:szCs w:val="24"/>
          <w:color w:val="auto"/>
        </w:rPr>
      </w:pPr>
    </w:p>
    <w:p>
      <w:pPr>
        <w:ind w:left="1060" w:right="2420" w:hanging="1025"/>
        <w:spacing w:after="0" w:line="299" w:lineRule="auto"/>
        <w:tabs>
          <w:tab w:leader="none" w:pos="10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ANNUAL REPORT PURSUANT TO SECTION 13 OR 15(d) OF THE SECURITIES EXCHANGE ACT OF 1934 </w:t>
      </w:r>
      <w:r>
        <w:rPr>
          <w:rFonts w:ascii="Times New Roman" w:cs="Times New Roman" w:eastAsia="Times New Roman" w:hAnsi="Times New Roman"/>
          <w:sz w:val="16"/>
          <w:szCs w:val="16"/>
          <w:color w:val="auto"/>
        </w:rPr>
        <w:t>For the fiscal year ended December 31, 2014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7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r>
      <w:tr>
        <w:trPr>
          <w:trHeight w:val="210"/>
        </w:trPr>
        <w:tc>
          <w:tcPr>
            <w:tcW w:w="620" w:type="dxa"/>
            <w:vAlign w:val="bottom"/>
          </w:tcPr>
          <w:p>
            <w:pPr>
              <w:spacing w:after="0"/>
              <w:rPr>
                <w:sz w:val="18"/>
                <w:szCs w:val="18"/>
                <w:color w:val="auto"/>
              </w:rPr>
            </w:pPr>
          </w:p>
        </w:tc>
        <w:tc>
          <w:tcPr>
            <w:tcW w:w="554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For the transition period from _________ to ___________</w:t>
            </w:r>
          </w:p>
        </w:tc>
        <w:tc>
          <w:tcPr>
            <w:tcW w:w="5240" w:type="dxa"/>
            <w:vAlign w:val="bottom"/>
          </w:tcPr>
          <w:p>
            <w:pPr>
              <w:spacing w:after="0"/>
              <w:rPr>
                <w:sz w:val="18"/>
                <w:szCs w:val="18"/>
                <w:color w:val="auto"/>
              </w:rPr>
            </w:pPr>
          </w:p>
        </w:tc>
      </w:tr>
      <w:tr>
        <w:trPr>
          <w:trHeight w:val="411"/>
        </w:trPr>
        <w:tc>
          <w:tcPr>
            <w:tcW w:w="61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Commission file number 001-33660</w:t>
            </w:r>
          </w:p>
        </w:tc>
        <w:tc>
          <w:tcPr>
            <w:tcW w:w="5240" w:type="dxa"/>
            <w:vAlign w:val="bottom"/>
          </w:tcPr>
          <w:p>
            <w:pPr>
              <w:spacing w:after="0"/>
              <w:rPr>
                <w:sz w:val="24"/>
                <w:szCs w:val="24"/>
                <w:color w:val="auto"/>
              </w:rPr>
            </w:pPr>
          </w:p>
        </w:tc>
      </w:tr>
      <w:tr>
        <w:trPr>
          <w:trHeight w:val="205"/>
        </w:trPr>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9040" w:type="dxa"/>
            <w:vAlign w:val="bottom"/>
            <w:gridSpan w:val="3"/>
          </w:tcPr>
          <w:p>
            <w:pPr>
              <w:jc w:val="center"/>
              <w:ind w:right="2239"/>
              <w:spacing w:after="0" w:line="205" w:lineRule="exact"/>
              <w:rPr>
                <w:sz w:val="20"/>
                <w:szCs w:val="20"/>
                <w:color w:val="auto"/>
              </w:rPr>
            </w:pPr>
            <w:r>
              <w:rPr>
                <w:rFonts w:ascii="Times New Roman" w:cs="Times New Roman" w:eastAsia="Times New Roman" w:hAnsi="Times New Roman"/>
                <w:sz w:val="18"/>
                <w:szCs w:val="18"/>
                <w:b w:val="1"/>
                <w:bCs w:val="1"/>
                <w:color w:val="auto"/>
                <w:w w:val="99"/>
              </w:rPr>
              <w:t>CLEARONE, INC.</w:t>
            </w:r>
          </w:p>
        </w:tc>
      </w:tr>
      <w:tr>
        <w:trPr>
          <w:trHeight w:val="234"/>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40" w:type="dxa"/>
            <w:vAlign w:val="bottom"/>
            <w:gridSpan w:val="3"/>
          </w:tcPr>
          <w:p>
            <w:pPr>
              <w:jc w:val="center"/>
              <w:ind w:right="22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59"/>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0" w:type="dxa"/>
            <w:vAlign w:val="bottom"/>
            <w:gridSpan w:val="2"/>
          </w:tcPr>
          <w:p>
            <w:pPr>
              <w:jc w:val="center"/>
              <w:ind w:right="2460"/>
              <w:spacing w:after="0"/>
              <w:rPr>
                <w:sz w:val="20"/>
                <w:szCs w:val="20"/>
                <w:color w:val="auto"/>
              </w:rPr>
            </w:pPr>
            <w:r>
              <w:rPr>
                <w:rFonts w:ascii="Times New Roman" w:cs="Times New Roman" w:eastAsia="Times New Roman" w:hAnsi="Times New Roman"/>
                <w:sz w:val="16"/>
                <w:szCs w:val="16"/>
                <w:b w:val="1"/>
                <w:bCs w:val="1"/>
                <w:color w:val="auto"/>
              </w:rPr>
              <w:t>Utah</w:t>
            </w:r>
          </w:p>
        </w:tc>
        <w:tc>
          <w:tcPr>
            <w:tcW w:w="5240" w:type="dxa"/>
            <w:vAlign w:val="bottom"/>
          </w:tcPr>
          <w:p>
            <w:pPr>
              <w:jc w:val="right"/>
              <w:ind w:right="2139"/>
              <w:spacing w:after="0"/>
              <w:rPr>
                <w:sz w:val="20"/>
                <w:szCs w:val="20"/>
                <w:color w:val="auto"/>
              </w:rPr>
            </w:pPr>
            <w:r>
              <w:rPr>
                <w:rFonts w:ascii="Times New Roman" w:cs="Times New Roman" w:eastAsia="Times New Roman" w:hAnsi="Times New Roman"/>
                <w:sz w:val="16"/>
                <w:szCs w:val="16"/>
                <w:b w:val="1"/>
                <w:bCs w:val="1"/>
                <w:color w:val="auto"/>
              </w:rPr>
              <w:t>87-0398877</w:t>
            </w:r>
          </w:p>
        </w:tc>
      </w:tr>
      <w:tr>
        <w:trPr>
          <w:trHeight w:val="47"/>
        </w:trPr>
        <w:tc>
          <w:tcPr>
            <w:tcW w:w="16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5240" w:type="dxa"/>
            <w:vAlign w:val="bottom"/>
          </w:tcPr>
          <w:p>
            <w:pPr>
              <w:jc w:val="right"/>
              <w:ind w:right="2559"/>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581"/>
        </w:trPr>
        <w:tc>
          <w:tcPr>
            <w:tcW w:w="620" w:type="dxa"/>
            <w:vAlign w:val="bottom"/>
          </w:tcPr>
          <w:p>
            <w:pPr>
              <w:spacing w:after="0"/>
              <w:rPr>
                <w:sz w:val="24"/>
                <w:szCs w:val="24"/>
                <w:color w:val="auto"/>
              </w:rPr>
            </w:pPr>
          </w:p>
        </w:tc>
        <w:tc>
          <w:tcPr>
            <w:tcW w:w="5540" w:type="dxa"/>
            <w:vAlign w:val="bottom"/>
            <w:gridSpan w:val="4"/>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5225 Wiley Post Way, Suite 500, Salt Lake City, Utah</w:t>
            </w:r>
          </w:p>
        </w:tc>
        <w:tc>
          <w:tcPr>
            <w:tcW w:w="5240" w:type="dxa"/>
            <w:vAlign w:val="bottom"/>
          </w:tcPr>
          <w:p>
            <w:pPr>
              <w:jc w:val="right"/>
              <w:ind w:right="2339"/>
              <w:spacing w:after="0"/>
              <w:rPr>
                <w:sz w:val="20"/>
                <w:szCs w:val="20"/>
                <w:color w:val="auto"/>
              </w:rPr>
            </w:pPr>
            <w:r>
              <w:rPr>
                <w:rFonts w:ascii="Times New Roman" w:cs="Times New Roman" w:eastAsia="Times New Roman" w:hAnsi="Times New Roman"/>
                <w:sz w:val="16"/>
                <w:szCs w:val="16"/>
                <w:b w:val="1"/>
                <w:bCs w:val="1"/>
                <w:color w:val="auto"/>
              </w:rPr>
              <w:t>84116</w:t>
            </w:r>
          </w:p>
        </w:tc>
      </w:tr>
      <w:tr>
        <w:trPr>
          <w:trHeight w:val="47"/>
        </w:trPr>
        <w:tc>
          <w:tcPr>
            <w:tcW w:w="6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00" w:type="dxa"/>
            <w:vAlign w:val="bottom"/>
            <w:gridSpan w:val="3"/>
          </w:tcPr>
          <w:p>
            <w:pPr>
              <w:jc w:val="center"/>
              <w:ind w:right="176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240" w:type="dxa"/>
            <w:vAlign w:val="bottom"/>
          </w:tcPr>
          <w:p>
            <w:pPr>
              <w:jc w:val="right"/>
              <w:ind w:right="2179"/>
              <w:spacing w:after="0"/>
              <w:rPr>
                <w:sz w:val="20"/>
                <w:szCs w:val="20"/>
                <w:color w:val="auto"/>
              </w:rPr>
            </w:pPr>
            <w:r>
              <w:rPr>
                <w:rFonts w:ascii="Times New Roman" w:cs="Times New Roman" w:eastAsia="Times New Roman" w:hAnsi="Times New Roman"/>
                <w:sz w:val="16"/>
                <w:szCs w:val="16"/>
                <w:color w:val="auto"/>
              </w:rPr>
              <w:t>(Zip Code)</w:t>
            </w:r>
          </w:p>
        </w:tc>
      </w:tr>
      <w:tr>
        <w:trPr>
          <w:trHeight w:val="392"/>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5240" w:type="dxa"/>
            <w:vAlign w:val="bottom"/>
          </w:tcPr>
          <w:p>
            <w:pPr>
              <w:jc w:val="right"/>
              <w:ind w:right="2959"/>
              <w:spacing w:after="0"/>
              <w:rPr>
                <w:sz w:val="20"/>
                <w:szCs w:val="20"/>
                <w:color w:val="auto"/>
              </w:rPr>
            </w:pPr>
            <w:r>
              <w:rPr>
                <w:rFonts w:ascii="Times New Roman" w:cs="Times New Roman" w:eastAsia="Times New Roman" w:hAnsi="Times New Roman"/>
                <w:sz w:val="16"/>
                <w:szCs w:val="16"/>
                <w:b w:val="1"/>
                <w:bCs w:val="1"/>
                <w:color w:val="auto"/>
              </w:rPr>
              <w:t>801-975-7200</w:t>
            </w:r>
          </w:p>
        </w:tc>
      </w:tr>
    </w:tbl>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69" w:lineRule="exact"/>
        <w:rPr>
          <w:sz w:val="24"/>
          <w:szCs w:val="24"/>
          <w:color w:val="auto"/>
        </w:rPr>
      </w:pPr>
    </w:p>
    <w:tbl>
      <w:tblPr>
        <w:tblLayout w:type="fixed"/>
        <w:tblInd w:w="14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on each exchange on which registered</w:t>
            </w:r>
          </w:p>
        </w:tc>
      </w:tr>
      <w:tr>
        <w:trPr>
          <w:trHeight w:val="312"/>
        </w:trPr>
        <w:tc>
          <w:tcPr>
            <w:tcW w:w="5100" w:type="dxa"/>
            <w:vAlign w:val="bottom"/>
            <w:gridSpan w:val="3"/>
          </w:tcPr>
          <w:p>
            <w:pPr>
              <w:jc w:val="center"/>
              <w:ind w:right="148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100" w:type="dxa"/>
            <w:vAlign w:val="bottom"/>
          </w:tcPr>
          <w:p>
            <w:pPr>
              <w:spacing w:after="0"/>
              <w:rPr>
                <w:sz w:val="24"/>
                <w:szCs w:val="24"/>
                <w:color w:val="auto"/>
              </w:rPr>
            </w:pPr>
          </w:p>
        </w:tc>
        <w:tc>
          <w:tcPr>
            <w:tcW w:w="27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The NASDAQ Capital Market</w:t>
            </w:r>
          </w:p>
        </w:tc>
      </w:tr>
      <w:tr>
        <w:trPr>
          <w:trHeight w:val="486"/>
        </w:trPr>
        <w:tc>
          <w:tcPr>
            <w:tcW w:w="5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tc>
        <w:tc>
          <w:tcPr>
            <w:tcW w:w="1100" w:type="dxa"/>
            <w:vAlign w:val="bottom"/>
          </w:tcPr>
          <w:p>
            <w:pPr>
              <w:spacing w:after="0"/>
              <w:rPr>
                <w:sz w:val="24"/>
                <w:szCs w:val="24"/>
                <w:color w:val="auto"/>
              </w:rPr>
            </w:pPr>
          </w:p>
        </w:tc>
        <w:tc>
          <w:tcPr>
            <w:tcW w:w="2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None</w:t>
            </w:r>
          </w:p>
        </w:tc>
      </w:tr>
      <w:tr>
        <w:trPr>
          <w:trHeight w:val="33"/>
        </w:trPr>
        <w:tc>
          <w:tcPr>
            <w:tcW w:w="1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r>
    </w:tbl>
    <w:p>
      <w:pPr>
        <w:spacing w:after="0" w:line="149" w:lineRule="exact"/>
        <w:rPr>
          <w:sz w:val="24"/>
          <w:szCs w:val="24"/>
          <w:color w:val="auto"/>
        </w:rPr>
      </w:pPr>
    </w:p>
    <w:p>
      <w:pPr>
        <w:ind w:right="2820"/>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No</w:t>
      </w:r>
    </w:p>
    <w:p>
      <w:pPr>
        <w:spacing w:after="0" w:line="42" w:lineRule="exact"/>
        <w:rPr>
          <w:sz w:val="24"/>
          <w:szCs w:val="24"/>
          <w:color w:val="auto"/>
        </w:rPr>
      </w:pPr>
    </w:p>
    <w:p>
      <w:pPr>
        <w:jc w:val="both"/>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No</w:t>
      </w:r>
    </w:p>
    <w:p>
      <w:pPr>
        <w:spacing w:after="0" w:line="42" w:lineRule="exact"/>
        <w:rPr>
          <w:sz w:val="24"/>
          <w:szCs w:val="24"/>
          <w:color w:val="auto"/>
        </w:rPr>
      </w:pPr>
    </w:p>
    <w:p>
      <w:pPr>
        <w:jc w:val="both"/>
        <w:ind w:right="2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No</w:t>
      </w:r>
    </w:p>
    <w:p>
      <w:pPr>
        <w:spacing w:after="0" w:line="43" w:lineRule="exact"/>
        <w:rPr>
          <w:sz w:val="24"/>
          <w:szCs w:val="24"/>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00" w:hanging="192"/>
        <w:spacing w:after="0" w:line="184" w:lineRule="exact"/>
        <w:tabs>
          <w:tab w:leader="none" w:pos="200" w:val="left"/>
        </w:tabs>
        <w:numPr>
          <w:ilvl w:val="0"/>
          <w:numId w:val="2"/>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74" w:lineRule="exact"/>
        <w:rPr>
          <w:sz w:val="24"/>
          <w:szCs w:val="24"/>
          <w:color w:val="auto"/>
        </w:rPr>
      </w:pPr>
    </w:p>
    <w:p>
      <w:pPr>
        <w:ind w:right="3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“larger accelerated filer,” “accelerated filer” and “smaller reporting company” in Rule 12b-2 of the Exchange Act. (Check one):</w:t>
      </w:r>
    </w:p>
    <w:p>
      <w:pPr>
        <w:spacing w:after="0" w:line="83" w:lineRule="exact"/>
        <w:rPr>
          <w:sz w:val="24"/>
          <w:szCs w:val="24"/>
          <w:color w:val="auto"/>
        </w:rPr>
      </w:pPr>
    </w:p>
    <w:p>
      <w:pPr>
        <w:ind w:left="40"/>
        <w:spacing w:after="0" w:line="184" w:lineRule="exact"/>
        <w:tabs>
          <w:tab w:leader="none" w:pos="2300" w:val="left"/>
          <w:tab w:leader="none" w:pos="4560" w:val="left"/>
          <w:tab w:leader="none" w:pos="6840" w:val="left"/>
        </w:tabs>
        <w:rPr>
          <w:sz w:val="20"/>
          <w:szCs w:val="20"/>
          <w:color w:val="auto"/>
        </w:rPr>
      </w:pPr>
      <w:r>
        <w:rPr>
          <w:rFonts w:ascii="Times New Roman" w:cs="Times New Roman" w:eastAsia="Times New Roman" w:hAnsi="Times New Roman"/>
          <w:sz w:val="16"/>
          <w:szCs w:val="16"/>
          <w:color w:val="auto"/>
        </w:rPr>
        <w:t xml:space="preserve">Larger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 x</w:t>
      </w:r>
    </w:p>
    <w:p>
      <w:pPr>
        <w:spacing w:after="0" w:line="9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color w:val="auto"/>
        </w:rPr>
        <w:t>(Do not check if a smaller reporting company)</w:t>
      </w:r>
    </w:p>
    <w:p>
      <w:pPr>
        <w:spacing w:after="0" w:line="14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0" w:lineRule="exact"/>
        <w:rPr>
          <w:sz w:val="24"/>
          <w:szCs w:val="24"/>
          <w:color w:val="auto"/>
        </w:rPr>
      </w:pPr>
    </w:p>
    <w:p>
      <w:pPr>
        <w:ind w:right="160"/>
        <w:spacing w:after="0" w:line="252" w:lineRule="auto"/>
        <w:rPr>
          <w:sz w:val="20"/>
          <w:szCs w:val="20"/>
          <w:color w:val="auto"/>
        </w:rPr>
      </w:pPr>
      <w:r>
        <w:rPr>
          <w:rFonts w:ascii="Times New Roman" w:cs="Times New Roman" w:eastAsia="Times New Roman" w:hAnsi="Times New Roman"/>
          <w:sz w:val="16"/>
          <w:szCs w:val="16"/>
          <w:color w:val="auto"/>
        </w:rPr>
        <w:t>The aggregate market value of the shares of voting common stock held by non-affiliates was approximately $60.1 million at June 30, 2014, (the Company's most recently completed second fiscal quarter), based on the $9.83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ClearOne common stock outstanding as of April 30, 2015 was $9,111,790.</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400"/>
          </w:cols>
          <w:pgMar w:left="240" w:top="464" w:right="25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Amendment No. 1 on Form 10-K/A (this "Form 10-K/A") to the Annual Report on Form 10-K of ClearOne, Inc., a Utah corporation (referred to as "ClearOne", "we", "us", "our" or the "Company") for the fiscal year ended December 31, 2014, originally filed with the Securities and Exchange Commission ("SEC") on March 31, 2015 (the "Original 10-K") is being filed solely for the purpose of including the information required by Part III of Form 10-K. The Company no longer anticipates filing its definitive proxy statement within 120 days of its fiscal year ended December 31, 2014. Therefore, such information will not be incorporated by reference to the Company's definitive proxy statement for the 2015 Annual Meeting of Shareholders. Thus, Part III, Items 10-14, of the Company's Original 10-K are hereby amended and restated in their entirety.</w:t>
      </w:r>
    </w:p>
    <w:p>
      <w:pPr>
        <w:spacing w:after="0" w:line="350"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7"/>
          <w:szCs w:val="17"/>
          <w:color w:val="auto"/>
        </w:rPr>
        <w:t>As required by Rule 12b-15, in connection with this Form 10-K/A, the Company's Chief Executive Officer and Chief Financial Officer have reissued applicable portions of their Rule 13a-14(a) certifications. Accordingly, Part IV, Item 15 has been amended to reflect the filing of such certifications herewith.</w:t>
      </w: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Except as described above, this Form 10-K/A does not modify or update disclosure in, or exhibits to, the Original 10-K. Furthermore, this Form 10-K/A does not change any previously reported financial results, nor does it reflect events occurring after the date of the Original 10-K. Information not affected by this Form 10-K/A remains unchanged and reflects the disclosures made at the time the Original 10-K was filed.</w:t>
      </w:r>
    </w:p>
    <w:p>
      <w:pPr>
        <w:sectPr>
          <w:pgSz w:w="11900" w:h="16838" w:orient="portrait"/>
          <w:cols w:equalWidth="0" w:num="1">
            <w:col w:w="11380"/>
          </w:cols>
          <w:pgMar w:left="240" w:top="446" w:right="279" w:bottom="1440" w:gutter="0" w:footer="0" w:header="0"/>
        </w:sectPr>
      </w:pPr>
    </w:p>
    <w:bookmarkStart w:id="2" w:name="page3"/>
    <w:bookmarkEnd w:id="2"/>
    <w:p>
      <w:pPr>
        <w:ind w:left="450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912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0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Compensation</w:t>
            </w: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3</w:t>
              </w:r>
            </w:hyperlink>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5</w:t>
              </w:r>
            </w:hyperlink>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7</w:t>
              </w:r>
            </w:hyperlink>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7</w:t>
              </w:r>
            </w:hyperlink>
          </w:p>
        </w:tc>
      </w:tr>
      <w:tr>
        <w:trPr>
          <w:trHeight w:val="291"/>
        </w:trPr>
        <w:tc>
          <w:tcPr>
            <w:tcW w:w="760" w:type="dxa"/>
            <w:vAlign w:val="bottom"/>
          </w:tcPr>
          <w:p>
            <w:pPr>
              <w:spacing w:after="0"/>
              <w:rPr>
                <w:sz w:val="24"/>
                <w:szCs w:val="24"/>
                <w:color w:val="auto"/>
              </w:rPr>
            </w:pPr>
          </w:p>
        </w:tc>
        <w:tc>
          <w:tcPr>
            <w:tcW w:w="912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2">
              <w:r>
                <w:rPr>
                  <w:rFonts w:ascii="Times New Roman" w:cs="Times New Roman" w:eastAsia="Times New Roman" w:hAnsi="Times New Roman"/>
                  <w:sz w:val="18"/>
                  <w:szCs w:val="18"/>
                  <w:color w:val="0000EE"/>
                  <w:w w:val="88"/>
                </w:rPr>
                <w:t>9</w:t>
              </w:r>
            </w:hyperlink>
          </w:p>
        </w:tc>
      </w:tr>
    </w:tbl>
    <w:p>
      <w:pPr>
        <w:sectPr>
          <w:pgSz w:w="11900" w:h="16838" w:orient="portrait"/>
          <w:cols w:equalWidth="0" w:num="1">
            <w:col w:w="10159"/>
          </w:cols>
          <w:pgMar w:left="300" w:top="365"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directors and executive officers.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Director or Officer</w:t>
            </w:r>
          </w:p>
        </w:tc>
      </w:tr>
      <w:tr>
        <w:trPr>
          <w:trHeight w:val="212"/>
        </w:trPr>
        <w:tc>
          <w:tcPr>
            <w:tcW w:w="2480" w:type="dxa"/>
            <w:vAlign w:val="bottom"/>
          </w:tcPr>
          <w:p>
            <w:pPr>
              <w:ind w:left="10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820" w:type="dxa"/>
            <w:vAlign w:val="bottom"/>
            <w:gridSpan w:val="2"/>
          </w:tcPr>
          <w:p>
            <w:pPr>
              <w:ind w:left="252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Since</w:t>
            </w:r>
          </w:p>
        </w:tc>
      </w:tr>
      <w:tr>
        <w:trPr>
          <w:trHeight w:val="33"/>
        </w:trPr>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2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Zeynep “Zee” Hakimoglu</w:t>
            </w:r>
          </w:p>
        </w:tc>
        <w:tc>
          <w:tcPr>
            <w:tcW w:w="1180" w:type="dxa"/>
            <w:vAlign w:val="bottom"/>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62</w:t>
            </w:r>
          </w:p>
        </w:tc>
        <w:tc>
          <w:tcPr>
            <w:tcW w:w="240" w:type="dxa"/>
            <w:vAlign w:val="bottom"/>
            <w:shd w:val="clear" w:color="auto" w:fill="CCEEFF"/>
          </w:tcPr>
          <w:p>
            <w:pPr>
              <w:spacing w:after="0"/>
              <w:rPr>
                <w:sz w:val="22"/>
                <w:szCs w:val="22"/>
                <w:color w:val="auto"/>
              </w:rPr>
            </w:pPr>
          </w:p>
        </w:tc>
        <w:tc>
          <w:tcPr>
            <w:tcW w:w="5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Chairman, Chief Executive Officer, and President </w:t>
            </w:r>
            <w:r>
              <w:rPr>
                <w:rFonts w:ascii="Times New Roman" w:cs="Times New Roman" w:eastAsia="Times New Roman" w:hAnsi="Times New Roman"/>
                <w:sz w:val="18"/>
                <w:szCs w:val="18"/>
                <w:color w:val="auto"/>
                <w:vertAlign w:val="superscript"/>
              </w:rPr>
              <w:t>(4)</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See Note 4</w:t>
            </w:r>
          </w:p>
        </w:tc>
      </w:tr>
      <w:tr>
        <w:trPr>
          <w:trHeight w:val="270"/>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Brad R. Baldwin</w:t>
            </w:r>
          </w:p>
        </w:tc>
        <w:tc>
          <w:tcPr>
            <w:tcW w:w="118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59</w:t>
            </w:r>
          </w:p>
        </w:tc>
        <w:tc>
          <w:tcPr>
            <w:tcW w:w="240" w:type="dxa"/>
            <w:vAlign w:val="bottom"/>
          </w:tcPr>
          <w:p>
            <w:pPr>
              <w:spacing w:after="0"/>
              <w:rPr>
                <w:sz w:val="23"/>
                <w:szCs w:val="23"/>
                <w:color w:val="auto"/>
              </w:rPr>
            </w:pPr>
          </w:p>
        </w:tc>
        <w:tc>
          <w:tcPr>
            <w:tcW w:w="582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Director</w:t>
            </w:r>
            <w:r>
              <w:rPr>
                <w:rFonts w:ascii="Times New Roman" w:cs="Times New Roman" w:eastAsia="Times New Roman" w:hAnsi="Times New Roman"/>
                <w:sz w:val="8"/>
                <w:szCs w:val="8"/>
                <w:color w:val="auto"/>
              </w:rPr>
              <w:t xml:space="preserve"> (1)(2)(3)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1988</w:t>
            </w:r>
          </w:p>
        </w:tc>
      </w:tr>
      <w:tr>
        <w:trPr>
          <w:trHeight w:val="270"/>
        </w:trPr>
        <w:tc>
          <w:tcPr>
            <w:tcW w:w="2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Larry R. Hendricks</w:t>
            </w:r>
          </w:p>
        </w:tc>
        <w:tc>
          <w:tcPr>
            <w:tcW w:w="1180" w:type="dxa"/>
            <w:vAlign w:val="bottom"/>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72</w:t>
            </w:r>
          </w:p>
        </w:tc>
        <w:tc>
          <w:tcPr>
            <w:tcW w:w="240" w:type="dxa"/>
            <w:vAlign w:val="bottom"/>
            <w:shd w:val="clear" w:color="auto" w:fill="CCEEFF"/>
          </w:tcPr>
          <w:p>
            <w:pPr>
              <w:spacing w:after="0"/>
              <w:rPr>
                <w:sz w:val="23"/>
                <w:szCs w:val="23"/>
                <w:color w:val="auto"/>
              </w:rPr>
            </w:pPr>
          </w:p>
        </w:tc>
        <w:tc>
          <w:tcPr>
            <w:tcW w:w="582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Director</w:t>
            </w:r>
            <w:r>
              <w:rPr>
                <w:rFonts w:ascii="Times New Roman" w:cs="Times New Roman" w:eastAsia="Times New Roman" w:hAnsi="Times New Roman"/>
                <w:sz w:val="8"/>
                <w:szCs w:val="8"/>
                <w:color w:val="auto"/>
              </w:rPr>
              <w:t xml:space="preserve"> (1)(2)(3)</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r>
      <w:tr>
        <w:trPr>
          <w:trHeight w:val="270"/>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Scott M. Huntsman</w:t>
            </w:r>
          </w:p>
        </w:tc>
        <w:tc>
          <w:tcPr>
            <w:tcW w:w="118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49</w:t>
            </w:r>
          </w:p>
        </w:tc>
        <w:tc>
          <w:tcPr>
            <w:tcW w:w="240" w:type="dxa"/>
            <w:vAlign w:val="bottom"/>
          </w:tcPr>
          <w:p>
            <w:pPr>
              <w:spacing w:after="0"/>
              <w:rPr>
                <w:sz w:val="23"/>
                <w:szCs w:val="23"/>
                <w:color w:val="auto"/>
              </w:rPr>
            </w:pPr>
          </w:p>
        </w:tc>
        <w:tc>
          <w:tcPr>
            <w:tcW w:w="582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Director</w:t>
            </w:r>
            <w:r>
              <w:rPr>
                <w:rFonts w:ascii="Times New Roman" w:cs="Times New Roman" w:eastAsia="Times New Roman" w:hAnsi="Times New Roman"/>
                <w:sz w:val="8"/>
                <w:szCs w:val="8"/>
                <w:color w:val="auto"/>
              </w:rPr>
              <w:t xml:space="preserve"> (1)(2)(3)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Narsi Narayanan</w:t>
            </w:r>
          </w:p>
        </w:tc>
        <w:tc>
          <w:tcPr>
            <w:tcW w:w="1180" w:type="dxa"/>
            <w:vAlign w:val="bottom"/>
            <w:tcBorders>
              <w:bottom w:val="single" w:sz="8" w:color="CCEEFF"/>
            </w:tcBorders>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45</w:t>
            </w:r>
          </w:p>
        </w:tc>
        <w:tc>
          <w:tcPr>
            <w:tcW w:w="24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of Finance and Corporate Secretary</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r>
      <w:tr>
        <w:trPr>
          <w:trHeight w:val="243"/>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J. Braithwaite</w:t>
            </w:r>
          </w:p>
        </w:tc>
        <w:tc>
          <w:tcPr>
            <w:tcW w:w="118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47</w:t>
            </w:r>
          </w:p>
        </w:tc>
        <w:tc>
          <w:tcPr>
            <w:tcW w:w="240" w:type="dxa"/>
            <w:vAlign w:val="bottom"/>
          </w:tcPr>
          <w:p>
            <w:pPr>
              <w:spacing w:after="0"/>
              <w:rPr>
                <w:sz w:val="21"/>
                <w:szCs w:val="21"/>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 Multimedia Streaming Business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r>
    </w:tbl>
    <w:p>
      <w:pPr>
        <w:spacing w:after="0" w:line="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and Compliance Committee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Committee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since July 2004; Director since April 2006; Chairman of the Board since July 2007.</w:t>
      </w:r>
    </w:p>
    <w:p>
      <w:pPr>
        <w:spacing w:after="0" w:line="20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Zee Hakimoglu </w:t>
      </w:r>
      <w:r>
        <w:rPr>
          <w:rFonts w:ascii="Times New Roman" w:cs="Times New Roman" w:eastAsia="Times New Roman" w:hAnsi="Times New Roman"/>
          <w:sz w:val="18"/>
          <w:szCs w:val="18"/>
          <w:color w:val="auto"/>
        </w:rPr>
        <w:t>has served as a director of our company since April 2006. Ms. Hakimoglu joined our company in December 2003 with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 years of executive and senior-level, high-tech management experience and was appointed as President and Chief Executive Officer in July 2004 and Chairman of the Board in July 2007. She served in a variety of executive business development, product marketing, engineering and product line management roles prior to joining ClearOne. Ms. Hakimoglu served as Vice 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 President of Wireless Engineering and Vice President of the Wireless Business Unit for Aydin Corp., a telecommunications equipment company, formerly traded on the New York Stock Exchange from May 1982 until it was acquired in September 1996. She also was Vice President of Business Development for Kaifa Technology from October 1998 to August 2000 and was instrumental in its acquisition by E-Tek Dynamics, then again acquired by JDS Uniphase. Through these acquisitions, she held the role of Deputy General Manager of the Kaifa Technology business unit. She also served as Vice President of Product Line Management for ClearOne from December 2003 to July 2004.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Brad R. Baldwin </w:t>
      </w:r>
      <w:r>
        <w:rPr>
          <w:rFonts w:ascii="Times New Roman" w:cs="Times New Roman" w:eastAsia="Times New Roman" w:hAnsi="Times New Roman"/>
          <w:sz w:val="18"/>
          <w:szCs w:val="18"/>
          <w:color w:val="auto"/>
        </w:rPr>
        <w:t>has served as a director of our company since October 1988, and was appointed "lead independent director" in 2013. Mr. Baldwin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an attorney licensed to practice in Utah. He is currently employed as President and CEO of First Utah Bank, a full service commercial and community bank headquartered in Salt Lake City, Utah. Prior to that, Mr. Baldwin served as general counsel to the Wasatch Front Regional Multiple Listing Service (“WFRMLS “), which provided data and real estate services to over 10,000 real estate brokers, agents and appraisers in Utah. From 2001 to 2009, he served as an attorney and investment real estate specialist with Commerce CRG in Salt Lake City, Utah. From 1988 to 2000, he served as legal counsel and president of Bank One, Utah, a full service commercial bank owned by Bank One Corporation.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 In light of Mr. Baldwin's legal and financial services background and unique understanding of our business due to his long service on our Board, the Board has concluded that Mr. Baldwin should continue to serve as a director.</w:t>
      </w:r>
    </w:p>
    <w:p>
      <w:pPr>
        <w:spacing w:after="0" w:line="18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Larry R. Hendricks </w:t>
      </w:r>
      <w:r>
        <w:rPr>
          <w:rFonts w:ascii="Times New Roman" w:cs="Times New Roman" w:eastAsia="Times New Roman" w:hAnsi="Times New Roman"/>
          <w:sz w:val="18"/>
          <w:szCs w:val="18"/>
          <w:color w:val="auto"/>
        </w:rPr>
        <w:t>has served as a director of our company since June 2003. Mr. Hendricks is a Certified Public Accountant who retired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 In light of Mr.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5" w:right="239" w:bottom="1440" w:gutter="0" w:footer="0" w:header="0"/>
        </w:sectPr>
      </w:pPr>
    </w:p>
    <w:bookmarkStart w:id="4" w:name="page5"/>
    <w:bookmarkEnd w:id="4"/>
    <w:p>
      <w:pPr>
        <w:ind w:right="160"/>
        <w:spacing w:after="0" w:line="282" w:lineRule="auto"/>
        <w:rPr>
          <w:sz w:val="20"/>
          <w:szCs w:val="20"/>
          <w:color w:val="auto"/>
        </w:rPr>
      </w:pPr>
      <w:r>
        <w:rPr>
          <w:rFonts w:ascii="Times New Roman" w:cs="Times New Roman" w:eastAsia="Times New Roman" w:hAnsi="Times New Roman"/>
          <w:sz w:val="18"/>
          <w:szCs w:val="18"/>
          <w:color w:val="auto"/>
        </w:rPr>
        <w:t>Hendricks' background in finance and accounting and his deep understanding of our business due to his long service on our Board, the Board has concluded Mr. Hendricks should continue to serve as a director.</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Scott M. Huntsman </w:t>
      </w:r>
      <w:r>
        <w:rPr>
          <w:rFonts w:ascii="Times New Roman" w:cs="Times New Roman" w:eastAsia="Times New Roman" w:hAnsi="Times New Roman"/>
          <w:sz w:val="18"/>
          <w:szCs w:val="18"/>
          <w:color w:val="auto"/>
        </w:rPr>
        <w:t>has served as a director of our company since June 2003. Mr. Huntsman is the CEO of Martin Doors, a business based in Utah.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has served as President and CEO of GlobalSim, a technology and simulation company, since February 2003, and as Chief Financial Officer from April 2002 to February 2003. Prior to joining GlobalSim, he spent 11 years on Wall Street as an investment banker, where he focused on mergers, acquisitions, and corporate finance transactions. Mr. Huntsman served at Donaldson, Lufkin and Jenrette Securities Corporation from August 1996 to 2000, when they merged with Credit Suisse First Boston where he served until October 2001. Mr. Huntsman serves as a director of Ballet West (where he is Treasurer and a member of the Executive Committee), the Community Foundation of Utah, the Gifted Music School, and Kongsberg Maritime Simulation Americas. Mr. Huntsman earned a Bachelor's Degree from Columbia University and a Master of Business Administration Degree from The Wharton School at the University of Pennsylvania. He also studied at the London School of Economics as a Kohn Fellowship recipient. In light of Mr. Huntsman's background in finance, particularly in the areas of mergers and acquisitions and corporate finance, and in view of his experience as a leader of a technology company, the Board has concluded Mr. Huntsman should continue to serve as a director.</w:t>
      </w:r>
    </w:p>
    <w:p>
      <w:pPr>
        <w:spacing w:after="0" w:line="18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Narsi Narayanan </w:t>
      </w:r>
      <w:r>
        <w:rPr>
          <w:rFonts w:ascii="Times New Roman" w:cs="Times New Roman" w:eastAsia="Times New Roman" w:hAnsi="Times New Roman"/>
          <w:sz w:val="18"/>
          <w:szCs w:val="18"/>
          <w:color w:val="auto"/>
        </w:rPr>
        <w:t>has served as our Senior Vice President of Finance since July 2009 and has over 20 years of professional experience in the areas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accounting, finance and taxes. Prior to joining our company, he managed the SEC reporting, US GAAP accounting research, SOX compliance and other financial reporting functions from August 2007 through February 2009 at Solo Cup Company, a publicly 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 reporting company before being acquired by Pearson Education group. In addition to being a Chartered Accountant, Mr. Narayanan has extensive experience working in public accounting and in various senior finance positions in India with large public companies. He is a Certified Public Accountant with graduate degrees in accounting (M. Acc.) and business (MBA-Finance).</w:t>
      </w:r>
    </w:p>
    <w:p>
      <w:pPr>
        <w:spacing w:after="0" w:line="18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Michael Braithwaite </w:t>
      </w:r>
      <w:r>
        <w:rPr>
          <w:rFonts w:ascii="Times New Roman" w:cs="Times New Roman" w:eastAsia="Times New Roman" w:hAnsi="Times New Roman"/>
          <w:sz w:val="18"/>
          <w:szCs w:val="18"/>
          <w:color w:val="auto"/>
        </w:rPr>
        <w:t>joined us in November 2009 through the acquisition of NetStreams, Inc. where he was the co-founder and CTO since 2002.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Braithwaite has led a distinguished twenty-plus-year career as a visionary, disruptive innovator, and proven leader in the professional audio and consumer electronics industries. He has authored more than twenty U.S. and International patents. Before NetStreams, Inc., Mr. Braithwaite was a product and market manager for Crestron Electronics where he worked on highly successful audio and video distribution products. He currently serves on the AVnu (AVB) marketing and technical committees.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2014, we believe that each person who, at any time during such fiscal year was a director, officer, or beneficial owner of more than 10% of our common stock complied with all Section 16(a) filing requirements during such period, except for the following: Brad Baldwin, a director, filed one Form 4 late for one transaction; Scott Huntsman, a director, filed on Form 4 late for one transaction; Larry Hendricks, a director, filed two Forms 4 late for one transaction each; Zee Hakimoglu, an officer and director, filed one Form 4 late for five transactions and one Form 4 late for one transaction; and Michael Braithwaite, an officer, filed one Form 4 late for one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adopted a code of ethics that applies to our Board of Directors, executive officers, and employees. The Company's Code of Ethics is posted on our website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Procedures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changes have been made to the procedures by which our shareholders may recommend nominees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Compliance Committee</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580" w:right="25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 separate Audit Committee and its members are Scott M. Huntsman (Chairman), Brad R. Baldwin, and Larry R. Hendricks. The Board of Directors has determined that Scott M. Huntsman is an “audit committee financial expert” and each member is independent in accordance with applicable rules and regulations of NASDAQ and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sets forth for the periods indicated, the compensation paid or earned by each named executive officer for the years ended December 31, 2014 and 2013.</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Non-Equity Incentive</w:t>
            </w:r>
          </w:p>
        </w:tc>
        <w:tc>
          <w:tcPr>
            <w:tcW w:w="180" w:type="dxa"/>
            <w:vAlign w:val="bottom"/>
          </w:tcPr>
          <w:p>
            <w:pPr>
              <w:spacing w:after="0"/>
              <w:rPr>
                <w:sz w:val="17"/>
                <w:szCs w:val="17"/>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2"/>
        </w:trPr>
        <w:tc>
          <w:tcPr>
            <w:tcW w:w="32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 xml:space="preserve">Option Awards </w:t>
            </w:r>
            <w:r>
              <w:rPr>
                <w:rFonts w:ascii="Times New Roman" w:cs="Times New Roman" w:eastAsia="Times New Roman" w:hAnsi="Times New Roman"/>
                <w:sz w:val="17"/>
                <w:szCs w:val="17"/>
                <w:b w:val="1"/>
                <w:bCs w:val="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Plan Compensation</w:t>
            </w:r>
            <w:r>
              <w:rPr>
                <w:rFonts w:ascii="Times New Roman" w:cs="Times New Roman" w:eastAsia="Times New Roman" w:hAnsi="Times New Roman"/>
                <w:sz w:val="17"/>
                <w:szCs w:val="17"/>
                <w:b w:val="1"/>
                <w:bCs w:val="1"/>
                <w:color w:val="auto"/>
                <w:vertAlign w:val="superscript"/>
              </w:rPr>
              <w:t>(2)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Compensation</w:t>
            </w:r>
            <w:r>
              <w:rPr>
                <w:rFonts w:ascii="Times New Roman" w:cs="Times New Roman" w:eastAsia="Times New Roman" w:hAnsi="Times New Roman"/>
                <w:sz w:val="17"/>
                <w:szCs w:val="17"/>
                <w:b w:val="1"/>
                <w:bCs w:val="1"/>
                <w:color w:val="auto"/>
                <w:vertAlign w:val="superscript"/>
              </w:rPr>
              <w:t>(3)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3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Zee Hakimoglu </w:t>
            </w:r>
            <w:r>
              <w:rPr>
                <w:rFonts w:ascii="Times New Roman" w:cs="Times New Roman" w:eastAsia="Times New Roman" w:hAnsi="Times New Roman"/>
                <w:sz w:val="18"/>
                <w:szCs w:val="18"/>
                <w:color w:val="auto"/>
              </w:rPr>
              <w:t>- Chairman of the Board,</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1"/>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181,600</w:t>
            </w:r>
          </w:p>
        </w:tc>
        <w:tc>
          <w:tcPr>
            <w:tcW w:w="120" w:type="dxa"/>
            <w:vAlign w:val="bottom"/>
          </w:tcPr>
          <w:p>
            <w:pPr>
              <w:spacing w:after="0"/>
              <w:rPr>
                <w:sz w:val="21"/>
                <w:szCs w:val="21"/>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109,247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550,847</w:t>
            </w: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2"/>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106,928</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71,460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868,388</w:t>
            </w:r>
          </w:p>
        </w:tc>
      </w:tr>
      <w:tr>
        <w:trPr>
          <w:trHeight w:val="225"/>
        </w:trPr>
        <w:tc>
          <w:tcPr>
            <w:tcW w:w="3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Narsi Narayanan  </w:t>
            </w:r>
            <w:r>
              <w:rPr>
                <w:rFonts w:ascii="Times New Roman" w:cs="Times New Roman" w:eastAsia="Times New Roman" w:hAnsi="Times New Roman"/>
                <w:sz w:val="18"/>
                <w:szCs w:val="18"/>
                <w:color w:val="auto"/>
              </w:rPr>
              <w:t>- Senior Vice President</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Finance and Corporate Secretary</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90,800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315,222</w:t>
            </w: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2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64,157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336,940</w:t>
            </w:r>
          </w:p>
        </w:tc>
      </w:tr>
      <w:tr>
        <w:trPr>
          <w:trHeight w:val="34"/>
        </w:trPr>
        <w:tc>
          <w:tcPr>
            <w:tcW w:w="3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3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Michael Braithwaite  </w:t>
            </w:r>
            <w:r>
              <w:rPr>
                <w:rFonts w:ascii="Times New Roman" w:cs="Times New Roman" w:eastAsia="Times New Roman" w:hAnsi="Times New Roman"/>
                <w:sz w:val="18"/>
                <w:szCs w:val="18"/>
                <w:color w:val="auto"/>
              </w:rPr>
              <w:t>- Chief Strategy</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1"/>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162,500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200,629</w:t>
            </w: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196,275</w:t>
            </w:r>
          </w:p>
        </w:tc>
      </w:tr>
      <w:tr>
        <w:trPr>
          <w:trHeight w:val="27"/>
        </w:trPr>
        <w:tc>
          <w:tcPr>
            <w:tcW w:w="3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bl>
    <w:p>
      <w:pPr>
        <w:ind w:left="340" w:right="20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The assumptions made in the valuation of our option awards and the material terms of option awards are disclosed in Note 9 - Share Based Payments in our Notes to Consolidated Financial Statements included in Part IV of the Original 10-K.</w:t>
      </w:r>
    </w:p>
    <w:p>
      <w:pPr>
        <w:spacing w:after="0" w:line="1" w:lineRule="exact"/>
        <w:rPr>
          <w:rFonts w:ascii="Times New Roman" w:cs="Times New Roman" w:eastAsia="Times New Roman" w:hAnsi="Times New Roman"/>
          <w:sz w:val="18"/>
          <w:szCs w:val="18"/>
          <w:color w:val="auto"/>
        </w:rPr>
      </w:pPr>
    </w:p>
    <w:p>
      <w:pPr>
        <w:ind w:left="340" w:right="8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Compensation is based upon the achievement of pre-determined quarterly goals, namely, financial goals comprising of revenue, gross margin, operating income and meeting reporting deadlines, and non-quantitative performance goals. While all financial goals are similar for Ms. Hakimoglu and Mr. Narayanan, Mr. Braithwaite's financial goals consisted only of revenue, gross margin and operating income goals. Non-quantitative goals varied for each executive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by the other two executive officers. Compensation under the non-equity incentive plan is calculated by assigning 70% weight to financial goals (with each goal having equal share for each officer's goals) and 30% to non-quantitative goals.</w:t>
      </w:r>
    </w:p>
    <w:p>
      <w:pPr>
        <w:spacing w:after="0" w:line="3" w:lineRule="exact"/>
        <w:rPr>
          <w:rFonts w:ascii="Times New Roman" w:cs="Times New Roman" w:eastAsia="Times New Roman" w:hAnsi="Times New Roman"/>
          <w:sz w:val="18"/>
          <w:szCs w:val="18"/>
          <w:color w:val="auto"/>
        </w:rPr>
      </w:pPr>
    </w:p>
    <w:p>
      <w:pPr>
        <w:ind w:left="340" w:right="180" w:hanging="332"/>
        <w:spacing w:after="0" w:line="25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for Ms. Hakimoglu and Mr. Narayanan is for a special bonus paid as a result of the UBS litigation settlement (See Note 8 - Commitments and Contingencies in the Notes to Consolidated Financial Statements included in Part IV of the Original 10-K). All Other Compensation for Mr. Braithwaite consists of $10,000 in 2013 for a special bonus paid as a result of the UBS litigation settlement, with the remaining amounts for the value of an honorarium paid under a patenting process program for Mr. Braithwaite.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72"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holdings of stock options by the named executive officers as of December 31, 2014.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20" w:type="dxa"/>
            <w:vAlign w:val="bottom"/>
          </w:tcPr>
          <w:p>
            <w:pPr>
              <w:spacing w:after="0"/>
              <w:rPr>
                <w:sz w:val="13"/>
                <w:szCs w:val="13"/>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0" w:type="dxa"/>
            <w:vAlign w:val="bottom"/>
          </w:tcPr>
          <w:p>
            <w:pPr>
              <w:spacing w:after="0"/>
              <w:rPr>
                <w:sz w:val="1"/>
                <w:szCs w:val="1"/>
                <w:color w:val="auto"/>
              </w:rPr>
            </w:pPr>
          </w:p>
        </w:tc>
      </w:tr>
      <w:tr>
        <w:trPr>
          <w:trHeight w:val="149"/>
        </w:trPr>
        <w:tc>
          <w:tcPr>
            <w:tcW w:w="344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1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Grant Date</w:t>
            </w:r>
          </w:p>
        </w:tc>
        <w:tc>
          <w:tcPr>
            <w:tcW w:w="120" w:type="dxa"/>
            <w:vAlign w:val="bottom"/>
            <w:vMerge w:val="restart"/>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2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Unexercisables</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Zee Hakimoglu</w:t>
            </w: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54,795</w:t>
            </w:r>
          </w:p>
        </w:tc>
        <w:tc>
          <w:tcPr>
            <w:tcW w:w="12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09/18/06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09/18/16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95,205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09/18/06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09/18/16</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16,260</w:t>
            </w:r>
          </w:p>
        </w:tc>
        <w:tc>
          <w:tcPr>
            <w:tcW w:w="12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08/14/07</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08/14/17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133,740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08/14/07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08/14/17</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15,278</w:t>
            </w:r>
          </w:p>
        </w:tc>
        <w:tc>
          <w:tcPr>
            <w:tcW w:w="12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11/14/08</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11/14/18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34,722</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11/14/08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11/14/18</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05/26/10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05/26/20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08/05/11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08/05/21</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21,527</w:t>
            </w:r>
          </w:p>
        </w:tc>
        <w:tc>
          <w:tcPr>
            <w:tcW w:w="12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05/11/12</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05/11/22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6,709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08/22/13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08/22/23</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4,401</w:t>
            </w:r>
          </w:p>
        </w:tc>
        <w:tc>
          <w:tcPr>
            <w:tcW w:w="12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08/22/13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08/22/23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09/12/14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09/12/24</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Narsi Narayanan</w:t>
            </w: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08/27/09</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08/27/19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05/26/10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05/26/20</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08/05/11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08/05/21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17,222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05/11/12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05/11/22</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6,666</w:t>
            </w:r>
          </w:p>
        </w:tc>
        <w:tc>
          <w:tcPr>
            <w:tcW w:w="12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08/22/13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08/22/23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09/12/14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09/12/24</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Michael Braithwaite</w:t>
            </w: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3,056</w:t>
            </w:r>
          </w:p>
        </w:tc>
        <w:tc>
          <w:tcPr>
            <w:tcW w:w="12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08/05/11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08/05/21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8,334</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05/11/12</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05/11/22</w:t>
            </w: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(1) Unvested options vest monthly over a three year period beginning on the date of grant.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exercise of stock options by named executive officers during the year ended December 31, 2014.</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vMerge w:val="restart"/>
          </w:tcPr>
          <w:p>
            <w:pPr>
              <w:ind w:left="30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3"/>
                <w:szCs w:val="13"/>
                <w:color w:val="auto"/>
              </w:rPr>
            </w:pPr>
          </w:p>
        </w:tc>
        <w:tc>
          <w:tcPr>
            <w:tcW w:w="24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 acquired on</w:t>
            </w:r>
          </w:p>
        </w:tc>
        <w:tc>
          <w:tcPr>
            <w:tcW w:w="220" w:type="dxa"/>
            <w:vAlign w:val="bottom"/>
          </w:tcPr>
          <w:p>
            <w:pPr>
              <w:spacing w:after="0"/>
              <w:rPr>
                <w:sz w:val="13"/>
                <w:szCs w:val="13"/>
                <w:color w:val="auto"/>
              </w:rPr>
            </w:pPr>
          </w:p>
        </w:tc>
        <w:tc>
          <w:tcPr>
            <w:tcW w:w="21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Value realized on exercise (1)</w:t>
            </w:r>
          </w:p>
        </w:tc>
        <w:tc>
          <w:tcPr>
            <w:tcW w:w="0" w:type="dxa"/>
            <w:vAlign w:val="bottom"/>
          </w:tcPr>
          <w:p>
            <w:pPr>
              <w:spacing w:after="0"/>
              <w:rPr>
                <w:sz w:val="1"/>
                <w:szCs w:val="1"/>
                <w:color w:val="auto"/>
              </w:rPr>
            </w:pPr>
          </w:p>
        </w:tc>
      </w:tr>
      <w:tr>
        <w:trPr>
          <w:trHeight w:val="207"/>
        </w:trPr>
        <w:tc>
          <w:tcPr>
            <w:tcW w:w="64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38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Zee Hakimoglu</w:t>
            </w:r>
          </w:p>
        </w:tc>
        <w:tc>
          <w:tcPr>
            <w:tcW w:w="23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792,245</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Narsi Narayanan</w:t>
            </w:r>
          </w:p>
        </w:tc>
        <w:tc>
          <w:tcPr>
            <w:tcW w:w="2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Braithwaite</w:t>
            </w:r>
          </w:p>
        </w:tc>
        <w:tc>
          <w:tcPr>
            <w:tcW w:w="2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2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(1) Value realized on exercise is the excess of market price of underlying shares on the date of exercise over exercise price for the options.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7"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Employment Agreements. </w:t>
      </w:r>
      <w:r>
        <w:rPr>
          <w:rFonts w:ascii="Times New Roman" w:cs="Times New Roman" w:eastAsia="Times New Roman" w:hAnsi="Times New Roman"/>
          <w:sz w:val="18"/>
          <w:szCs w:val="18"/>
          <w:color w:val="auto"/>
        </w:rPr>
        <w:t>As of the year ended December 31, 2014, none of our named executive officers was party to an employment or severance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us, and each named executive officer's employment was on an “at-will” basis, permitting either us or the executive to terminate his or her employment for any reason or for no reason.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7" w:name="page8"/>
    <w:bookmarkEnd w:id="7"/>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Accelerated Stock Option Vesting Upon a Change in Control</w:t>
      </w:r>
      <w:r>
        <w:rPr>
          <w:rFonts w:ascii="Times New Roman" w:cs="Times New Roman" w:eastAsia="Times New Roman" w:hAnsi="Times New Roman"/>
          <w:sz w:val="18"/>
          <w:szCs w:val="18"/>
          <w:color w:val="auto"/>
        </w:rPr>
        <w:t>. For certain option grants to executive officers and directors, in the event of a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all of such optionee's unvested stock options will vest and become exercisable immediately prior to the event or closing of the transaction causing the change in control.</w:t>
      </w:r>
    </w:p>
    <w:p>
      <w:pPr>
        <w:spacing w:after="0" w:line="174"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color w:val="auto"/>
        </w:rPr>
        <w:t>Under the option grants, a “</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xml:space="preserve"> means a change in ownership or control of the Company effected through either of the following transactions:</w:t>
      </w:r>
    </w:p>
    <w:p>
      <w:pPr>
        <w:spacing w:after="0" w:line="160" w:lineRule="exact"/>
        <w:rPr>
          <w:sz w:val="20"/>
          <w:szCs w:val="20"/>
          <w:color w:val="auto"/>
        </w:rPr>
      </w:pPr>
    </w:p>
    <w:p>
      <w:pPr>
        <w:ind w:left="660" w:right="40" w:hanging="4"/>
        <w:spacing w:after="0" w:line="261" w:lineRule="auto"/>
        <w:tabs>
          <w:tab w:leader="none" w:pos="8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1934 Act) of securities possessing more than fifty percent (50%) of the total combined voting power of the Company's outstanding securities pursuant to a tender or exchange offer made directly to the Company's shareholders, which the Board does not recommend such shareholders to accept, or</w:t>
      </w:r>
    </w:p>
    <w:p>
      <w:pPr>
        <w:spacing w:after="0" w:line="180" w:lineRule="exact"/>
        <w:rPr>
          <w:rFonts w:ascii="Times New Roman" w:cs="Times New Roman" w:eastAsia="Times New Roman" w:hAnsi="Times New Roman"/>
          <w:sz w:val="18"/>
          <w:szCs w:val="18"/>
          <w:color w:val="auto"/>
        </w:rPr>
      </w:pPr>
    </w:p>
    <w:p>
      <w:pPr>
        <w:ind w:left="660" w:right="120" w:hanging="4"/>
        <w:spacing w:after="0" w:line="258" w:lineRule="auto"/>
        <w:tabs>
          <w:tab w:leader="none" w:pos="9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8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At our current stock price of about $11.45, all the named executive officers would each benefit from any potential accelerated vesting of unvested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compensation paid by us to non-employee directors for the year ended December 31, 2014. Ms. Hakimoglu did not receive additional compensation for her service as a director.</w:t>
      </w:r>
    </w:p>
    <w:p>
      <w:pPr>
        <w:spacing w:after="0" w:line="8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Options</w:t>
            </w:r>
          </w:p>
        </w:tc>
        <w:tc>
          <w:tcPr>
            <w:tcW w:w="0" w:type="dxa"/>
            <w:vAlign w:val="bottom"/>
          </w:tcPr>
          <w:p>
            <w:pPr>
              <w:spacing w:after="0"/>
              <w:rPr>
                <w:sz w:val="1"/>
                <w:szCs w:val="1"/>
                <w:color w:val="auto"/>
              </w:rPr>
            </w:pPr>
          </w:p>
        </w:tc>
      </w:tr>
      <w:tr>
        <w:trPr>
          <w:trHeight w:val="149"/>
        </w:trPr>
        <w:tc>
          <w:tcPr>
            <w:tcW w:w="3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vMerge w:val="restart"/>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8"/>
                <w:szCs w:val="8"/>
                <w:b w:val="1"/>
                <w:bCs w:val="1"/>
                <w:color w:val="auto"/>
              </w:rPr>
              <w:t>(2)</w:t>
            </w:r>
          </w:p>
        </w:tc>
        <w:tc>
          <w:tcPr>
            <w:tcW w:w="12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 Year</w:t>
            </w:r>
          </w:p>
        </w:tc>
        <w:tc>
          <w:tcPr>
            <w:tcW w:w="0" w:type="dxa"/>
            <w:vAlign w:val="bottom"/>
          </w:tcPr>
          <w:p>
            <w:pPr>
              <w:spacing w:after="0"/>
              <w:rPr>
                <w:sz w:val="1"/>
                <w:szCs w:val="1"/>
                <w:color w:val="auto"/>
              </w:rPr>
            </w:pPr>
          </w:p>
        </w:tc>
      </w:tr>
      <w:tr>
        <w:trPr>
          <w:trHeight w:val="207"/>
        </w:trPr>
        <w:tc>
          <w:tcPr>
            <w:tcW w:w="398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Cash</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w:t>
            </w:r>
          </w:p>
        </w:tc>
        <w:tc>
          <w:tcPr>
            <w:tcW w:w="0" w:type="dxa"/>
            <w:vAlign w:val="bottom"/>
          </w:tcPr>
          <w:p>
            <w:pPr>
              <w:spacing w:after="0"/>
              <w:rPr>
                <w:sz w:val="1"/>
                <w:szCs w:val="1"/>
                <w:color w:val="auto"/>
              </w:rPr>
            </w:pPr>
          </w:p>
        </w:tc>
      </w:tr>
      <w:tr>
        <w:trPr>
          <w:trHeight w:val="243"/>
        </w:trPr>
        <w:tc>
          <w:tcPr>
            <w:tcW w:w="4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Brad R. Baldwin</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37,200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54,604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91,804</w:t>
            </w:r>
          </w:p>
        </w:tc>
        <w:tc>
          <w:tcPr>
            <w:tcW w:w="2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Larry R. Hendricks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54,604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88,204</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43"/>
        </w:trPr>
        <w:tc>
          <w:tcPr>
            <w:tcW w:w="4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Scott M. Huntsman</w:t>
            </w:r>
          </w:p>
        </w:tc>
        <w:tc>
          <w:tcPr>
            <w:tcW w:w="3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54,604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91,804</w:t>
            </w:r>
          </w:p>
        </w:tc>
        <w:tc>
          <w:tcPr>
            <w:tcW w:w="2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annual director's fee for the reporting year was $30,000.</w:t>
      </w:r>
    </w:p>
    <w:p>
      <w:pPr>
        <w:spacing w:after="0" w:line="27" w:lineRule="exact"/>
        <w:rPr>
          <w:rFonts w:ascii="Times New Roman" w:cs="Times New Roman" w:eastAsia="Times New Roman" w:hAnsi="Times New Roman"/>
          <w:sz w:val="18"/>
          <w:szCs w:val="18"/>
          <w:color w:val="auto"/>
        </w:rPr>
      </w:pPr>
    </w:p>
    <w:p>
      <w:pPr>
        <w:ind w:left="340" w:right="200" w:hanging="332"/>
        <w:spacing w:after="0" w:line="25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in the “Option Awards” column reflect the aggregate grant date fair value of awards of stock options granted pursuant to our long-term incentive plans during the periods reported above, computed in accordance with FASB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assumptions made in valuation of our option awards are disclosed in Note 9 - Share Based Payments in the Notes to Consolidated Financial Statements included in Part IV of Original 10-K.</w:t>
      </w:r>
    </w:p>
    <w:p>
      <w:pPr>
        <w:spacing w:after="0" w:line="18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080808"/>
        </w:rPr>
        <w:t>On August 20, 2013, the Compensation Committee approved an increase in the monthly base for outside Board of Director's compensation from $2,000 to $2,500 per month. Also effective from this date, outside Directors receive $100 per month for each board committee served on, and an additional $300 per month if the outside Director is the chair of the Audit or Compensation Committee</w:t>
      </w:r>
      <w:r>
        <w:rPr>
          <w:rFonts w:ascii="Times New Roman" w:cs="Times New Roman" w:eastAsia="Times New Roman" w:hAnsi="Times New Roman"/>
          <w:sz w:val="18"/>
          <w:szCs w:val="18"/>
          <w:color w:val="000000"/>
        </w:rPr>
        <w:t>. The fee is not dependent on the number of meetings attended by any</w:t>
      </w:r>
      <w:r>
        <w:rPr>
          <w:rFonts w:ascii="Times New Roman" w:cs="Times New Roman" w:eastAsia="Times New Roman" w:hAnsi="Times New Roman"/>
          <w:sz w:val="18"/>
          <w:szCs w:val="18"/>
          <w:color w:val="080808"/>
        </w:rPr>
        <w:t xml:space="preserve"> </w:t>
      </w:r>
      <w:r>
        <w:rPr>
          <w:rFonts w:ascii="Times New Roman" w:cs="Times New Roman" w:eastAsia="Times New Roman" w:hAnsi="Times New Roman"/>
          <w:sz w:val="18"/>
          <w:szCs w:val="18"/>
          <w:color w:val="000000"/>
        </w:rPr>
        <w:t>directors. All directors are reimbursed by us for their out-of-pocket travel and related expenses incurred in attending all Board of Directors and committee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2" w:right="239" w:bottom="1440" w:gutter="0" w:footer="0" w:header="0"/>
        </w:sectPr>
      </w:pPr>
    </w:p>
    <w:bookmarkStart w:id="8" w:name="page9"/>
    <w:bookmarkEnd w:id="8"/>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ownership of our common stock as of April 30, 2015, except as otherwise stated, by</w:t>
      </w:r>
    </w:p>
    <w:p>
      <w:pPr>
        <w:spacing w:after="0" w:line="27" w:lineRule="exact"/>
        <w:rPr>
          <w:sz w:val="20"/>
          <w:szCs w:val="20"/>
          <w:color w:val="auto"/>
        </w:rPr>
      </w:pPr>
    </w:p>
    <w:p>
      <w:pPr>
        <w:ind w:right="280" w:firstLine="8"/>
        <w:spacing w:after="0" w:line="261"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 (1)</w:t>
            </w: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Actually Owned</w:t>
            </w:r>
          </w:p>
        </w:tc>
        <w:tc>
          <w:tcPr>
            <w:tcW w:w="15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Shares that could be</w:t>
            </w: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Actually Owned</w:t>
            </w:r>
            <w:r>
              <w:rPr>
                <w:rFonts w:ascii="Times New Roman" w:cs="Times New Roman" w:eastAsia="Times New Roman" w:hAnsi="Times New Roman"/>
                <w:sz w:val="8"/>
                <w:szCs w:val="8"/>
                <w:b w:val="1"/>
                <w:bCs w:val="1"/>
                <w:color w:val="auto"/>
              </w:rPr>
              <w:t>(2)</w:t>
            </w:r>
          </w:p>
        </w:tc>
        <w:tc>
          <w:tcPr>
            <w:tcW w:w="1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acquired within 60</w:t>
            </w:r>
          </w:p>
        </w:tc>
        <w:tc>
          <w:tcPr>
            <w:tcW w:w="14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8"/>
                <w:szCs w:val="8"/>
                <w:b w:val="1"/>
                <w:bCs w:val="1"/>
                <w:color w:val="auto"/>
              </w:rPr>
              <w:t>(2)</w:t>
            </w:r>
          </w:p>
        </w:tc>
        <w:tc>
          <w:tcPr>
            <w:tcW w:w="100" w:type="dxa"/>
            <w:vAlign w:val="bottom"/>
          </w:tcPr>
          <w:p>
            <w:pPr>
              <w:spacing w:after="0"/>
              <w:rPr>
                <w:sz w:val="12"/>
                <w:szCs w:val="12"/>
                <w:color w:val="auto"/>
              </w:rPr>
            </w:pPr>
          </w:p>
        </w:tc>
        <w:tc>
          <w:tcPr>
            <w:tcW w:w="144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8"/>
                <w:szCs w:val="8"/>
                <w:b w:val="1"/>
                <w:bCs w:val="1"/>
                <w:color w:val="auto"/>
              </w:rPr>
              <w:t>(2)</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days</w:t>
            </w:r>
            <w:r>
              <w:rPr>
                <w:rFonts w:ascii="Times New Roman" w:cs="Times New Roman" w:eastAsia="Times New Roman" w:hAnsi="Times New Roman"/>
                <w:sz w:val="8"/>
                <w:szCs w:val="8"/>
                <w:b w:val="1"/>
                <w:bCs w:val="1"/>
                <w:color w:val="auto"/>
              </w:rPr>
              <w:t>(2)</w:t>
            </w:r>
          </w:p>
        </w:tc>
        <w:tc>
          <w:tcPr>
            <w:tcW w:w="1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8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14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6"/>
                <w:szCs w:val="16"/>
                <w:color w:val="auto"/>
              </w:rPr>
            </w:pPr>
          </w:p>
        </w:tc>
        <w:tc>
          <w:tcPr>
            <w:tcW w:w="144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89"/>
        </w:trPr>
        <w:tc>
          <w:tcPr>
            <w:tcW w:w="346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Zee Hakimoglu</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146,379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410,276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556,655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0"/>
        </w:trPr>
        <w:tc>
          <w:tcPr>
            <w:tcW w:w="3460" w:type="dxa"/>
            <w:vAlign w:val="bottom"/>
            <w:gridSpan w:val="4"/>
          </w:tcPr>
          <w:p>
            <w:pPr>
              <w:ind w:left="20"/>
              <w:spacing w:after="0" w:line="270" w:lineRule="exact"/>
              <w:rPr>
                <w:sz w:val="20"/>
                <w:szCs w:val="20"/>
                <w:color w:val="auto"/>
              </w:rPr>
            </w:pPr>
            <w:r>
              <w:rPr>
                <w:rFonts w:ascii="Times New Roman" w:cs="Times New Roman" w:eastAsia="Times New Roman" w:hAnsi="Times New Roman"/>
                <w:sz w:val="18"/>
                <w:szCs w:val="18"/>
                <w:color w:val="auto"/>
              </w:rPr>
              <w:t>Brad Baldwin</w:t>
            </w:r>
            <w:r>
              <w:rPr>
                <w:rFonts w:ascii="Times New Roman" w:cs="Times New Roman" w:eastAsia="Times New Roman" w:hAnsi="Times New Roman"/>
                <w:sz w:val="25"/>
                <w:szCs w:val="25"/>
                <w:color w:val="auto"/>
                <w:vertAlign w:val="superscript"/>
              </w:rPr>
              <w:t>(3)</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132,421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54,444</w:t>
            </w:r>
          </w:p>
        </w:tc>
        <w:tc>
          <w:tcPr>
            <w:tcW w:w="12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186,865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Larry Hendricks</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15,192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54,444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69,636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3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Scott Huntsman</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55,092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54,444</w:t>
            </w: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109,536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Narsi Narayanan</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79,166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80,123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3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Michael Braithwaite</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14,168</w:t>
            </w: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15,096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60" w:type="dxa"/>
            <w:vAlign w:val="bottom"/>
            <w:gridSpan w:val="4"/>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All directors and executive officers as a</w:t>
            </w:r>
          </w:p>
        </w:tc>
        <w:tc>
          <w:tcPr>
            <w:tcW w:w="15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350,969</w:t>
            </w:r>
          </w:p>
        </w:tc>
        <w:tc>
          <w:tcPr>
            <w:tcW w:w="1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666,942</w:t>
            </w:r>
          </w:p>
        </w:tc>
        <w:tc>
          <w:tcPr>
            <w:tcW w:w="12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1,017,911</w:t>
            </w:r>
          </w:p>
        </w:tc>
        <w:tc>
          <w:tcPr>
            <w:tcW w:w="1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1"/>
        </w:trPr>
        <w:tc>
          <w:tcPr>
            <w:tcW w:w="3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(6 persons)</w:t>
            </w: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164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4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5% Shareholders:</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4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color w:val="auto"/>
              </w:rPr>
              <w:t>Edward Dallin Bagley</w:t>
            </w:r>
            <w:r>
              <w:rPr>
                <w:rFonts w:ascii="Times New Roman" w:cs="Times New Roman" w:eastAsia="Times New Roman" w:hAnsi="Times New Roman"/>
                <w:sz w:val="25"/>
                <w:szCs w:val="25"/>
                <w:color w:val="auto"/>
                <w:vertAlign w:val="superscript"/>
              </w:rPr>
              <w:t>(4)</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2,760,133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3"/>
                <w:szCs w:val="23"/>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2,760,967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324"/>
        </w:trPr>
        <w:tc>
          <w:tcPr>
            <w:tcW w:w="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3,111,102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667,776</w:t>
            </w: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3,778,878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8890</wp:posOffset>
            </wp:positionV>
            <wp:extent cx="19208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875" cy="889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8890</wp:posOffset>
            </wp:positionV>
            <wp:extent cx="9950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6" w:lineRule="exact"/>
        <w:rPr>
          <w:sz w:val="20"/>
          <w:szCs w:val="20"/>
          <w:color w:val="auto"/>
        </w:rPr>
      </w:pPr>
    </w:p>
    <w:p>
      <w:pPr>
        <w:ind w:left="340" w:right="60" w:hanging="332"/>
        <w:spacing w:after="0" w:line="25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each person named in the table has sole voting and investment power, subject to the Utah Control Shares Acquisition Act, with respect to all common stock beneficially owned, subject to applicable community property law. Except as otherwise indicated, each person may be reached at our corporate offices c/o ClearOne, Inc., 5225 Wiley Post Way, Suite 500, Salt Lake City, Utah 84116.</w:t>
      </w:r>
    </w:p>
    <w:p>
      <w:pPr>
        <w:spacing w:after="0" w:line="1" w:lineRule="exact"/>
        <w:rPr>
          <w:rFonts w:ascii="Times New Roman" w:cs="Times New Roman" w:eastAsia="Times New Roman" w:hAnsi="Times New Roman"/>
          <w:sz w:val="18"/>
          <w:szCs w:val="18"/>
          <w:color w:val="auto"/>
        </w:rPr>
      </w:pPr>
    </w:p>
    <w:p>
      <w:pPr>
        <w:ind w:left="340" w:right="8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in Column (B) are calculated based on 9,111,790 shares of common stock outstanding on April 30, 2015. The numbers shown in Column (D) and percentages shown in Column (E) include the shares of common stock actually owned as of April 30, 2015 and the shares of common stock that the identified person or group had the right to acquire within 60 days of such date. In calculating the percentage of ownership, all shares of common stock that each identified person or group had the right to acquire within 60 days of April 30, 2015 upon the exercise of options shown in Column (C) are deemed to be outstanding for the purpose of computing the percentage of the shares of common stock owned by the persons or groups listed above.</w:t>
      </w:r>
    </w:p>
    <w:p>
      <w:pPr>
        <w:spacing w:after="0" w:line="2" w:lineRule="exact"/>
        <w:rPr>
          <w:rFonts w:ascii="Times New Roman" w:cs="Times New Roman" w:eastAsia="Times New Roman" w:hAnsi="Times New Roman"/>
          <w:sz w:val="18"/>
          <w:szCs w:val="18"/>
          <w:color w:val="auto"/>
        </w:rPr>
      </w:pPr>
    </w:p>
    <w:p>
      <w:pPr>
        <w:ind w:left="340" w:right="12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75,329 shares held in the Baldwin Family Trust; 45,500 owned jointly with his spouse; 11,592 shares owned directly, which are held in an IRA under the name of Mr. Baldwin.</w:t>
      </w:r>
    </w:p>
    <w:p>
      <w:pPr>
        <w:ind w:left="340" w:hanging="332"/>
        <w:spacing w:after="0" w:line="25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Mr. Edward D. Bagley include (i) 126,166 shares held by Edward D. Bagley’s spouse with respect to which he disclaims beneficial ownership but also has acknowledged he may be deemed the owner (ii) 800,0000 shares that are deemed to be owned by his spouse based on the fact she is a trustee of the trust in which such shares are held and (iii) 834 shares of common stock issuable upon exercise of stock options. Mr. Edward D. Bagley has sole voting and dispositive power over 2,760,133 shares (including the shares that may be acquired pursuant to the exercise of stock options) and shared voting and dispositive power over the 126,166 shares held by Mr. Edward D. Bagley’s spouse. This information is based upon Schedules 13D/A, as filed by Mr. Edward D. Bagley with the SEC on March 14, 2013 and November 15, 2013. E. Bryan Bagley, who resigned as Director effective November 6, 2012 is the son of Edward D. Bagley, and each of them has previously disclaimed beneficial ownership of common stock beneficially owned by the other. The amounts indicated for Mr. Edward D. Bagley do not include any shares held by E. Bryan Bagley. All shares indicated as beneficially owned by Edward D. Bagley are subject to application of the Utah Control Shares Acquisition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-2754630</wp:posOffset>
            </wp:positionV>
            <wp:extent cx="1920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875" cy="889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-2754630</wp:posOffset>
            </wp:positionV>
            <wp:extent cx="995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360"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Please refer to the section titled "Securities Authorized for Issuance under Equity Compensation Plans" contained in Item 5 in the Original Form 10-K for details regarding our compensation plans under which our equity securities are authorized for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recognize that transactions between us and any of our directors or executives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Indemnification of Officers and Directors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Please refer to the section titled “Former Officers Indemnification” under Note 8 - Commitments and Contingencies in our Notes to Consolidated Financial Statements included in Part IV of the Original 10-K for full details,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after considering all the relevant facts and circumstances, that Messrs. Baldwin, Hendricks, and Huntsman are independent directors, in accordance with the definition of “independence” under the listing standards of NASDAQ, because they have no relationship with us that would interfere with their exercise of independent judgment.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has an Audit and Compliance Committee, a Compensation Committee, and a Nominating Committee, each consisting entirely of independent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31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retained McGladrey LLP as our auditor and independent certified public accounting firm for the years ended December 31, 2014 and 2013. The following table presents aggregate fees billed by the principal accountants to our company: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60" w:type="dxa"/>
            <w:vAlign w:val="bottom"/>
            <w:tcBorders>
              <w:bottom w:val="single" w:sz="8" w:color="auto"/>
            </w:tcBorders>
          </w:tcPr>
          <w:p>
            <w:pPr>
              <w:spacing w:after="0"/>
              <w:rPr>
                <w:sz w:val="18"/>
                <w:szCs w:val="18"/>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70"/>
        </w:trPr>
        <w:tc>
          <w:tcPr>
            <w:tcW w:w="7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18"/>
                <w:szCs w:val="18"/>
                <w:color w:val="auto"/>
                <w:vertAlign w:val="superscript"/>
              </w:rPr>
              <w:t>1</w:t>
            </w:r>
          </w:p>
        </w:tc>
        <w:tc>
          <w:tcPr>
            <w:tcW w:w="126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433,900</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278,500</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Audit-related fees</w:t>
            </w:r>
          </w:p>
        </w:tc>
        <w:tc>
          <w:tcPr>
            <w:tcW w:w="12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18,000</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18"/>
                <w:szCs w:val="18"/>
                <w:color w:val="auto"/>
                <w:vertAlign w:val="superscript"/>
              </w:rPr>
              <w:t>2</w:t>
            </w:r>
          </w:p>
        </w:tc>
        <w:tc>
          <w:tcPr>
            <w:tcW w:w="1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133,900</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136,903</w:t>
            </w:r>
          </w:p>
        </w:tc>
      </w:tr>
      <w:tr>
        <w:trPr>
          <w:trHeight w:val="264"/>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18"/>
                <w:szCs w:val="18"/>
                <w:color w:val="auto"/>
                <w:vertAlign w:val="superscript"/>
              </w:rPr>
              <w:t>3</w:t>
            </w:r>
          </w:p>
        </w:tc>
        <w:tc>
          <w:tcPr>
            <w:tcW w:w="126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2"/>
                <w:szCs w:val="22"/>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7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585,800</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415,403</w:t>
            </w:r>
          </w:p>
        </w:tc>
      </w:tr>
      <w:tr>
        <w:trPr>
          <w:trHeight w:val="20"/>
        </w:trPr>
        <w:tc>
          <w:tcPr>
            <w:tcW w:w="7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billed for professional services rendered for the audit and review of our financial statements filed with the SEC on Forms 10-K and 10-Q.</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billed for tax filing, preparation, and tax advisory services.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billed for all other non-audit services, such as consulting on potential acquisitions or dispositions.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9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and other non-audit related services. Certain services are identified as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60" w:right="239" w:bottom="1440" w:gutter="0" w:footer="0" w:header="0"/>
        </w:sectPr>
      </w:pPr>
    </w:p>
    <w:bookmarkStart w:id="10" w:name="page11"/>
    <w:bookmarkEnd w:id="10"/>
    <w:p>
      <w:pPr>
        <w:spacing w:after="0" w:line="261" w:lineRule="auto"/>
        <w:rPr>
          <w:sz w:val="20"/>
          <w:szCs w:val="20"/>
          <w:color w:val="auto"/>
        </w:rPr>
      </w:pPr>
      <w:r>
        <w:rPr>
          <w:rFonts w:ascii="Times New Roman" w:cs="Times New Roman" w:eastAsia="Times New Roman" w:hAnsi="Times New Roman"/>
          <w:sz w:val="18"/>
          <w:szCs w:val="18"/>
          <w:color w:val="auto"/>
        </w:rPr>
        <w:t>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2014,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45" w:right="259" w:bottom="1440" w:gutter="0" w:footer="0" w:header="0"/>
        </w:sectPr>
      </w:pPr>
    </w:p>
    <w:bookmarkStart w:id="11" w:name="page12"/>
    <w:bookmarkEnd w:id="11"/>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260" w:hanging="252"/>
        <w:spacing w:after="0" w:line="282" w:lineRule="auto"/>
        <w:tabs>
          <w:tab w:leader="none" w:pos="1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Financial statements set forth under Part II, Item 8 of the Original 10-K are filed in a separate section of the Original 10-K. See "Index to Consolidated Financial Statements" on page F-1 of the Original 10-K.</w:t>
      </w:r>
    </w:p>
    <w:p>
      <w:pPr>
        <w:spacing w:after="0" w:line="269" w:lineRule="exact"/>
        <w:rPr>
          <w:rFonts w:ascii="Times New Roman" w:cs="Times New Roman" w:eastAsia="Times New Roman" w:hAnsi="Times New Roman"/>
          <w:sz w:val="18"/>
          <w:szCs w:val="18"/>
          <w:color w:val="auto"/>
        </w:rPr>
      </w:pPr>
    </w:p>
    <w:p>
      <w:pPr>
        <w:ind w:left="260" w:right="400" w:hanging="252"/>
        <w:spacing w:after="0" w:line="282" w:lineRule="auto"/>
        <w:tabs>
          <w:tab w:leader="none" w:pos="1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schedules are omitted since they either are not required, not applicable or the information is presented in the accompanying consolidated financial statements and notes thereto.</w:t>
      </w:r>
    </w:p>
    <w:p>
      <w:pPr>
        <w:spacing w:after="0" w:line="26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under the Index of exhibits in the next page are filed or incorporated by reference as part of this Form 10-K/A.</w:t>
      </w:r>
    </w:p>
    <w:p>
      <w:pPr>
        <w:spacing w:after="0" w:line="200" w:lineRule="exact"/>
        <w:rPr>
          <w:sz w:val="20"/>
          <w:szCs w:val="20"/>
          <w:color w:val="auto"/>
        </w:rPr>
      </w:pPr>
    </w:p>
    <w:p>
      <w:pPr>
        <w:spacing w:after="0" w:line="26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240" w:top="365" w:right="71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INDEX TO EXHIBITS</w:t>
      </w:r>
    </w:p>
    <w:p>
      <w:pPr>
        <w:spacing w:after="0" w:line="200" w:lineRule="exact"/>
        <w:rPr>
          <w:sz w:val="20"/>
          <w:szCs w:val="20"/>
          <w:color w:val="auto"/>
        </w:rPr>
      </w:pP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Incorporated</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gridSpan w:val="2"/>
            <w:vMerge w:val="continue"/>
          </w:tcPr>
          <w:p>
            <w:pPr>
              <w:spacing w:after="0"/>
              <w:rPr>
                <w:sz w:val="12"/>
                <w:szCs w:val="12"/>
                <w:color w:val="auto"/>
              </w:rPr>
            </w:pPr>
          </w:p>
        </w:tc>
        <w:tc>
          <w:tcPr>
            <w:tcW w:w="7000" w:type="dxa"/>
            <w:vAlign w:val="bottom"/>
            <w:vMerge w:val="restart"/>
          </w:tcPr>
          <w:p>
            <w:pPr>
              <w:ind w:left="29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vMerge w:val="restart"/>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Herein by</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07"/>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8"/>
                <w:szCs w:val="18"/>
                <w:color w:val="auto"/>
              </w:rPr>
            </w:pPr>
          </w:p>
        </w:tc>
        <w:tc>
          <w:tcPr>
            <w:tcW w:w="70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Agreement and Plan of Merger, dated as of November 3, 2009, by and among ClearOne Communications,</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11/09/09</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 Alta-Wasatch Acquisition Corporation, NetStreams, Inc., Austin Ventures VIII, L.P., and Kevin A.</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Reinis.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2"/>
                <w:szCs w:val="22"/>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Amended and Restated Articles of Incorporation of ClearOne, Inc.</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03/25/13</w:t>
            </w:r>
          </w:p>
        </w:tc>
        <w:tc>
          <w:tcPr>
            <w:tcW w:w="0" w:type="dxa"/>
            <w:vAlign w:val="bottom"/>
          </w:tcPr>
          <w:p>
            <w:pPr>
              <w:spacing w:after="0"/>
              <w:rPr>
                <w:sz w:val="1"/>
                <w:szCs w:val="1"/>
                <w:color w:val="auto"/>
              </w:rPr>
            </w:pPr>
          </w:p>
        </w:tc>
      </w:tr>
      <w:tr>
        <w:trPr>
          <w:trHeight w:val="27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3"/>
                <w:szCs w:val="23"/>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Bylaws</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03/31/11</w:t>
            </w:r>
          </w:p>
        </w:tc>
        <w:tc>
          <w:tcPr>
            <w:tcW w:w="0" w:type="dxa"/>
            <w:vAlign w:val="bottom"/>
          </w:tcPr>
          <w:p>
            <w:pPr>
              <w:spacing w:after="0"/>
              <w:rPr>
                <w:sz w:val="1"/>
                <w:szCs w:val="1"/>
                <w:color w:val="auto"/>
              </w:rPr>
            </w:pPr>
          </w:p>
        </w:tc>
      </w:tr>
      <w:tr>
        <w:trPr>
          <w:trHeight w:val="26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2"/>
                <w:szCs w:val="22"/>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Employment Separation Agreement between ClearOne Communications, Inc. and Frances Flood, dated</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08/18/05</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December 5, 2003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21"/>
                <w:szCs w:val="21"/>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Employment Termination Agreement between ClearOne Communications, Inc. and Susie Strohm, dated</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08/18/05</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December 5, 2003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22"/>
                <w:szCs w:val="22"/>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1997 Employee Stock Purchase Plan</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10/06/06</w:t>
            </w:r>
          </w:p>
        </w:tc>
        <w:tc>
          <w:tcPr>
            <w:tcW w:w="0" w:type="dxa"/>
            <w:vAlign w:val="bottom"/>
          </w:tcPr>
          <w:p>
            <w:pPr>
              <w:spacing w:after="0"/>
              <w:rPr>
                <w:sz w:val="1"/>
                <w:szCs w:val="1"/>
                <w:color w:val="auto"/>
              </w:rPr>
            </w:pPr>
          </w:p>
        </w:tc>
      </w:tr>
      <w:tr>
        <w:trPr>
          <w:trHeight w:val="27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3"/>
                <w:szCs w:val="23"/>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1998 Stock Option Plan</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10/06/06</w:t>
            </w:r>
          </w:p>
        </w:tc>
        <w:tc>
          <w:tcPr>
            <w:tcW w:w="0" w:type="dxa"/>
            <w:vAlign w:val="bottom"/>
          </w:tcPr>
          <w:p>
            <w:pPr>
              <w:spacing w:after="0"/>
              <w:rPr>
                <w:sz w:val="1"/>
                <w:szCs w:val="1"/>
                <w:color w:val="auto"/>
              </w:rPr>
            </w:pPr>
          </w:p>
        </w:tc>
      </w:tr>
      <w:tr>
        <w:trPr>
          <w:trHeight w:val="27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3"/>
                <w:szCs w:val="23"/>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2007 Equity Incentive Plan</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01/22/08</w:t>
            </w:r>
          </w:p>
        </w:tc>
        <w:tc>
          <w:tcPr>
            <w:tcW w:w="0" w:type="dxa"/>
            <w:vAlign w:val="bottom"/>
          </w:tcPr>
          <w:p>
            <w:pPr>
              <w:spacing w:after="0"/>
              <w:rPr>
                <w:sz w:val="1"/>
                <w:szCs w:val="1"/>
                <w:color w:val="auto"/>
              </w:rPr>
            </w:pPr>
          </w:p>
        </w:tc>
      </w:tr>
      <w:tr>
        <w:trPr>
          <w:trHeight w:val="26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22"/>
                <w:szCs w:val="22"/>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Office Lease between Edgewater Corporate Park, LLC and ClearOne Communications, Inc. dated June 5,</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09/14/06</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2006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21"/>
                <w:szCs w:val="21"/>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Stock Purchase Agreement Between ClearOne, Inc. and Doran M. Oster Dated March 4, 2014 for the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03/20/14</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Sabine Acquisition.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1"/>
                <w:szCs w:val="21"/>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Manufacturing Services Agreement between Flextronics Industrial, Ltd. and ClearOne Communications,</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10/13/09</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 dated November 3, 2008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22"/>
                <w:szCs w:val="22"/>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Framework Agreement between ClearOne, Inc. and Dialcom Networks S.L., dated December 20, 2013</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04/07/14</w:t>
            </w:r>
          </w:p>
        </w:tc>
        <w:tc>
          <w:tcPr>
            <w:tcW w:w="0" w:type="dxa"/>
            <w:vAlign w:val="bottom"/>
          </w:tcPr>
          <w:p>
            <w:pPr>
              <w:spacing w:after="0"/>
              <w:rPr>
                <w:sz w:val="1"/>
                <w:szCs w:val="1"/>
                <w:color w:val="auto"/>
              </w:rPr>
            </w:pPr>
          </w:p>
        </w:tc>
      </w:tr>
      <w:tr>
        <w:trPr>
          <w:trHeight w:val="26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120" w:type="dxa"/>
            <w:vAlign w:val="bottom"/>
          </w:tcPr>
          <w:p>
            <w:pPr>
              <w:spacing w:after="0"/>
              <w:rPr>
                <w:sz w:val="22"/>
                <w:szCs w:val="22"/>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Amendment to Framework Agreement between ClearOne, Inc. and Dialcom Networks S.L., dated March</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04/07/14</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31, 2014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tcPr>
          <w:p>
            <w:pPr>
              <w:spacing w:after="0"/>
              <w:rPr>
                <w:sz w:val="22"/>
                <w:szCs w:val="22"/>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Purchase Agreement between ClearOne, Inc. and Dialcom Networks S.L., dated March 31, 2014</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05/14/14</w:t>
            </w:r>
          </w:p>
        </w:tc>
        <w:tc>
          <w:tcPr>
            <w:tcW w:w="0" w:type="dxa"/>
            <w:vAlign w:val="bottom"/>
          </w:tcPr>
          <w:p>
            <w:pPr>
              <w:spacing w:after="0"/>
              <w:rPr>
                <w:sz w:val="1"/>
                <w:szCs w:val="1"/>
                <w:color w:val="auto"/>
              </w:rPr>
            </w:pPr>
          </w:p>
        </w:tc>
      </w:tr>
      <w:tr>
        <w:trPr>
          <w:trHeight w:val="27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23"/>
                <w:szCs w:val="23"/>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Code of Ethics, approved by the Board of Directors on August 23, 2006</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14.1</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09/14/06</w:t>
            </w:r>
          </w:p>
        </w:tc>
        <w:tc>
          <w:tcPr>
            <w:tcW w:w="0" w:type="dxa"/>
            <w:vAlign w:val="bottom"/>
          </w:tcPr>
          <w:p>
            <w:pPr>
              <w:spacing w:after="0"/>
              <w:rPr>
                <w:sz w:val="1"/>
                <w:szCs w:val="1"/>
                <w:color w:val="auto"/>
              </w:rPr>
            </w:pPr>
          </w:p>
        </w:tc>
      </w:tr>
      <w:tr>
        <w:trPr>
          <w:trHeight w:val="27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23"/>
                <w:szCs w:val="23"/>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Subsidiaries of the registrant</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21.1</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03/31/15</w:t>
            </w:r>
          </w:p>
        </w:tc>
        <w:tc>
          <w:tcPr>
            <w:tcW w:w="0" w:type="dxa"/>
            <w:vAlign w:val="bottom"/>
          </w:tcPr>
          <w:p>
            <w:pPr>
              <w:spacing w:after="0"/>
              <w:rPr>
                <w:sz w:val="1"/>
                <w:szCs w:val="1"/>
                <w:color w:val="auto"/>
              </w:rPr>
            </w:pPr>
          </w:p>
        </w:tc>
      </w:tr>
      <w:tr>
        <w:trPr>
          <w:trHeight w:val="27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3"/>
                <w:szCs w:val="23"/>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Consent of McGladrey LLP, Independent Registered Public Accounting Firm</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03/31/15</w:t>
            </w:r>
          </w:p>
        </w:tc>
        <w:tc>
          <w:tcPr>
            <w:tcW w:w="0" w:type="dxa"/>
            <w:vAlign w:val="bottom"/>
          </w:tcPr>
          <w:p>
            <w:pPr>
              <w:spacing w:after="0"/>
              <w:rPr>
                <w:sz w:val="1"/>
                <w:szCs w:val="1"/>
                <w:color w:val="auto"/>
              </w:rPr>
            </w:pPr>
          </w:p>
        </w:tc>
      </w:tr>
      <w:tr>
        <w:trPr>
          <w:trHeight w:val="27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23"/>
                <w:szCs w:val="23"/>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Section 302 Certification of Chief Executive Officer</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03/31/15</w:t>
            </w:r>
          </w:p>
        </w:tc>
        <w:tc>
          <w:tcPr>
            <w:tcW w:w="0" w:type="dxa"/>
            <w:vAlign w:val="bottom"/>
          </w:tcPr>
          <w:p>
            <w:pPr>
              <w:spacing w:after="0"/>
              <w:rPr>
                <w:sz w:val="1"/>
                <w:szCs w:val="1"/>
                <w:color w:val="auto"/>
              </w:rPr>
            </w:pPr>
          </w:p>
        </w:tc>
      </w:tr>
      <w:tr>
        <w:trPr>
          <w:trHeight w:val="27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3"/>
                <w:szCs w:val="23"/>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Section 302 Certification of Chief Financial Officer</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03/31/15</w:t>
            </w:r>
          </w:p>
        </w:tc>
        <w:tc>
          <w:tcPr>
            <w:tcW w:w="0" w:type="dxa"/>
            <w:vAlign w:val="bottom"/>
          </w:tcPr>
          <w:p>
            <w:pPr>
              <w:spacing w:after="0"/>
              <w:rPr>
                <w:sz w:val="1"/>
                <w:szCs w:val="1"/>
                <w:color w:val="auto"/>
              </w:rPr>
            </w:pPr>
          </w:p>
        </w:tc>
      </w:tr>
      <w:tr>
        <w:trPr>
          <w:trHeight w:val="27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31.3†</w:t>
            </w: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Section 302 Certification of Chief Executive Officer</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31.4†</w:t>
            </w: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Section 302 Certification of Chief Financial Officer</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3"/>
                <w:szCs w:val="23"/>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Section 906 Certification of Chief Executive Officer</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03/31/15</w:t>
            </w:r>
          </w:p>
        </w:tc>
        <w:tc>
          <w:tcPr>
            <w:tcW w:w="0" w:type="dxa"/>
            <w:vAlign w:val="bottom"/>
          </w:tcPr>
          <w:p>
            <w:pPr>
              <w:spacing w:after="0"/>
              <w:rPr>
                <w:sz w:val="1"/>
                <w:szCs w:val="1"/>
                <w:color w:val="auto"/>
              </w:rPr>
            </w:pPr>
          </w:p>
        </w:tc>
      </w:tr>
      <w:tr>
        <w:trPr>
          <w:trHeight w:val="27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23"/>
                <w:szCs w:val="23"/>
                <w:color w:val="auto"/>
              </w:rPr>
            </w:pP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Section 906 Certification of Chief Financial Officer</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32.2</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03/31/15</w:t>
            </w:r>
          </w:p>
        </w:tc>
        <w:tc>
          <w:tcPr>
            <w:tcW w:w="0" w:type="dxa"/>
            <w:vAlign w:val="bottom"/>
          </w:tcPr>
          <w:p>
            <w:pPr>
              <w:spacing w:after="0"/>
              <w:rPr>
                <w:sz w:val="1"/>
                <w:szCs w:val="1"/>
                <w:color w:val="auto"/>
              </w:rPr>
            </w:pPr>
          </w:p>
        </w:tc>
      </w:tr>
      <w:tr>
        <w:trPr>
          <w:trHeight w:val="27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XBRL Instance Document</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101.INS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03/31/15</w:t>
            </w:r>
          </w:p>
        </w:tc>
        <w:tc>
          <w:tcPr>
            <w:tcW w:w="0" w:type="dxa"/>
            <w:vAlign w:val="bottom"/>
          </w:tcPr>
          <w:p>
            <w:pPr>
              <w:spacing w:after="0"/>
              <w:rPr>
                <w:sz w:val="1"/>
                <w:szCs w:val="1"/>
                <w:color w:val="auto"/>
              </w:rPr>
            </w:pPr>
          </w:p>
        </w:tc>
      </w:tr>
      <w:tr>
        <w:trPr>
          <w:trHeight w:val="27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XBRL Taxonomy Extension Schema</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03/31/15</w:t>
            </w:r>
          </w:p>
        </w:tc>
        <w:tc>
          <w:tcPr>
            <w:tcW w:w="0" w:type="dxa"/>
            <w:vAlign w:val="bottom"/>
          </w:tcPr>
          <w:p>
            <w:pPr>
              <w:spacing w:after="0"/>
              <w:rPr>
                <w:sz w:val="1"/>
                <w:szCs w:val="1"/>
                <w:color w:val="auto"/>
              </w:rPr>
            </w:pPr>
          </w:p>
        </w:tc>
      </w:tr>
      <w:tr>
        <w:trPr>
          <w:trHeight w:val="27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03/31/15</w:t>
            </w:r>
          </w:p>
        </w:tc>
        <w:tc>
          <w:tcPr>
            <w:tcW w:w="0" w:type="dxa"/>
            <w:vAlign w:val="bottom"/>
          </w:tcPr>
          <w:p>
            <w:pPr>
              <w:spacing w:after="0"/>
              <w:rPr>
                <w:sz w:val="1"/>
                <w:szCs w:val="1"/>
                <w:color w:val="auto"/>
              </w:rPr>
            </w:pPr>
          </w:p>
        </w:tc>
      </w:tr>
      <w:tr>
        <w:trPr>
          <w:trHeight w:val="27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XBRL Taxonomy Extension Definitions Linkbase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101.DEF</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03/31/15</w:t>
            </w:r>
          </w:p>
        </w:tc>
        <w:tc>
          <w:tcPr>
            <w:tcW w:w="0" w:type="dxa"/>
            <w:vAlign w:val="bottom"/>
          </w:tcPr>
          <w:p>
            <w:pPr>
              <w:spacing w:after="0"/>
              <w:rPr>
                <w:sz w:val="1"/>
                <w:szCs w:val="1"/>
                <w:color w:val="auto"/>
              </w:rPr>
            </w:pPr>
          </w:p>
        </w:tc>
      </w:tr>
      <w:tr>
        <w:trPr>
          <w:trHeight w:val="27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XBRL Taxonomy Extension Label Linkbase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101.LAB</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03/31/15</w:t>
            </w:r>
          </w:p>
        </w:tc>
        <w:tc>
          <w:tcPr>
            <w:tcW w:w="0" w:type="dxa"/>
            <w:vAlign w:val="bottom"/>
          </w:tcPr>
          <w:p>
            <w:pPr>
              <w:spacing w:after="0"/>
              <w:rPr>
                <w:sz w:val="1"/>
                <w:szCs w:val="1"/>
                <w:color w:val="auto"/>
              </w:rPr>
            </w:pPr>
          </w:p>
        </w:tc>
      </w:tr>
      <w:tr>
        <w:trPr>
          <w:trHeight w:val="27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7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03/31/15</w:t>
            </w: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left="120" w:hanging="112"/>
        <w:spacing w:after="0"/>
        <w:tabs>
          <w:tab w:leader="none" w:pos="1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Constitutes a management contract or compensatory plan or arrangement.</w:t>
      </w:r>
    </w:p>
    <w:p>
      <w:pPr>
        <w:spacing w:after="0" w:line="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5"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Information furnished herewith shall not be deemed to be “filed” for the purposes of Section 18 of the 1934 Act</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60"/>
          </w:cols>
          <w:pgMar w:left="240" w:top="360" w:right="299" w:bottom="1440" w:gutter="0" w:footer="0" w:header="0"/>
        </w:sectPr>
      </w:pPr>
    </w:p>
    <w:bookmarkStart w:id="13" w:name="page14"/>
    <w:bookmarkEnd w:id="13"/>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662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Zeynep Hakimoglu</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April 30, 2015</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240" w:top="360" w:right="47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35560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Zeynep Hakimoglu</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p>
      <w:pPr>
        <w:spacing w:after="0" w:line="2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April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Brad R.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35560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Brad R. Baldwin</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Director</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April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Scott M. Huntsman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35560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Scott M. Huntsman</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Director</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April 30,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35560</wp:posOffset>
            </wp:positionV>
            <wp:extent cx="30441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Narsi Narayanan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of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Larry R. Hendricks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35560</wp:posOffset>
            </wp:positionV>
            <wp:extent cx="30441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Larry R. Hendricks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2015</w:t>
      </w:r>
    </w:p>
    <w:p>
      <w:pPr>
        <w:sectPr>
          <w:pgSz w:w="11900" w:h="16838" w:orient="portrait"/>
          <w:cols w:equalWidth="0" w:num="2">
            <w:col w:w="5800" w:space="720"/>
            <w:col w:w="4660"/>
          </w:cols>
          <w:pgMar w:left="240" w:top="360" w:right="479" w:bottom="1440" w:gutter="0" w:footer="0" w:header="0"/>
          <w:type w:val="continuous"/>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Zeynep Hakimoglu, certify that:</w:t>
      </w:r>
    </w:p>
    <w:p>
      <w:pPr>
        <w:spacing w:after="0" w:line="171"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and the annual report on Form 10-K originally filed on March 31, 2015 of ClearOne, Inc.;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480" w:right="460" w:hanging="472"/>
        <w:spacing w:after="0" w:line="266"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0"/>
        <w:spacing w:after="0"/>
        <w:tabs>
          <w:tab w:leader="none" w:pos="5520" w:val="left"/>
          <w:tab w:leader="none" w:pos="6160" w:val="left"/>
        </w:tabs>
        <w:rPr>
          <w:sz w:val="20"/>
          <w:szCs w:val="20"/>
          <w:color w:val="auto"/>
        </w:rPr>
      </w:pPr>
      <w:r>
        <w:rPr>
          <w:rFonts w:ascii="Times New Roman" w:cs="Times New Roman" w:eastAsia="Times New Roman" w:hAnsi="Times New Roman"/>
          <w:sz w:val="18"/>
          <w:szCs w:val="18"/>
          <w:color w:val="auto"/>
        </w:rPr>
        <w:t>April 30,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34290</wp:posOffset>
            </wp:positionV>
            <wp:extent cx="3087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Zeynep Hakimoglu</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Narsi Narayanan, certify that:</w:t>
      </w:r>
    </w:p>
    <w:p>
      <w:pPr>
        <w:spacing w:after="0" w:line="117"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and the annual report on Form 10-K originally filed on March 31, 2015 of ClearOne, Inc.;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480" w:right="460" w:hanging="472"/>
        <w:spacing w:after="0" w:line="266"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0"/>
        <w:spacing w:after="0"/>
        <w:tabs>
          <w:tab w:leader="none" w:pos="5520" w:val="left"/>
          <w:tab w:leader="none" w:pos="6160" w:val="left"/>
        </w:tabs>
        <w:rPr>
          <w:sz w:val="20"/>
          <w:szCs w:val="20"/>
          <w:color w:val="auto"/>
        </w:rPr>
      </w:pPr>
      <w:r>
        <w:rPr>
          <w:rFonts w:ascii="Times New Roman" w:cs="Times New Roman" w:eastAsia="Times New Roman" w:hAnsi="Times New Roman"/>
          <w:sz w:val="18"/>
          <w:szCs w:val="18"/>
          <w:color w:val="auto"/>
        </w:rPr>
        <w:t>April 30,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34290</wp:posOffset>
            </wp:positionV>
            <wp:extent cx="3087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Narsi Narayanan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 of Finance</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1."/>
      <w:numFmt w:val="upperLetter"/>
      <w:start w:val="1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Roman"/>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2019-12-29T18:40:23Z</dcterms:created>
  <dcterms:modified xsi:type="dcterms:W3CDTF">2019-12-29T18:40:23Z</dcterms:modified>
</cp:coreProperties>
</file>