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August 10, 2022 (August 9, 2022)</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u w:val="single" w:color="auto"/>
          <w:color w:val="auto"/>
        </w:rPr>
        <w:t>ClearOne,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180" w:type="dxa"/>
            <w:vAlign w:val="bottom"/>
            <w:tcBorders>
              <w:bottom w:val="single" w:sz="8" w:color="auto"/>
            </w:tcBorders>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001-33660</w:t>
            </w: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87-0398877</w:t>
            </w:r>
          </w:p>
        </w:tc>
      </w:tr>
      <w:tr>
        <w:trPr>
          <w:trHeight w:val="228"/>
        </w:trPr>
        <w:tc>
          <w:tcPr>
            <w:tcW w:w="518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24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6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14"/>
        </w:trPr>
        <w:tc>
          <w:tcPr>
            <w:tcW w:w="76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5225 Wiley Post Way, Suite 500, Salt Lake City, Utah</w:t>
            </w:r>
          </w:p>
        </w:tc>
        <w:tc>
          <w:tcPr>
            <w:tcW w:w="360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84116</w:t>
            </w:r>
          </w:p>
        </w:tc>
      </w:tr>
      <w:tr>
        <w:trPr>
          <w:trHeight w:val="228"/>
        </w:trPr>
        <w:tc>
          <w:tcPr>
            <w:tcW w:w="5180" w:type="dxa"/>
            <w:vAlign w:val="bottom"/>
            <w:tcBorders>
              <w:top w:val="single" w:sz="8" w:color="auto"/>
            </w:tcBorders>
          </w:tcPr>
          <w:p>
            <w:pPr>
              <w:jc w:val="center"/>
              <w:ind w:left="217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+1 (801) 975-7200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13e-4(c) under the Exchange Act (17 CFR 240.13e-4(c))</w:t>
      </w:r>
    </w:p>
    <w:p>
      <w:pPr>
        <w:spacing w:after="0" w:line="200" w:lineRule="exact"/>
        <w:rPr>
          <w:sz w:val="24"/>
          <w:szCs w:val="24"/>
          <w:color w:val="auto"/>
        </w:rPr>
      </w:pPr>
    </w:p>
    <w:p>
      <w:pPr>
        <w:spacing w:after="0" w:line="201" w:lineRule="exact"/>
        <w:rPr>
          <w:sz w:val="24"/>
          <w:szCs w:val="24"/>
          <w:color w:val="auto"/>
        </w:rPr>
      </w:pPr>
    </w:p>
    <w:p>
      <w:pPr>
        <w:ind w:right="52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9"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720" w:type="dxa"/>
            <w:vAlign w:val="bottom"/>
            <w:tcBorders>
              <w:bottom w:val="single" w:sz="8" w:color="auto"/>
            </w:tcBorders>
          </w:tcPr>
          <w:p>
            <w:pPr>
              <w:spacing w:after="0"/>
              <w:rPr>
                <w:sz w:val="21"/>
                <w:szCs w:val="21"/>
                <w:color w:val="auto"/>
              </w:rPr>
            </w:pPr>
          </w:p>
        </w:tc>
        <w:tc>
          <w:tcPr>
            <w:tcW w:w="20" w:type="dxa"/>
            <w:vAlign w:val="bottom"/>
            <w:vMerge w:val="restart"/>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tcPr>
          <w:p>
            <w:pPr>
              <w:spacing w:after="0"/>
              <w:rPr>
                <w:sz w:val="21"/>
                <w:szCs w:val="21"/>
                <w:color w:val="auto"/>
              </w:rPr>
            </w:pPr>
          </w:p>
        </w:tc>
        <w:tc>
          <w:tcPr>
            <w:tcW w:w="37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60" w:type="dxa"/>
            <w:vAlign w:val="bottom"/>
            <w:tcBorders>
              <w:right w:val="single" w:sz="8" w:color="auto"/>
            </w:tcBorders>
          </w:tcPr>
          <w:p>
            <w:pPr>
              <w:spacing w:after="0"/>
              <w:rPr>
                <w:sz w:val="19"/>
                <w:szCs w:val="19"/>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 w:type="dxa"/>
            <w:vAlign w:val="bottom"/>
            <w:vMerge w:val="continue"/>
          </w:tcPr>
          <w:p>
            <w:pPr>
              <w:spacing w:after="0"/>
              <w:rPr>
                <w:sz w:val="19"/>
                <w:szCs w:val="19"/>
                <w:color w:val="auto"/>
              </w:rPr>
            </w:pPr>
          </w:p>
        </w:tc>
        <w:tc>
          <w:tcPr>
            <w:tcW w:w="800" w:type="dxa"/>
            <w:vAlign w:val="bottom"/>
            <w:tcBorders>
              <w:left w:val="single" w:sz="8" w:color="auto"/>
            </w:tcBorders>
          </w:tcPr>
          <w:p>
            <w:pPr>
              <w:spacing w:after="0"/>
              <w:rPr>
                <w:sz w:val="19"/>
                <w:szCs w:val="19"/>
                <w:color w:val="auto"/>
              </w:rPr>
            </w:pPr>
          </w:p>
        </w:tc>
        <w:tc>
          <w:tcPr>
            <w:tcW w:w="2900" w:type="dxa"/>
            <w:vAlign w:val="bottom"/>
            <w:tcBorders>
              <w:right w:val="single" w:sz="8" w:color="auto"/>
            </w:tcBorders>
          </w:tcPr>
          <w:p>
            <w:pPr>
              <w:jc w:val="center"/>
              <w:ind w:right="73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c>
          <w:tcPr>
            <w:tcW w:w="0" w:type="dxa"/>
            <w:vAlign w:val="bottom"/>
          </w:tcPr>
          <w:p>
            <w:pPr>
              <w:spacing w:after="0"/>
              <w:rPr>
                <w:sz w:val="1"/>
                <w:szCs w:val="1"/>
                <w:color w:val="auto"/>
              </w:rPr>
            </w:pPr>
          </w:p>
        </w:tc>
      </w:tr>
      <w:tr>
        <w:trPr>
          <w:trHeight w:val="211"/>
        </w:trPr>
        <w:tc>
          <w:tcPr>
            <w:tcW w:w="60" w:type="dxa"/>
            <w:vAlign w:val="bottom"/>
            <w:tcBorders>
              <w:right w:val="single" w:sz="8" w:color="auto"/>
            </w:tcBorders>
          </w:tcPr>
          <w:p>
            <w:pPr>
              <w:spacing w:after="0"/>
              <w:rPr>
                <w:sz w:val="18"/>
                <w:szCs w:val="18"/>
                <w:color w:val="auto"/>
              </w:rPr>
            </w:pPr>
          </w:p>
        </w:tc>
        <w:tc>
          <w:tcPr>
            <w:tcW w:w="3740" w:type="dxa"/>
            <w:vAlign w:val="bottom"/>
            <w:gridSpan w:val="2"/>
          </w:tcPr>
          <w:p>
            <w:pPr>
              <w:spacing w:after="0"/>
              <w:rPr>
                <w:sz w:val="18"/>
                <w:szCs w:val="18"/>
                <w:color w:val="auto"/>
              </w:rPr>
            </w:pPr>
          </w:p>
        </w:tc>
        <w:tc>
          <w:tcPr>
            <w:tcW w:w="800" w:type="dxa"/>
            <w:vAlign w:val="bottom"/>
            <w:tcBorders>
              <w:left w:val="single" w:sz="8" w:color="auto"/>
            </w:tcBorders>
          </w:tcPr>
          <w:p>
            <w:pPr>
              <w:spacing w:after="0"/>
              <w:rPr>
                <w:sz w:val="18"/>
                <w:szCs w:val="18"/>
                <w:color w:val="auto"/>
              </w:rPr>
            </w:pPr>
          </w:p>
        </w:tc>
        <w:tc>
          <w:tcPr>
            <w:tcW w:w="290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60" w:type="dxa"/>
            <w:vAlign w:val="bottom"/>
          </w:tcPr>
          <w:p>
            <w:pPr>
              <w:spacing w:after="0"/>
              <w:rPr>
                <w:sz w:val="3"/>
                <w:szCs w:val="3"/>
                <w:color w:val="auto"/>
              </w:rPr>
            </w:pPr>
          </w:p>
        </w:tc>
        <w:tc>
          <w:tcPr>
            <w:tcW w:w="37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900" w:type="dxa"/>
            <w:vAlign w:val="bottom"/>
            <w:tcBorders>
              <w:bottom w:val="single" w:sz="8" w:color="auto"/>
            </w:tcBorders>
          </w:tcPr>
          <w:p>
            <w:pPr>
              <w:spacing w:after="0"/>
              <w:rPr>
                <w:sz w:val="3"/>
                <w:szCs w:val="3"/>
                <w:color w:val="auto"/>
              </w:rPr>
            </w:pPr>
          </w:p>
        </w:tc>
        <w:tc>
          <w:tcPr>
            <w:tcW w:w="3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60" w:type="dxa"/>
            <w:vAlign w:val="bottom"/>
            <w:tcBorders>
              <w:right w:val="single" w:sz="8" w:color="auto"/>
            </w:tcBorders>
          </w:tcPr>
          <w:p>
            <w:pPr>
              <w:spacing w:after="0"/>
              <w:rPr>
                <w:sz w:val="16"/>
                <w:szCs w:val="16"/>
                <w:color w:val="auto"/>
              </w:rPr>
            </w:pPr>
          </w:p>
        </w:tc>
        <w:tc>
          <w:tcPr>
            <w:tcW w:w="372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Common Stock, $0.001</w:t>
            </w:r>
          </w:p>
        </w:tc>
        <w:tc>
          <w:tcPr>
            <w:tcW w:w="20" w:type="dxa"/>
            <w:vAlign w:val="bottom"/>
          </w:tcPr>
          <w:p>
            <w:pPr>
              <w:spacing w:after="0"/>
              <w:rPr>
                <w:sz w:val="16"/>
                <w:szCs w:val="16"/>
                <w:color w:val="auto"/>
              </w:rPr>
            </w:pPr>
          </w:p>
        </w:tc>
        <w:tc>
          <w:tcPr>
            <w:tcW w:w="800" w:type="dxa"/>
            <w:vAlign w:val="bottom"/>
            <w:tcBorders>
              <w:left w:val="single" w:sz="8" w:color="auto"/>
              <w:bottom w:val="single" w:sz="8" w:color="auto"/>
            </w:tcBorders>
          </w:tcPr>
          <w:p>
            <w:pPr>
              <w:spacing w:after="0"/>
              <w:rPr>
                <w:sz w:val="16"/>
                <w:szCs w:val="16"/>
                <w:color w:val="auto"/>
              </w:rPr>
            </w:pPr>
          </w:p>
        </w:tc>
        <w:tc>
          <w:tcPr>
            <w:tcW w:w="2900" w:type="dxa"/>
            <w:vAlign w:val="bottom"/>
            <w:tcBorders>
              <w:bottom w:val="single" w:sz="8" w:color="auto"/>
              <w:right w:val="single" w:sz="8" w:color="auto"/>
            </w:tcBorders>
          </w:tcPr>
          <w:p>
            <w:pPr>
              <w:jc w:val="center"/>
              <w:ind w:right="730"/>
              <w:spacing w:after="0" w:line="189" w:lineRule="exact"/>
              <w:rPr>
                <w:sz w:val="20"/>
                <w:szCs w:val="20"/>
                <w:color w:val="auto"/>
              </w:rPr>
            </w:pPr>
            <w:r>
              <w:rPr>
                <w:rFonts w:ascii="Times New Roman" w:cs="Times New Roman" w:eastAsia="Times New Roman" w:hAnsi="Times New Roman"/>
                <w:sz w:val="18"/>
                <w:szCs w:val="18"/>
                <w:color w:val="auto"/>
                <w:w w:val="99"/>
              </w:rPr>
              <w:t>CLRO</w:t>
            </w:r>
          </w:p>
        </w:tc>
        <w:tc>
          <w:tcPr>
            <w:tcW w:w="3740" w:type="dxa"/>
            <w:vAlign w:val="bottom"/>
            <w:tcBorders>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The Nasdaq Capital Market</w:t>
            </w:r>
          </w:p>
        </w:tc>
        <w:tc>
          <w:tcPr>
            <w:tcW w:w="0" w:type="dxa"/>
            <w:vAlign w:val="bottom"/>
          </w:tcPr>
          <w:p>
            <w:pPr>
              <w:spacing w:after="0"/>
              <w:rPr>
                <w:sz w:val="1"/>
                <w:szCs w:val="1"/>
                <w:color w:val="auto"/>
              </w:rPr>
            </w:pPr>
          </w:p>
        </w:tc>
      </w:tr>
    </w:tbl>
    <w:p>
      <w:pPr>
        <w:spacing w:after="0" w:line="221" w:lineRule="exact"/>
        <w:rPr>
          <w:sz w:val="24"/>
          <w:szCs w:val="24"/>
          <w:color w:val="auto"/>
        </w:rPr>
      </w:pPr>
    </w:p>
    <w:p>
      <w:pPr>
        <w:ind w:right="520"/>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ind w:right="160"/>
        <w:spacing w:after="0" w:line="22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34925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August 9, 2022, ClearOne, Inc. (the “Company”) issued a press release announcing its financial results for the three and six months ended June 30, 2022. The full text of the press release is attached as Exhibit 99.1.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5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7"/>
          <w:szCs w:val="17"/>
          <w:u w:val="single" w:color="auto"/>
          <w:color w:val="0000EE"/>
        </w:rPr>
        <w:t>Press Release of ClearOne, Inc. dated August 9, 2022.</w:t>
      </w:r>
    </w:p>
    <w:p>
      <w:pPr>
        <w:spacing w:after="0" w:line="2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Exhibit 104.1</w:t>
      </w:r>
      <w:r>
        <w:rPr>
          <w:sz w:val="20"/>
          <w:szCs w:val="20"/>
          <w:color w:val="auto"/>
        </w:rPr>
        <w:tab/>
      </w:r>
      <w:r>
        <w:rPr>
          <w:rFonts w:ascii="Times New Roman" w:cs="Times New Roman" w:eastAsia="Times New Roman" w:hAnsi="Times New Roman"/>
          <w:sz w:val="17"/>
          <w:szCs w:val="17"/>
          <w:color w:val="auto"/>
        </w:rPr>
        <w:t>The cover page from this Current Report on Form 8-K, formatted in Inline XBRL.</w:t>
      </w:r>
    </w:p>
    <w:p>
      <w:pPr>
        <w:spacing w:after="0" w:line="22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information included in this Current Report on Form 8-K (including the exhibit hereto) is being furnished under Item 2.02, “Results of Operations and Financial Condition” and Item 9.01 “Financial Statements and Exhibits” of Form 8-K. As such, the information (including the exhibit) herein shall not be deemed to be “filed” for the purposes of Section 18 of the Securities Exchange Act of 1934, as amended (the “Exchange Act”), or otherwise subject to the liabilities of that Section, nor shall it be incorporated by reference into a filing under the Securities Act of 1933, as amended, or the Exchange Act, except as shall be expressly set forth by specific reference in such a filing. This Current Report (including the exhibit hereto) will not be deemed an admission as to the materiality of any information required to be disclosed solely to satisfy the requirements of Regulation FD.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349250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49" w:right="4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790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CLEARONE, INC.</w:t>
            </w:r>
          </w:p>
        </w:tc>
      </w:tr>
      <w:tr>
        <w:trPr>
          <w:trHeight w:val="459"/>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10, 2022</w:t>
            </w:r>
          </w:p>
        </w:tc>
        <w:tc>
          <w:tcPr>
            <w:tcW w:w="790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i w:val="1"/>
                <w:iCs w:val="1"/>
                <w:color w:val="auto"/>
              </w:rPr>
              <w:t>/s/ Narsi Narayanan</w:t>
            </w:r>
          </w:p>
        </w:tc>
      </w:tr>
      <w:tr>
        <w:trPr>
          <w:trHeight w:val="228"/>
        </w:trPr>
        <w:tc>
          <w:tcPr>
            <w:tcW w:w="33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5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Narsi Narayanan</w:t>
            </w:r>
          </w:p>
        </w:tc>
      </w:tr>
      <w:tr>
        <w:trPr>
          <w:trHeight w:val="441"/>
        </w:trPr>
        <w:tc>
          <w:tcPr>
            <w:tcW w:w="33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372"/>
        </w:trPr>
        <w:tc>
          <w:tcPr>
            <w:tcW w:w="33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ClearOne, Inc. Reports Second Quarter 2022 Financial Results</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Overall Q2 revenue declines 5% year-over-year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-78105</wp:posOffset>
            </wp:positionV>
            <wp:extent cx="5969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1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Core audio conferencing solutions post impressive revenue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-78105</wp:posOffset>
            </wp:positionV>
            <wp:extent cx="5969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Gross Margin increases marginally over Q1.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-78105</wp:posOffset>
            </wp:positionV>
            <wp:extent cx="5969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1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Non-GAAP Operating expenses decrease 14% year-over-year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-78105</wp:posOffset>
            </wp:positionV>
            <wp:extent cx="59690" cy="59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9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SALT LAKE CITY, UTAH – August 9, 2022 – ClearOne Inc. (NASDAQ: CLRO), a global provider of audio and visual communication solutions, reported financial results for the three and six months ended June 30, 2022.</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core audio conferencing products which include mixers and BMA Ceiling Tile-based solutions posted impressive year over year revenue growth in Q2. Our revenue performance was constrained due to our inability to fully meet the demands of our channel as we continue to fight the raw material shortages caused by the unprecedented global supply chain crisis that hasn't spared our industry," said Derek Graham, ClearOne's Interim CEO.</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fully prepared for the current challenges faced by ClearOne and will prioritize returning ClearOne back to profitability, energizing our employees to tap into their full potential, and re-establishing ClearOne as a premium brand in our industry and channels", Graham added.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Highlights</w:t>
      </w:r>
    </w:p>
    <w:p>
      <w:pPr>
        <w:spacing w:after="0" w:line="20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On May 25, 2022, ClearOne Board of Directors announced Derek Graham as the Interim CEO, replacing Zee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-80645</wp:posOffset>
            </wp:positionV>
            <wp:extent cx="5969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38" w:lineRule="exact"/>
        <w:rPr>
          <w:sz w:val="20"/>
          <w:szCs w:val="20"/>
          <w:color w:val="auto"/>
        </w:rPr>
      </w:pPr>
    </w:p>
    <w:p>
      <w:pPr>
        <w:jc w:val="both"/>
        <w:ind w:left="540"/>
        <w:spacing w:after="0" w:line="261" w:lineRule="auto"/>
        <w:rPr>
          <w:sz w:val="20"/>
          <w:szCs w:val="20"/>
          <w:color w:val="auto"/>
        </w:rPr>
      </w:pPr>
      <w:r>
        <w:rPr>
          <w:rFonts w:ascii="Times New Roman" w:cs="Times New Roman" w:eastAsia="Times New Roman" w:hAnsi="Times New Roman"/>
          <w:sz w:val="18"/>
          <w:szCs w:val="18"/>
          <w:color w:val="auto"/>
        </w:rPr>
        <w:t>On May 27, 2022, the U.S. District Court of the District of Delaware dismissed Shure’s tort claims with prejudice. Shure dropped these claims on the eve of the trial that happened in November 2021, in which ClearOne prevailed over Shure's infringement claims. ClearOne argued that the dismissal of Shure's tort claims should be with prejudice but Shure wanted the dismissal to be without prejudice – in other words, Shure wanted to preserve the ability to re-assert the claims later. The court ruled in ClearOne's favor. Our motion seeking fees is still pending with the 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-520700</wp:posOffset>
            </wp:positionV>
            <wp:extent cx="5969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Summary</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uses certain non-GAAP financial measures and reconciles those to GAAP measures in the attached tables.</w:t>
      </w:r>
    </w:p>
    <w:p>
      <w:pPr>
        <w:spacing w:after="0" w:line="198" w:lineRule="exact"/>
        <w:rPr>
          <w:sz w:val="20"/>
          <w:szCs w:val="20"/>
          <w:color w:val="auto"/>
        </w:rPr>
      </w:pPr>
    </w:p>
    <w:p>
      <w:pPr>
        <w:ind w:left="540" w:right="100"/>
        <w:spacing w:after="0" w:line="278" w:lineRule="auto"/>
        <w:rPr>
          <w:sz w:val="20"/>
          <w:szCs w:val="20"/>
          <w:color w:val="auto"/>
        </w:rPr>
      </w:pPr>
      <w:r>
        <w:rPr>
          <w:rFonts w:ascii="Times New Roman" w:cs="Times New Roman" w:eastAsia="Times New Roman" w:hAnsi="Times New Roman"/>
          <w:sz w:val="18"/>
          <w:szCs w:val="18"/>
          <w:color w:val="auto"/>
        </w:rPr>
        <w:t>Revenue in 2022-Q2 was $7.4 million, compared to $7.7 million in 2021-Q2 and $7.5 million in 2022-Q1. The decrease in year-over-year revenue was primarily due to a 31% decline in video products and a 3% decline in microphones, which were partially offset by a 6% increase in audio conferencing. The increase in revenue from core audio conferencing products continued to be driven by solutions incorporating our BMA-CT and BMA 360 beamforming microphone array ceiling tiles and professional audio mixers. Despite this year-over-year revenue growth in core audio conferencing products, revenue from our audio conferencing products and microphones remain far below levels achieved prior to infringement of our strategic patents.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-862330</wp:posOffset>
            </wp:positionV>
            <wp:extent cx="59690"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94" w:lineRule="exact"/>
        <w:rPr>
          <w:sz w:val="20"/>
          <w:szCs w:val="20"/>
          <w:color w:val="auto"/>
        </w:rPr>
      </w:pPr>
    </w:p>
    <w:p>
      <w:pPr>
        <w:ind w:left="540" w:right="120"/>
        <w:spacing w:after="0" w:line="281" w:lineRule="auto"/>
        <w:rPr>
          <w:sz w:val="20"/>
          <w:szCs w:val="20"/>
          <w:color w:val="auto"/>
        </w:rPr>
      </w:pPr>
      <w:r>
        <w:rPr>
          <w:rFonts w:ascii="Times New Roman" w:cs="Times New Roman" w:eastAsia="Times New Roman" w:hAnsi="Times New Roman"/>
          <w:sz w:val="18"/>
          <w:szCs w:val="18"/>
          <w:color w:val="auto"/>
        </w:rPr>
        <w:t>GAAP gross profit in 2022-Q2 was $2.8 million compared to $3.4 million in 2021-Q2 and $2.8 million in 2022-Q1. GAAP gross profit margin was 38.1% in 2022-Q2, compared to 44.3% in 2021-Q2 and 37.3% in 2022-Q1. The gross profit margin was negatively impacted due to increase in material costs due to continuing supply chain constraints, which were partially offset by reduced freight and tariff costs and a decrease in inventory obsolescence costs in 2022-Q2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-564515</wp:posOffset>
            </wp:positionV>
            <wp:extent cx="59690" cy="59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72" w:lineRule="exact"/>
        <w:rPr>
          <w:sz w:val="20"/>
          <w:szCs w:val="20"/>
          <w:color w:val="auto"/>
        </w:rPr>
      </w:pPr>
    </w:p>
    <w:p>
      <w:pPr>
        <w:ind w:left="540" w:right="200"/>
        <w:spacing w:after="0" w:line="313" w:lineRule="auto"/>
        <w:rPr>
          <w:sz w:val="20"/>
          <w:szCs w:val="20"/>
          <w:color w:val="auto"/>
        </w:rPr>
      </w:pPr>
      <w:r>
        <w:rPr>
          <w:rFonts w:ascii="Times New Roman" w:cs="Times New Roman" w:eastAsia="Times New Roman" w:hAnsi="Times New Roman"/>
          <w:sz w:val="17"/>
          <w:szCs w:val="17"/>
          <w:color w:val="auto"/>
        </w:rPr>
        <w:t>Operating expenses in 2022-Q2 were $4.5 million, compared to $4.9 million in 2021-Q2 and $4.7 million in 2022-Q1. Non-GAAP operating expenses in 2022-Q2 were $3.7 million, compared to $4.3 million in 2021-Q2 and $4.0 million in 2022-Q1. The year over year decrease in Non-GAAP operating expenses was mainly due to reduction in employee related expenses and consultant expenses caused by a decrease in headcount.</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ind w:left="540" w:right="20"/>
        <w:spacing w:after="0" w:line="289" w:lineRule="auto"/>
        <w:rPr>
          <w:sz w:val="20"/>
          <w:szCs w:val="20"/>
          <w:color w:val="auto"/>
        </w:rPr>
      </w:pPr>
      <w:r>
        <w:rPr>
          <w:rFonts w:ascii="Times New Roman" w:cs="Times New Roman" w:eastAsia="Times New Roman" w:hAnsi="Times New Roman"/>
          <w:sz w:val="18"/>
          <w:szCs w:val="18"/>
          <w:color w:val="auto"/>
        </w:rPr>
        <w:t>GAAP net loss in 2022-Q2 was $0.3 million, or $0.01 per share, compared to net loss of $1.6 million, or $0.08 per share, in 2021-Q2 and net loss of $2.0 million, or $0.08 per share, in 2022-Q1. The decrease in net loss was mainly due to the recognition of $1.5 million in gain from the forgiveness of CARES Act Paycheck Protection Program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-423545</wp:posOffset>
            </wp:positionV>
            <wp:extent cx="59690"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83" w:lineRule="exact"/>
        <w:rPr>
          <w:sz w:val="20"/>
          <w:szCs w:val="20"/>
          <w:color w:val="auto"/>
        </w:rPr>
      </w:pPr>
    </w:p>
    <w:p>
      <w:pPr>
        <w:ind w:left="540" w:right="160"/>
        <w:spacing w:after="0" w:line="297" w:lineRule="auto"/>
        <w:rPr>
          <w:sz w:val="20"/>
          <w:szCs w:val="20"/>
          <w:color w:val="auto"/>
        </w:rPr>
      </w:pPr>
      <w:r>
        <w:rPr>
          <w:rFonts w:ascii="Times New Roman" w:cs="Times New Roman" w:eastAsia="Times New Roman" w:hAnsi="Times New Roman"/>
          <w:sz w:val="18"/>
          <w:szCs w:val="18"/>
          <w:color w:val="auto"/>
        </w:rPr>
        <w:t>Non-GAAP net loss in 2022-Q2 was $1.1 million, or $0.04 per share, compared to net loss of $1.0 million, or $0.05 per share, in 2021-Q2 and net loss of $1.3 million, or $0.05 per share, in 2022-Q1.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-274320</wp:posOffset>
            </wp:positionV>
            <wp:extent cx="59690" cy="59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 in 000, except per share)</w:t>
            </w:r>
          </w:p>
        </w:tc>
        <w:tc>
          <w:tcPr>
            <w:tcW w:w="820" w:type="dxa"/>
            <w:vAlign w:val="bottom"/>
          </w:tcPr>
          <w:p>
            <w:pPr>
              <w:spacing w:after="0"/>
              <w:rPr>
                <w:sz w:val="18"/>
                <w:szCs w:val="18"/>
                <w:color w:val="auto"/>
              </w:rPr>
            </w:pPr>
          </w:p>
        </w:tc>
        <w:tc>
          <w:tcPr>
            <w:tcW w:w="3480" w:type="dxa"/>
            <w:vAlign w:val="bottom"/>
            <w:gridSpan w:val="5"/>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60" w:type="dxa"/>
            <w:vAlign w:val="bottom"/>
            <w:gridSpan w:val="6"/>
          </w:tcPr>
          <w:p>
            <w:pPr>
              <w:jc w:val="right"/>
              <w:ind w:right="96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186"/>
        </w:trPr>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Change in %</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Change in %</w:t>
            </w:r>
          </w:p>
        </w:tc>
        <w:tc>
          <w:tcPr>
            <w:tcW w:w="100" w:type="dxa"/>
            <w:vAlign w:val="bottom"/>
          </w:tcPr>
          <w:p>
            <w:pPr>
              <w:spacing w:after="0"/>
              <w:rPr>
                <w:sz w:val="16"/>
                <w:szCs w:val="16"/>
                <w:color w:val="auto"/>
              </w:rPr>
            </w:pPr>
          </w:p>
        </w:tc>
      </w:tr>
      <w:tr>
        <w:trPr>
          <w:trHeight w:val="215"/>
        </w:trPr>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Pr>
          <w:p>
            <w:pPr>
              <w:spacing w:after="0"/>
              <w:rPr>
                <w:sz w:val="18"/>
                <w:szCs w:val="18"/>
                <w:color w:val="auto"/>
              </w:rPr>
            </w:pPr>
          </w:p>
        </w:tc>
        <w:tc>
          <w:tcPr>
            <w:tcW w:w="78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Favorable/(Adverse)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80" w:type="dxa"/>
            <w:vAlign w:val="bottom"/>
          </w:tcPr>
          <w:p>
            <w:pPr>
              <w:spacing w:after="0"/>
              <w:rPr>
                <w:sz w:val="18"/>
                <w:szCs w:val="18"/>
                <w:color w:val="auto"/>
              </w:rPr>
            </w:pPr>
          </w:p>
        </w:tc>
        <w:tc>
          <w:tcPr>
            <w:tcW w:w="72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9"/>
              </w:rPr>
              <w:t>Favorable/(Adverse)</w:t>
            </w:r>
          </w:p>
        </w:tc>
      </w:tr>
      <w:tr>
        <w:trPr>
          <w:trHeight w:val="192"/>
        </w:trPr>
        <w:tc>
          <w:tcPr>
            <w:tcW w:w="3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GAAP</w:t>
            </w:r>
          </w:p>
        </w:tc>
        <w:tc>
          <w:tcPr>
            <w:tcW w:w="8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
        </w:trPr>
        <w:tc>
          <w:tcPr>
            <w:tcW w:w="46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3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Revenue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7,375</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7,735</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14,920</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3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2,807</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3,424</w:t>
            </w: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5,623</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6,427</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3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20" w:type="dxa"/>
            <w:vAlign w:val="bottom"/>
          </w:tcPr>
          <w:p>
            <w:pPr>
              <w:spacing w:after="0"/>
              <w:rPr>
                <w:sz w:val="19"/>
                <w:szCs w:val="19"/>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4,456</w:t>
            </w:r>
          </w:p>
        </w:tc>
        <w:tc>
          <w:tcPr>
            <w:tcW w:w="260" w:type="dxa"/>
            <w:vAlign w:val="bottom"/>
          </w:tcPr>
          <w:p>
            <w:pPr>
              <w:spacing w:after="0"/>
              <w:rPr>
                <w:sz w:val="19"/>
                <w:szCs w:val="19"/>
                <w:color w:val="auto"/>
              </w:rPr>
            </w:pPr>
          </w:p>
        </w:tc>
        <w:tc>
          <w:tcPr>
            <w:tcW w:w="7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4,910</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9,125</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9,437</w:t>
            </w:r>
          </w:p>
        </w:tc>
        <w:tc>
          <w:tcPr>
            <w:tcW w:w="14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3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8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3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w:t>
            </w:r>
          </w:p>
        </w:tc>
        <w:tc>
          <w:tcPr>
            <w:tcW w:w="8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(3,241)</w:t>
            </w:r>
          </w:p>
        </w:tc>
        <w:tc>
          <w:tcPr>
            <w:tcW w:w="14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r>
      <w:tr>
        <w:trPr>
          <w:trHeight w:val="432"/>
        </w:trPr>
        <w:tc>
          <w:tcPr>
            <w:tcW w:w="3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loss per share</w:t>
            </w:r>
          </w:p>
        </w:tc>
        <w:tc>
          <w:tcPr>
            <w:tcW w:w="8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4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r>
      <w:tr>
        <w:trPr>
          <w:trHeight w:val="189"/>
        </w:trPr>
        <w:tc>
          <w:tcPr>
            <w:tcW w:w="32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Non-GAAP</w:t>
            </w:r>
          </w:p>
        </w:tc>
        <w:tc>
          <w:tcPr>
            <w:tcW w:w="8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
        </w:trPr>
        <w:tc>
          <w:tcPr>
            <w:tcW w:w="46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3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gross profit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2,809</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3,426</w:t>
            </w: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5,627</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432"/>
        </w:trPr>
        <w:tc>
          <w:tcPr>
            <w:tcW w:w="3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Non-GAAP operating expenses</w:t>
            </w:r>
          </w:p>
        </w:tc>
        <w:tc>
          <w:tcPr>
            <w:tcW w:w="820" w:type="dxa"/>
            <w:vAlign w:val="bottom"/>
          </w:tcPr>
          <w:p>
            <w:pPr>
              <w:spacing w:after="0"/>
              <w:rPr>
                <w:sz w:val="24"/>
                <w:szCs w:val="24"/>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3,746</w:t>
            </w:r>
          </w:p>
        </w:tc>
        <w:tc>
          <w:tcPr>
            <w:tcW w:w="260" w:type="dxa"/>
            <w:vAlign w:val="bottom"/>
          </w:tcPr>
          <w:p>
            <w:pPr>
              <w:spacing w:after="0"/>
              <w:rPr>
                <w:sz w:val="24"/>
                <w:szCs w:val="24"/>
                <w:color w:val="auto"/>
              </w:rPr>
            </w:pPr>
          </w:p>
        </w:tc>
        <w:tc>
          <w:tcPr>
            <w:tcW w:w="7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4,336</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7,712</w:t>
            </w: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8,324</w:t>
            </w:r>
          </w:p>
        </w:tc>
        <w:tc>
          <w:tcPr>
            <w:tcW w:w="140" w:type="dxa"/>
            <w:vAlign w:val="bottom"/>
          </w:tcPr>
          <w:p>
            <w:pPr>
              <w:spacing w:after="0"/>
              <w:rPr>
                <w:sz w:val="24"/>
                <w:szCs w:val="24"/>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3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operating loss</w:t>
            </w:r>
          </w:p>
        </w:tc>
        <w:tc>
          <w:tcPr>
            <w:tcW w:w="8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3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Non-GAAP net loss</w:t>
            </w:r>
          </w:p>
        </w:tc>
        <w:tc>
          <w:tcPr>
            <w:tcW w:w="8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14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3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Adjusted EBITDA</w:t>
            </w:r>
          </w:p>
        </w:tc>
        <w:tc>
          <w:tcPr>
            <w:tcW w:w="8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r>
      <w:tr>
        <w:trPr>
          <w:trHeight w:val="432"/>
        </w:trPr>
        <w:tc>
          <w:tcPr>
            <w:tcW w:w="3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Non-GAAP loss per share (diluted)</w:t>
            </w:r>
          </w:p>
        </w:tc>
        <w:tc>
          <w:tcPr>
            <w:tcW w:w="8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40" w:type="dxa"/>
            <w:vAlign w:val="bottom"/>
          </w:tcPr>
          <w:p>
            <w:pPr>
              <w:spacing w:after="0"/>
              <w:rPr>
                <w:sz w:val="24"/>
                <w:szCs w:val="24"/>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Highlights</w:t>
      </w:r>
    </w:p>
    <w:p>
      <w:pPr>
        <w:spacing w:after="0" w:line="14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of June 30, 2022, cash, cash equivalents and investments were $1.2 million, compared to $4.1 million as of December 31, 2021. As of June 30, 2022, the Company carried $2.3 million in debt on account of senior convertible notes issued in December 2019.</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ClearOne</w:t>
      </w:r>
    </w:p>
    <w:p>
      <w:pPr>
        <w:spacing w:after="0" w:line="148"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 xml:space="preserve">ClearOne is a global company that designs, develops and sells conferencing, collaboration, and network streaming solutions for voice and visual communications. The performance and simplicity of its advanced comprehensive solutions offer unprecedented levels of functionality, reliability and scalability. Visit ClearOne at </w:t>
      </w:r>
      <w:r>
        <w:rPr>
          <w:rFonts w:ascii="Times New Roman" w:cs="Times New Roman" w:eastAsia="Times New Roman" w:hAnsi="Times New Roman"/>
          <w:sz w:val="18"/>
          <w:szCs w:val="18"/>
          <w:u w:val="single" w:color="auto"/>
          <w:color w:val="auto"/>
        </w:rPr>
        <w:t>www.clearone.com</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4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To supplement our consolidated financial statements presented on a GAAP basis, ClearOne uses non-GAAP measures of gross profit, operating income (loss), net income (loss), adjusted Earnings Before Interest, Taxes, Depreciation and Amortization (EBITDA) and net income (loss) per share, which are adjusted to exclude certain costs, expenses, gains and losses we believe appropriate to enhance an overall understanding of our past financial performance from period to period and also our prospects for the future. These adjustments to our current period GAAP results are made with the intent of providing both management and investors a more complete understanding of ClearOne’s underlying operational results and trends and our marketplace performance. The non-GAAP results are an indication of our baseline performance before certain gains, losses, or other charges that are considered by management to be outside of our core operating results. In addition, these adjusted non-GAAP results are among the primary indicators management uses as a basis for our planning and forecasting of future periods. The presentation of this additional non-GAAP financial information is not meant to be considered in isolation or as a substitute for gross profit, operating income (loss), net income (loss), income (loss) per share or other financial measures prepared in accordance with GAAP. There are limitations to the use of non-GAAP financial measures. Other companies, including companies in ClearOne’s industry, may calculate non-GAAP financial measures differently than ClearOne does, limiting the usefulness of those measures for comparative purposes. A detailed reconciliation of non-GAAP financial measures to the most directly comparable GAAP financial measures is included with this release below.</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4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and any statements of the plans and objectives of management for future operations and forecasts of future growth and value and the possible outcomes of litigation,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 The information in this press release should be read in conjunction with, and is modified in its entirety by, the Annual Report on Form 10-K (the “10-K”) filed by the Company for the same period with the Securities and Exchange Commission (the “SEC”) and all of the Company’s other public filings with the SEC (the “Public Filings”).</w:t>
      </w:r>
    </w:p>
    <w:p>
      <w:pPr>
        <w:spacing w:after="0" w:line="18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particular, the financial information contained herein is subject to and qualified by reference to the financial statements contained in the 10-Q, including the footnotes thereto, as well as the Company’s annual report on Form 10-K for the year ended December 31, 2021 (the “10-K”), the footnotes thereto and the limitations set forth therein. Investors may not rely on the press release without reference to the 10-Q, the 10-K and the Public Filings.</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6" w:name="page7"/>
    <w:bookmarkEnd w:id="6"/>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(Dollars in thousands, except par value)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5"/>
        </w:trPr>
        <w:tc>
          <w:tcPr>
            <w:tcW w:w="8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00" w:type="dxa"/>
            <w:vAlign w:val="bottom"/>
            <w:tcBorders>
              <w:top w:val="single" w:sz="8" w:color="CCEEFF"/>
            </w:tcBorders>
            <w:shd w:val="clear" w:color="auto" w:fill="CCEEFF"/>
          </w:tcPr>
          <w:p>
            <w:pPr>
              <w:ind w:left="37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1,203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1,071</w:t>
            </w:r>
          </w:p>
        </w:tc>
        <w:tc>
          <w:tcPr>
            <w:tcW w:w="0" w:type="dxa"/>
            <w:vAlign w:val="bottom"/>
          </w:tcPr>
          <w:p>
            <w:pPr>
              <w:spacing w:after="0"/>
              <w:rPr>
                <w:sz w:val="1"/>
                <w:szCs w:val="1"/>
                <w:color w:val="auto"/>
              </w:rPr>
            </w:pPr>
          </w:p>
        </w:tc>
      </w:tr>
      <w:tr>
        <w:trPr>
          <w:trHeight w:val="229"/>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1,790</w:t>
            </w: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Receivables, net of allowance for doubtful accounts of $326 and $326, respectively</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4,112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4,991</w:t>
            </w:r>
          </w:p>
        </w:tc>
        <w:tc>
          <w:tcPr>
            <w:tcW w:w="0" w:type="dxa"/>
            <w:vAlign w:val="bottom"/>
          </w:tcPr>
          <w:p>
            <w:pPr>
              <w:spacing w:after="0"/>
              <w:rPr>
                <w:sz w:val="1"/>
                <w:szCs w:val="1"/>
                <w:color w:val="auto"/>
              </w:rPr>
            </w:pPr>
          </w:p>
        </w:tc>
      </w:tr>
      <w:tr>
        <w:trPr>
          <w:trHeight w:val="230"/>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Inventories, net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9,858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10,033</w:t>
            </w: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receivable</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7,535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7,535</w:t>
            </w:r>
          </w:p>
        </w:tc>
        <w:tc>
          <w:tcPr>
            <w:tcW w:w="0" w:type="dxa"/>
            <w:vAlign w:val="bottom"/>
          </w:tcPr>
          <w:p>
            <w:pPr>
              <w:spacing w:after="0"/>
              <w:rPr>
                <w:sz w:val="1"/>
                <w:szCs w:val="1"/>
                <w:color w:val="auto"/>
              </w:rPr>
            </w:pPr>
          </w:p>
        </w:tc>
      </w:tr>
      <w:tr>
        <w:trPr>
          <w:trHeight w:val="230"/>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2,924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4,021</w:t>
            </w:r>
          </w:p>
        </w:tc>
        <w:tc>
          <w:tcPr>
            <w:tcW w:w="0" w:type="dxa"/>
            <w:vAlign w:val="bottom"/>
          </w:tcPr>
          <w:p>
            <w:pPr>
              <w:spacing w:after="0"/>
              <w:rPr>
                <w:sz w:val="1"/>
                <w:szCs w:val="1"/>
                <w:color w:val="auto"/>
              </w:rPr>
            </w:pPr>
          </w:p>
        </w:tc>
      </w:tr>
      <w:tr>
        <w:trPr>
          <w:trHeight w:val="209"/>
        </w:trPr>
        <w:tc>
          <w:tcPr>
            <w:tcW w:w="82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1,220</w:t>
            </w:r>
          </w:p>
        </w:tc>
        <w:tc>
          <w:tcPr>
            <w:tcW w:w="0" w:type="dxa"/>
            <w:vAlign w:val="bottom"/>
          </w:tcPr>
          <w:p>
            <w:pPr>
              <w:spacing w:after="0"/>
              <w:rPr>
                <w:sz w:val="1"/>
                <w:szCs w:val="1"/>
                <w:color w:val="auto"/>
              </w:rPr>
            </w:pPr>
          </w:p>
        </w:tc>
      </w:tr>
      <w:tr>
        <w:trPr>
          <w:trHeight w:val="230"/>
        </w:trPr>
        <w:tc>
          <w:tcPr>
            <w:tcW w:w="8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inventories, net</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2,985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3,567</w:t>
            </w:r>
          </w:p>
        </w:tc>
        <w:tc>
          <w:tcPr>
            <w:tcW w:w="0" w:type="dxa"/>
            <w:vAlign w:val="bottom"/>
          </w:tcPr>
          <w:p>
            <w:pPr>
              <w:spacing w:after="0"/>
              <w:rPr>
                <w:sz w:val="1"/>
                <w:szCs w:val="1"/>
                <w:color w:val="auto"/>
              </w:rPr>
            </w:pPr>
          </w:p>
        </w:tc>
      </w:tr>
      <w:tr>
        <w:trPr>
          <w:trHeight w:val="229"/>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744</w:t>
            </w: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 right of use assets, net</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1,237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1,537</w:t>
            </w:r>
          </w:p>
        </w:tc>
        <w:tc>
          <w:tcPr>
            <w:tcW w:w="0" w:type="dxa"/>
            <w:vAlign w:val="bottom"/>
          </w:tcPr>
          <w:p>
            <w:pPr>
              <w:spacing w:after="0"/>
              <w:rPr>
                <w:sz w:val="1"/>
                <w:szCs w:val="1"/>
                <w:color w:val="auto"/>
              </w:rPr>
            </w:pPr>
          </w:p>
        </w:tc>
      </w:tr>
      <w:tr>
        <w:trPr>
          <w:trHeight w:val="230"/>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Intangibles, net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24,289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25,086</w:t>
            </w: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4,592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4,597</w:t>
            </w:r>
          </w:p>
        </w:tc>
        <w:tc>
          <w:tcPr>
            <w:tcW w:w="0" w:type="dxa"/>
            <w:vAlign w:val="bottom"/>
          </w:tcPr>
          <w:p>
            <w:pPr>
              <w:spacing w:after="0"/>
              <w:rPr>
                <w:sz w:val="1"/>
                <w:szCs w:val="1"/>
                <w:color w:val="auto"/>
              </w:rPr>
            </w:pPr>
          </w:p>
        </w:tc>
      </w:tr>
      <w:tr>
        <w:trPr>
          <w:trHeight w:val="250"/>
        </w:trPr>
        <w:tc>
          <w:tcPr>
            <w:tcW w:w="8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59,349</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66,192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200" w:type="dxa"/>
            <w:vAlign w:val="bottom"/>
            <w:shd w:val="clear" w:color="auto" w:fill="CCEEFF"/>
          </w:tcPr>
          <w:p>
            <w:pPr>
              <w:ind w:left="216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2,047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5,388</w:t>
            </w:r>
          </w:p>
        </w:tc>
        <w:tc>
          <w:tcPr>
            <w:tcW w:w="0" w:type="dxa"/>
            <w:vAlign w:val="bottom"/>
          </w:tcPr>
          <w:p>
            <w:pPr>
              <w:spacing w:after="0"/>
              <w:rPr>
                <w:sz w:val="1"/>
                <w:szCs w:val="1"/>
                <w:color w:val="auto"/>
              </w:rPr>
            </w:pPr>
          </w:p>
        </w:tc>
      </w:tr>
      <w:tr>
        <w:trPr>
          <w:trHeight w:val="230"/>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2,570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2,549</w:t>
            </w: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product revenue</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0"/>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Short-term debt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810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3,481</w:t>
            </w:r>
          </w:p>
        </w:tc>
        <w:tc>
          <w:tcPr>
            <w:tcW w:w="0" w:type="dxa"/>
            <w:vAlign w:val="bottom"/>
          </w:tcPr>
          <w:p>
            <w:pPr>
              <w:spacing w:after="0"/>
              <w:rPr>
                <w:sz w:val="1"/>
                <w:szCs w:val="1"/>
                <w:color w:val="auto"/>
              </w:rPr>
            </w:pPr>
          </w:p>
        </w:tc>
      </w:tr>
      <w:tr>
        <w:trPr>
          <w:trHeight w:val="209"/>
        </w:trPr>
        <w:tc>
          <w:tcPr>
            <w:tcW w:w="82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 net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1,184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1,535</w:t>
            </w:r>
          </w:p>
        </w:tc>
        <w:tc>
          <w:tcPr>
            <w:tcW w:w="0" w:type="dxa"/>
            <w:vAlign w:val="bottom"/>
          </w:tcPr>
          <w:p>
            <w:pPr>
              <w:spacing w:after="0"/>
              <w:rPr>
                <w:sz w:val="1"/>
                <w:szCs w:val="1"/>
                <w:color w:val="auto"/>
              </w:rPr>
            </w:pPr>
          </w:p>
        </w:tc>
      </w:tr>
      <w:tr>
        <w:trPr>
          <w:trHeight w:val="230"/>
        </w:trPr>
        <w:tc>
          <w:tcPr>
            <w:tcW w:w="8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liability, net of current</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1,026</w:t>
            </w:r>
          </w:p>
        </w:tc>
        <w:tc>
          <w:tcPr>
            <w:tcW w:w="0" w:type="dxa"/>
            <w:vAlign w:val="bottom"/>
          </w:tcPr>
          <w:p>
            <w:pPr>
              <w:spacing w:after="0"/>
              <w:rPr>
                <w:sz w:val="1"/>
                <w:szCs w:val="1"/>
                <w:color w:val="auto"/>
              </w:rPr>
            </w:pPr>
          </w:p>
        </w:tc>
      </w:tr>
      <w:tr>
        <w:trPr>
          <w:trHeight w:val="230"/>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209"/>
        </w:trPr>
        <w:tc>
          <w:tcPr>
            <w:tcW w:w="82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Shareholders' equity:</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20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Common stock, par value $0.001, 50,000,000 shares authorized, 23,952,555 and 22,410,126 shares issued and</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4"/>
        </w:trPr>
        <w:tc>
          <w:tcPr>
            <w:tcW w:w="8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outstanding, respectively</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74,861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72,795</w:t>
            </w:r>
          </w:p>
        </w:tc>
        <w:tc>
          <w:tcPr>
            <w:tcW w:w="0" w:type="dxa"/>
            <w:vAlign w:val="bottom"/>
          </w:tcPr>
          <w:p>
            <w:pPr>
              <w:spacing w:after="0"/>
              <w:rPr>
                <w:sz w:val="1"/>
                <w:szCs w:val="1"/>
                <w:color w:val="auto"/>
              </w:rPr>
            </w:pPr>
          </w:p>
        </w:tc>
      </w:tr>
      <w:tr>
        <w:trPr>
          <w:trHeight w:val="230"/>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30"/>
        </w:trPr>
        <w:tc>
          <w:tcPr>
            <w:tcW w:w="8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(23,296)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(21,072)</w:t>
            </w:r>
          </w:p>
        </w:tc>
        <w:tc>
          <w:tcPr>
            <w:tcW w:w="0" w:type="dxa"/>
            <w:vAlign w:val="bottom"/>
          </w:tcPr>
          <w:p>
            <w:pPr>
              <w:spacing w:after="0"/>
              <w:rPr>
                <w:sz w:val="1"/>
                <w:szCs w:val="1"/>
                <w:color w:val="auto"/>
              </w:rPr>
            </w:pPr>
          </w:p>
        </w:tc>
      </w:tr>
      <w:tr>
        <w:trPr>
          <w:trHeight w:val="210"/>
        </w:trPr>
        <w:tc>
          <w:tcPr>
            <w:tcW w:w="8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51,323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51,504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59,349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66,192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2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82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 w:name="page8"/>
    <w:bookmarkEnd w:id="7"/>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AND COMPREHENSIVE LOSS</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(Dollars in thousands, except per share values)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gridSpan w:val="6"/>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80" w:type="dxa"/>
            <w:vAlign w:val="bottom"/>
          </w:tcPr>
          <w:p>
            <w:pPr>
              <w:spacing w:after="0"/>
              <w:rPr>
                <w:sz w:val="18"/>
                <w:szCs w:val="18"/>
                <w:color w:val="auto"/>
              </w:rPr>
            </w:pPr>
          </w:p>
        </w:tc>
        <w:tc>
          <w:tcPr>
            <w:tcW w:w="2580" w:type="dxa"/>
            <w:vAlign w:val="bottom"/>
            <w:gridSpan w:val="5"/>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54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r>
      <w:tr>
        <w:trPr>
          <w:trHeight w:val="211"/>
        </w:trPr>
        <w:tc>
          <w:tcPr>
            <w:tcW w:w="5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7,735</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14,773</w:t>
            </w:r>
          </w:p>
        </w:tc>
        <w:tc>
          <w:tcPr>
            <w:tcW w:w="100" w:type="dxa"/>
            <w:vAlign w:val="bottom"/>
            <w:shd w:val="clear" w:color="auto" w:fill="CCEEFF"/>
          </w:tcPr>
          <w:p>
            <w:pPr>
              <w:spacing w:after="0"/>
              <w:rPr>
                <w:sz w:val="18"/>
                <w:szCs w:val="18"/>
                <w:color w:val="auto"/>
              </w:rPr>
            </w:pPr>
          </w:p>
        </w:tc>
      </w:tr>
      <w:tr>
        <w:trPr>
          <w:trHeight w:val="229"/>
        </w:trPr>
        <w:tc>
          <w:tcPr>
            <w:tcW w:w="5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goods sold</w:t>
            </w:r>
          </w:p>
        </w:tc>
        <w:tc>
          <w:tcPr>
            <w:tcW w:w="1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4,568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4,311</w:t>
            </w:r>
          </w:p>
        </w:tc>
        <w:tc>
          <w:tcPr>
            <w:tcW w:w="2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9,297</w:t>
            </w:r>
          </w:p>
        </w:tc>
        <w:tc>
          <w:tcPr>
            <w:tcW w:w="3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8,346</w:t>
            </w:r>
          </w:p>
        </w:tc>
      </w:tr>
      <w:tr>
        <w:trPr>
          <w:trHeight w:val="209"/>
        </w:trPr>
        <w:tc>
          <w:tcPr>
            <w:tcW w:w="54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5,623</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5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1,562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1,755</w:t>
            </w:r>
          </w:p>
        </w:tc>
        <w:tc>
          <w:tcPr>
            <w:tcW w:w="2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3,122</w:t>
            </w:r>
          </w:p>
        </w:tc>
        <w:tc>
          <w:tcPr>
            <w:tcW w:w="3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3,328</w:t>
            </w:r>
          </w:p>
        </w:tc>
      </w:tr>
      <w:tr>
        <w:trPr>
          <w:trHeight w:val="230"/>
        </w:trPr>
        <w:tc>
          <w:tcPr>
            <w:tcW w:w="5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product development</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1,177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1,487</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2,530</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2,761</w:t>
            </w:r>
          </w:p>
        </w:tc>
      </w:tr>
      <w:tr>
        <w:trPr>
          <w:trHeight w:val="229"/>
        </w:trPr>
        <w:tc>
          <w:tcPr>
            <w:tcW w:w="5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1,717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1,668</w:t>
            </w:r>
          </w:p>
        </w:tc>
        <w:tc>
          <w:tcPr>
            <w:tcW w:w="2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3,473</w:t>
            </w:r>
          </w:p>
        </w:tc>
        <w:tc>
          <w:tcPr>
            <w:tcW w:w="3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3,348</w:t>
            </w:r>
          </w:p>
        </w:tc>
      </w:tr>
      <w:tr>
        <w:trPr>
          <w:trHeight w:val="210"/>
        </w:trPr>
        <w:tc>
          <w:tcPr>
            <w:tcW w:w="54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9,125</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9,437</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loss</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(1,649)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(1,486)</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(3,502)</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(3,010)</w:t>
            </w:r>
          </w:p>
        </w:tc>
      </w:tr>
      <w:tr>
        <w:trPr>
          <w:trHeight w:val="230"/>
        </w:trPr>
        <w:tc>
          <w:tcPr>
            <w:tcW w:w="5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(107)</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(195)</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(219)</w:t>
            </w:r>
          </w:p>
        </w:tc>
      </w:tr>
      <w:tr>
        <w:trPr>
          <w:trHeight w:val="229"/>
        </w:trPr>
        <w:tc>
          <w:tcPr>
            <w:tcW w:w="5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1,508</w:t>
            </w:r>
          </w:p>
        </w:tc>
        <w:tc>
          <w:tcPr>
            <w:tcW w:w="3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10"/>
        </w:trPr>
        <w:tc>
          <w:tcPr>
            <w:tcW w:w="5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5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(1,578)</w:t>
            </w:r>
          </w:p>
        </w:tc>
        <w:tc>
          <w:tcPr>
            <w:tcW w:w="2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(2,189)</w:t>
            </w:r>
          </w:p>
        </w:tc>
        <w:tc>
          <w:tcPr>
            <w:tcW w:w="3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(3,219)</w:t>
            </w:r>
          </w:p>
        </w:tc>
      </w:tr>
      <w:tr>
        <w:trPr>
          <w:trHeight w:val="230"/>
        </w:trPr>
        <w:tc>
          <w:tcPr>
            <w:tcW w:w="5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5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3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54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50"/>
        </w:trPr>
        <w:tc>
          <w:tcPr>
            <w:tcW w:w="5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2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2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(3,241)</w:t>
            </w:r>
          </w:p>
        </w:tc>
        <w:tc>
          <w:tcPr>
            <w:tcW w:w="100" w:type="dxa"/>
            <w:vAlign w:val="bottom"/>
            <w:tcBorders>
              <w:bottom w:val="single" w:sz="8" w:color="CCEEFF"/>
            </w:tcBorders>
          </w:tcPr>
          <w:p>
            <w:pPr>
              <w:spacing w:after="0"/>
              <w:rPr>
                <w:sz w:val="21"/>
                <w:szCs w:val="21"/>
                <w:color w:val="auto"/>
              </w:rPr>
            </w:pPr>
          </w:p>
        </w:tc>
      </w:tr>
      <w:tr>
        <w:trPr>
          <w:trHeight w:val="196"/>
        </w:trPr>
        <w:tc>
          <w:tcPr>
            <w:tcW w:w="5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3"/>
        </w:trPr>
        <w:tc>
          <w:tcPr>
            <w:tcW w:w="5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100" w:type="dxa"/>
            <w:vAlign w:val="bottom"/>
          </w:tcPr>
          <w:p>
            <w:pPr>
              <w:spacing w:after="0"/>
              <w:rPr>
                <w:sz w:val="21"/>
                <w:szCs w:val="21"/>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23,948,631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18,775,817</w:t>
            </w: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23,923,110</w:t>
            </w:r>
          </w:p>
        </w:tc>
        <w:tc>
          <w:tcPr>
            <w:tcW w:w="30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18,775,795</w:t>
            </w:r>
          </w:p>
        </w:tc>
      </w:tr>
      <w:tr>
        <w:trPr>
          <w:trHeight w:val="270"/>
        </w:trPr>
        <w:tc>
          <w:tcPr>
            <w:tcW w:w="5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1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23,948,631</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18,775,817</w:t>
            </w:r>
          </w:p>
        </w:tc>
        <w:tc>
          <w:tcPr>
            <w:tcW w:w="2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23,923,110</w:t>
            </w:r>
          </w:p>
        </w:tc>
        <w:tc>
          <w:tcPr>
            <w:tcW w:w="3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18,775,795</w:t>
            </w:r>
          </w:p>
        </w:tc>
      </w:tr>
      <w:tr>
        <w:trPr>
          <w:trHeight w:val="230"/>
        </w:trPr>
        <w:tc>
          <w:tcPr>
            <w:tcW w:w="5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loss per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(0.01)</w:t>
            </w:r>
          </w:p>
        </w:tc>
        <w:tc>
          <w:tcPr>
            <w:tcW w:w="32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(0.08)</w:t>
            </w:r>
          </w:p>
        </w:tc>
        <w:tc>
          <w:tcPr>
            <w:tcW w:w="2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(0.09)</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(0.17)</w:t>
            </w:r>
          </w:p>
        </w:tc>
      </w:tr>
      <w:tr>
        <w:trPr>
          <w:trHeight w:val="229"/>
        </w:trPr>
        <w:tc>
          <w:tcPr>
            <w:tcW w:w="5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loss per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(0.01)</w:t>
            </w:r>
          </w:p>
        </w:tc>
        <w:tc>
          <w:tcPr>
            <w:tcW w:w="3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(0.08)</w:t>
            </w:r>
          </w:p>
        </w:tc>
        <w:tc>
          <w:tcPr>
            <w:tcW w:w="2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(0.09)</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(0.17)</w:t>
            </w:r>
          </w:p>
        </w:tc>
      </w:tr>
      <w:tr>
        <w:trPr>
          <w:trHeight w:val="230"/>
        </w:trPr>
        <w:tc>
          <w:tcPr>
            <w:tcW w:w="5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5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loss:</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(1,586)</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(2,224)</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(3,241)</w:t>
            </w:r>
          </w:p>
        </w:tc>
      </w:tr>
      <w:tr>
        <w:trPr>
          <w:trHeight w:val="270"/>
        </w:trPr>
        <w:tc>
          <w:tcPr>
            <w:tcW w:w="5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Unrealized gain (loss) on available-for-sale securities, net of tax</w:t>
            </w:r>
          </w:p>
        </w:tc>
        <w:tc>
          <w:tcPr>
            <w:tcW w:w="100" w:type="dxa"/>
            <w:vAlign w:val="bottom"/>
          </w:tcPr>
          <w:p>
            <w:pPr>
              <w:spacing w:after="0"/>
              <w:rPr>
                <w:sz w:val="23"/>
                <w:szCs w:val="23"/>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23"/>
                <w:szCs w:val="23"/>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23"/>
                <w:szCs w:val="23"/>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5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Comprehensive loss</w:t>
            </w: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(3,268)</w:t>
            </w:r>
          </w:p>
        </w:tc>
        <w:tc>
          <w:tcPr>
            <w:tcW w:w="100" w:type="dxa"/>
            <w:vAlign w:val="bottom"/>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0"/>
        </w:trPr>
        <w:tc>
          <w:tcPr>
            <w:tcW w:w="5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ind w:right="971"/>
              <w:spacing w:after="0"/>
              <w:rPr>
                <w:sz w:val="20"/>
                <w:szCs w:val="20"/>
                <w:color w:val="auto"/>
              </w:rPr>
            </w:pPr>
            <w:r>
              <w:rPr>
                <w:rFonts w:ascii="Times New Roman" w:cs="Times New Roman" w:eastAsia="Times New Roman" w:hAnsi="Times New Roman"/>
                <w:sz w:val="17"/>
                <w:szCs w:val="17"/>
                <w:color w:val="auto"/>
                <w:w w:val="70"/>
              </w:rPr>
              <w:t>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28"/>
        </w:trPr>
        <w:tc>
          <w:tcPr>
            <w:tcW w:w="54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 w:name="page9"/>
    <w:bookmarkEnd w:id="8"/>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UNAUDITED RECONCILIATION OF GAAP MEASURES TO NON-GAAP MEASURES</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(Dollars in thousands, except per share values)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6"/>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40" w:type="dxa"/>
            <w:vAlign w:val="bottom"/>
          </w:tcPr>
          <w:p>
            <w:pPr>
              <w:spacing w:after="0"/>
              <w:rPr>
                <w:sz w:val="18"/>
                <w:szCs w:val="18"/>
                <w:color w:val="auto"/>
              </w:rPr>
            </w:pPr>
          </w:p>
        </w:tc>
        <w:tc>
          <w:tcPr>
            <w:tcW w:w="2540" w:type="dxa"/>
            <w:vAlign w:val="bottom"/>
            <w:gridSpan w:val="6"/>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199"/>
        </w:trPr>
        <w:tc>
          <w:tcPr>
            <w:tcW w:w="514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top w:val="single" w:sz="8" w:color="auto"/>
              <w:bottom w:val="single" w:sz="8" w:color="CCEEFF"/>
            </w:tcBorders>
          </w:tcPr>
          <w:p>
            <w:pPr>
              <w:spacing w:after="0"/>
              <w:rPr>
                <w:sz w:val="17"/>
                <w:szCs w:val="17"/>
                <w:color w:val="auto"/>
              </w:rPr>
            </w:pPr>
          </w:p>
        </w:tc>
        <w:tc>
          <w:tcPr>
            <w:tcW w:w="2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r>
      <w:tr>
        <w:trPr>
          <w:trHeight w:val="210"/>
        </w:trPr>
        <w:tc>
          <w:tcPr>
            <w:tcW w:w="5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GAAP gross profit</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6,427</w:t>
            </w:r>
          </w:p>
        </w:tc>
        <w:tc>
          <w:tcPr>
            <w:tcW w:w="100" w:type="dxa"/>
            <w:vAlign w:val="bottom"/>
            <w:shd w:val="clear" w:color="auto" w:fill="CCEEFF"/>
          </w:tcPr>
          <w:p>
            <w:pPr>
              <w:spacing w:after="0"/>
              <w:rPr>
                <w:sz w:val="18"/>
                <w:szCs w:val="18"/>
                <w:color w:val="auto"/>
              </w:rPr>
            </w:pPr>
          </w:p>
        </w:tc>
      </w:tr>
      <w:tr>
        <w:trPr>
          <w:trHeight w:val="223"/>
        </w:trPr>
        <w:tc>
          <w:tcPr>
            <w:tcW w:w="5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9"/>
                <w:szCs w:val="19"/>
                <w:color w:val="auto"/>
              </w:rPr>
            </w:pPr>
          </w:p>
        </w:tc>
      </w:tr>
      <w:tr>
        <w:trPr>
          <w:trHeight w:val="203"/>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Non-GAAP gross profit</w:t>
            </w:r>
          </w:p>
        </w:tc>
        <w:tc>
          <w:tcPr>
            <w:tcW w:w="3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3,426</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5,627</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5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GAAP operating loss</w:t>
            </w:r>
          </w:p>
        </w:tc>
        <w:tc>
          <w:tcPr>
            <w:tcW w:w="6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(1,649)</w:t>
            </w:r>
          </w:p>
        </w:tc>
        <w:tc>
          <w:tcPr>
            <w:tcW w:w="36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(1,486)</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(3,502)</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(3,010)</w:t>
            </w:r>
          </w:p>
        </w:tc>
      </w:tr>
      <w:tr>
        <w:trPr>
          <w:trHeight w:val="227"/>
        </w:trPr>
        <w:tc>
          <w:tcPr>
            <w:tcW w:w="5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33</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64</w:t>
            </w:r>
          </w:p>
        </w:tc>
      </w:tr>
      <w:tr>
        <w:trPr>
          <w:trHeight w:val="232"/>
        </w:trPr>
        <w:tc>
          <w:tcPr>
            <w:tcW w:w="5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543</w:t>
            </w: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1,352</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1,054</w:t>
            </w:r>
          </w:p>
        </w:tc>
      </w:tr>
      <w:tr>
        <w:trPr>
          <w:trHeight w:val="236"/>
        </w:trPr>
        <w:tc>
          <w:tcPr>
            <w:tcW w:w="5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Non-GAAP operating loss</w:t>
            </w:r>
          </w:p>
        </w:tc>
        <w:tc>
          <w:tcPr>
            <w:tcW w:w="38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(937</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220" w:type="dxa"/>
            <w:vAlign w:val="bottom"/>
            <w:tcBorders>
              <w:bottom w:val="single" w:sz="8" w:color="CCEEFF"/>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(2,085</w:t>
            </w:r>
          </w:p>
        </w:tc>
        <w:tc>
          <w:tcPr>
            <w:tcW w:w="220" w:type="dxa"/>
            <w:vAlign w:val="bottom"/>
            <w:tcBorders>
              <w:bottom w:val="single" w:sz="8" w:color="CCEEFF"/>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(1,892</w:t>
            </w:r>
          </w:p>
        </w:tc>
        <w:tc>
          <w:tcPr>
            <w:tcW w:w="100" w:type="dxa"/>
            <w:vAlign w:val="bottom"/>
            <w:tcBorders>
              <w:bottom w:val="single" w:sz="8" w:color="CCEEFF"/>
            </w:tcBorders>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r>
      <w:tr>
        <w:trPr>
          <w:trHeight w:val="197"/>
        </w:trPr>
        <w:tc>
          <w:tcPr>
            <w:tcW w:w="5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9"/>
        </w:trPr>
        <w:tc>
          <w:tcPr>
            <w:tcW w:w="51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GAAP net loss</w:t>
            </w:r>
          </w:p>
        </w:tc>
        <w:tc>
          <w:tcPr>
            <w:tcW w:w="6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3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(1,586)</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(2,224)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(3,241)</w:t>
            </w:r>
          </w:p>
        </w:tc>
      </w:tr>
      <w:tr>
        <w:trPr>
          <w:trHeight w:val="230"/>
        </w:trPr>
        <w:tc>
          <w:tcPr>
            <w:tcW w:w="5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33</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64</w:t>
            </w:r>
          </w:p>
        </w:tc>
      </w:tr>
      <w:tr>
        <w:trPr>
          <w:trHeight w:val="226"/>
        </w:trPr>
        <w:tc>
          <w:tcPr>
            <w:tcW w:w="5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543</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1,054</w:t>
            </w:r>
          </w:p>
        </w:tc>
      </w:tr>
      <w:tr>
        <w:trPr>
          <w:trHeight w:val="233"/>
        </w:trPr>
        <w:tc>
          <w:tcPr>
            <w:tcW w:w="5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CARES Act PPP loan forgiveness</w:t>
            </w:r>
          </w:p>
        </w:tc>
        <w:tc>
          <w:tcPr>
            <w:tcW w:w="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(1,528)</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51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Non-GAAP net loss</w:t>
            </w:r>
          </w:p>
        </w:tc>
        <w:tc>
          <w:tcPr>
            <w:tcW w:w="38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(1,073</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(1,010)</w:t>
            </w:r>
          </w:p>
        </w:tc>
        <w:tc>
          <w:tcPr>
            <w:tcW w:w="2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(2,335)</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(2,123)</w:t>
            </w:r>
          </w:p>
        </w:tc>
        <w:tc>
          <w:tcPr>
            <w:tcW w:w="100" w:type="dxa"/>
            <w:vAlign w:val="bottom"/>
            <w:tcBorders>
              <w:bottom w:val="single" w:sz="8" w:color="CCEEFF"/>
            </w:tcBorders>
          </w:tcPr>
          <w:p>
            <w:pPr>
              <w:spacing w:after="0"/>
              <w:rPr>
                <w:sz w:val="20"/>
                <w:szCs w:val="20"/>
                <w:color w:val="auto"/>
              </w:rPr>
            </w:pPr>
          </w:p>
        </w:tc>
      </w:tr>
      <w:tr>
        <w:trPr>
          <w:trHeight w:val="196"/>
        </w:trPr>
        <w:tc>
          <w:tcPr>
            <w:tcW w:w="5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1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GAAP net loss</w:t>
            </w:r>
          </w:p>
        </w:tc>
        <w:tc>
          <w:tcPr>
            <w:tcW w:w="6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3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(1,586)</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(2,224)</w:t>
            </w: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(3,241)</w:t>
            </w:r>
          </w:p>
        </w:tc>
      </w:tr>
      <w:tr>
        <w:trPr>
          <w:trHeight w:val="203"/>
        </w:trPr>
        <w:tc>
          <w:tcPr>
            <w:tcW w:w="5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Number of shares used in computing GAAP loss per share (diluted)</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23,948,631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18,775,817</w:t>
            </w:r>
          </w:p>
        </w:tc>
        <w:tc>
          <w:tcPr>
            <w:tcW w:w="2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23,923,110</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18,775,795</w:t>
            </w:r>
          </w:p>
        </w:tc>
      </w:tr>
      <w:tr>
        <w:trPr>
          <w:trHeight w:val="229"/>
        </w:trPr>
        <w:tc>
          <w:tcPr>
            <w:tcW w:w="51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GAAP loss per share (diluted)</w:t>
            </w:r>
          </w:p>
        </w:tc>
        <w:tc>
          <w:tcPr>
            <w:tcW w:w="6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3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(0.08)</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(0.09)</w:t>
            </w: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(0.17)</w:t>
            </w:r>
          </w:p>
        </w:tc>
      </w:tr>
      <w:tr>
        <w:trPr>
          <w:trHeight w:val="230"/>
        </w:trPr>
        <w:tc>
          <w:tcPr>
            <w:tcW w:w="5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Non-GAAP net loss</w:t>
            </w:r>
          </w:p>
        </w:tc>
        <w:tc>
          <w:tcPr>
            <w:tcW w:w="6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w:t>
            </w:r>
          </w:p>
        </w:tc>
        <w:tc>
          <w:tcPr>
            <w:tcW w:w="36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(1,010)</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(2,335)</w:t>
            </w:r>
          </w:p>
        </w:tc>
        <w:tc>
          <w:tcPr>
            <w:tcW w:w="28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(2,123)</w:t>
            </w:r>
          </w:p>
        </w:tc>
      </w:tr>
      <w:tr>
        <w:trPr>
          <w:trHeight w:val="226"/>
        </w:trPr>
        <w:tc>
          <w:tcPr>
            <w:tcW w:w="5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Number of shares used in computing Non-GAAP loss per share (diluted)</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23,948,631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18,775,817</w:t>
            </w:r>
          </w:p>
        </w:tc>
        <w:tc>
          <w:tcPr>
            <w:tcW w:w="240" w:type="dxa"/>
            <w:vAlign w:val="bottom"/>
          </w:tcPr>
          <w:p>
            <w:pPr>
              <w:spacing w:after="0"/>
              <w:rPr>
                <w:sz w:val="19"/>
                <w:szCs w:val="19"/>
                <w:color w:val="auto"/>
              </w:rPr>
            </w:pPr>
          </w:p>
        </w:tc>
        <w:tc>
          <w:tcPr>
            <w:tcW w:w="12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23,923,110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18,775,795</w:t>
            </w:r>
          </w:p>
        </w:tc>
      </w:tr>
      <w:tr>
        <w:trPr>
          <w:trHeight w:val="233"/>
        </w:trPr>
        <w:tc>
          <w:tcPr>
            <w:tcW w:w="5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Non-GAAP loss per share (diluted)</w:t>
            </w:r>
          </w:p>
        </w:tc>
        <w:tc>
          <w:tcPr>
            <w:tcW w:w="6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36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(0.05)</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(0.10)</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(0.11)</w:t>
            </w:r>
          </w:p>
        </w:tc>
      </w:tr>
      <w:tr>
        <w:trPr>
          <w:trHeight w:val="229"/>
        </w:trPr>
        <w:tc>
          <w:tcPr>
            <w:tcW w:w="5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GAAP net loss</w:t>
            </w:r>
          </w:p>
        </w:tc>
        <w:tc>
          <w:tcPr>
            <w:tcW w:w="6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36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(1,586)</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(2,224)</w:t>
            </w:r>
          </w:p>
        </w:tc>
        <w:tc>
          <w:tcPr>
            <w:tcW w:w="28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(3,241)</w:t>
            </w:r>
          </w:p>
        </w:tc>
      </w:tr>
      <w:tr>
        <w:trPr>
          <w:trHeight w:val="227"/>
        </w:trPr>
        <w:tc>
          <w:tcPr>
            <w:tcW w:w="5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33</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64</w:t>
            </w:r>
          </w:p>
        </w:tc>
      </w:tr>
      <w:tr>
        <w:trPr>
          <w:trHeight w:val="233"/>
        </w:trPr>
        <w:tc>
          <w:tcPr>
            <w:tcW w:w="5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Depreciation</w:t>
            </w:r>
          </w:p>
        </w:tc>
        <w:tc>
          <w:tcPr>
            <w:tcW w:w="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93</w:t>
            </w: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194</w:t>
            </w:r>
          </w:p>
        </w:tc>
      </w:tr>
      <w:tr>
        <w:trPr>
          <w:trHeight w:val="226"/>
        </w:trPr>
        <w:tc>
          <w:tcPr>
            <w:tcW w:w="5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543</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1,054</w:t>
            </w:r>
          </w:p>
        </w:tc>
      </w:tr>
      <w:tr>
        <w:trPr>
          <w:trHeight w:val="205"/>
        </w:trPr>
        <w:tc>
          <w:tcPr>
            <w:tcW w:w="5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expense</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107</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219</w:t>
            </w:r>
          </w:p>
        </w:tc>
      </w:tr>
      <w:tr>
        <w:trPr>
          <w:trHeight w:val="203"/>
        </w:trPr>
        <w:tc>
          <w:tcPr>
            <w:tcW w:w="5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CARES Act PPP loan forgiveness</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(1,528)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(1,528)</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5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22</w:t>
            </w:r>
          </w:p>
        </w:tc>
      </w:tr>
      <w:tr>
        <w:trPr>
          <w:trHeight w:val="196"/>
        </w:trPr>
        <w:tc>
          <w:tcPr>
            <w:tcW w:w="5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Non-GAAP Adjusted EBITDA</w:t>
            </w:r>
          </w:p>
        </w:tc>
        <w:tc>
          <w:tcPr>
            <w:tcW w:w="3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(802)</w:t>
            </w:r>
          </w:p>
        </w:tc>
        <w:tc>
          <w:tcPr>
            <w:tcW w:w="2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(1,961)</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(1,688)</w:t>
            </w:r>
          </w:p>
        </w:tc>
        <w:tc>
          <w:tcPr>
            <w:tcW w:w="100" w:type="dxa"/>
            <w:vAlign w:val="bottom"/>
          </w:tcPr>
          <w:p>
            <w:pPr>
              <w:spacing w:after="0"/>
              <w:rPr>
                <w:sz w:val="17"/>
                <w:szCs w:val="17"/>
                <w:color w:val="auto"/>
              </w:rPr>
            </w:pPr>
          </w:p>
        </w:tc>
      </w:tr>
      <w:tr>
        <w:trPr>
          <w:trHeight w:val="20"/>
        </w:trPr>
        <w:tc>
          <w:tcPr>
            <w:tcW w:w="5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Bob Griffin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801-975-7200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investor_relations@clearone.com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http://investors.clearone.com</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5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2022-08-10T17:10:42Z</dcterms:created>
  <dcterms:modified xsi:type="dcterms:W3CDTF">2022-08-10T17:10:42Z</dcterms:modified>
</cp:coreProperties>
</file>