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10, 2023 (May 8, 2023)</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right="640" w:firstLine="648"/>
        <w:spacing w:after="0" w:line="266" w:lineRule="auto"/>
        <w:rPr>
          <w:sz w:val="20"/>
          <w:szCs w:val="20"/>
          <w:color w:val="auto"/>
        </w:rPr>
      </w:pPr>
      <w:r>
        <w:rPr>
          <w:rFonts w:ascii="Times New Roman" w:cs="Times New Roman" w:eastAsia="Times New Roman" w:hAnsi="Times New Roman"/>
          <w:sz w:val="18"/>
          <w:szCs w:val="18"/>
          <w:color w:val="auto"/>
        </w:rPr>
        <w:t>On May 8, 2023, ClearOne, Inc. (the “Company”) announced that the Company’s Board of Directors had declared a special one-time cash dividend of $1.00 per share of the Company’s common stock, payable on May 31, 2023 to shareholders of record on May 22, 2023. A copy of the Company’s press release dated May 8, 2023 announcing the special one-time cash dividend is filed herewith as Exhibit 99.1.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70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of ClearOne, Inc. dated May 8, 2023.</w:t>
            </w:r>
          </w:p>
        </w:tc>
        <w:tc>
          <w:tcPr>
            <w:tcW w:w="5420" w:type="dxa"/>
            <w:vAlign w:val="bottom"/>
          </w:tcPr>
          <w:p>
            <w:pPr>
              <w:spacing w:after="0"/>
              <w:rPr>
                <w:sz w:val="14"/>
                <w:szCs w:val="14"/>
                <w:color w:val="auto"/>
              </w:rPr>
            </w:pP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44"/>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2023</w:t>
            </w: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225"/>
        </w:trPr>
        <w:tc>
          <w:tcPr>
            <w:tcW w:w="2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Narsi Narayanan</w:t>
            </w:r>
          </w:p>
        </w:tc>
      </w:tr>
    </w:tbl>
    <w:p>
      <w:pPr>
        <w:ind w:left="500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Announces a Special One-time Cash Dividend</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SALT LAKE CITY - (BUSINESS WIRE) - May 08, 2023 - ClearOne (NASDAQ: CLRO) today announced that its Board of Directors has declared a one-time special cash dividend of $1.00 per share of ClearOne common stock, payable on May 31, 2023 to shareholders of record on May 22,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recent successful legal settlements have generated surplus cash for the Company. We are pleased to share this surplus with our shareholders, who continue to support the Company’s strategy and vision for future growth,” said Eric L. Robinson, Chairman of the Board of Directors of ClearOne. “We believe the company is now solidly positioned to pursue its long-term plans and return to rapid revenue growth and profitability.”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though this dividend announcement is a special one-time event, the declaration of dividends in the future is subject to the discretion of the ClearOne Board of Directors, which will evaluate the possibility of future dividend distributions from time-to-time based on factors that the Board of Directors deem relevant. However, no additional dividends have been authorized nor are contemplated at this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the expected future payment of dividends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385-426-0565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investor_relations@clearone.com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6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60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ClearOne, Inc.</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2023-05-10T09:22:14Z</dcterms:created>
  <dcterms:modified xsi:type="dcterms:W3CDTF">2023-05-10T09:22:14Z</dcterms:modified>
</cp:coreProperties>
</file>