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25, 2025 (June 20,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7"/>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8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On June 20, 2025, ClearOne, Inc., a Delaware corporation (the “Company”), entered into a Note Purchase Agreement (the “Purchase Agreement”) with First Finance Ltd., a California corporation (the “Purchaser”), pursuant to which the Purchaser purchased $3,000,000 of convertible notes of the Company (the “Notes”) in a private placement transaction (the “Offering”). The Offering was exempt from registration under the Securities Act of 1933, as amended (the “Securities Act”) pursuant to the exemption provided in Section 4(a)(2) under the Securities Act, and Rule 506(b) promulgated thereunder.</w:t>
      </w:r>
    </w:p>
    <w:p>
      <w:pPr>
        <w:spacing w:after="0" w:line="13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Notes shall accrue interest at a rate of ten percent (10%) per annum. The Notes are convertible into a newly designated series of Class B Convertible Preferred Stock, $0.001 par value per share, of the Company which will be created pursuant to the Purchase Agreement (the "Class B Preferred Stock") at a conversion price of $1,000 per share of Class B Preferred Stock. Each share of Class B Preferred Stock is convertible into shares of the Company's common stock, $0.001 par value per share (the "Common Stock"), at the election of the holders of the Class B Preferred Stock at a conversion price of $6.008 per share of Common Stock (the "Class B Conversion Price"), which was the Nasdaq Minimum Price calculated in accordance with Section 5636(d) of the Nasdaq Stock Market Rules at the time the Company and the Purchaser entered into the Purchase Agreement. Under the terms of the Purchase Agreement, the Purchaser may, at its sole election, purchase up to an additional $2,000,000 of shares of Class B Preferred Stock at a purchase price of $1,000 per share (the "Purchase Option").</w:t>
      </w:r>
    </w:p>
    <w:p>
      <w:pPr>
        <w:spacing w:after="0" w:line="16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Purchase Agreement provides for the Company to seek a sale of all or substantially all of the Company's current assets and operations in one or more transactions (collectively, the "Asset Sale") and to distribute the net proceeds of the Asset Sale, if any, to the current holders of the Company's Common Stock on a pro rata basis. To facilitate the distribution of the proceeds of any Asset Sale to the holders of the Company's Common Stock, the Purchase Agreement further provides for the creation of a newly designated series of Class A Redeemable Preferred Stock, $0.001 par value per share, of the Company (the "Class A Preferred Stock"). If an Asset Sale is not completed within 180 days of the date of issuance of the Class A Preferred Stock, then the Company is required to exercise commercially reasonable efforts to cause the liquidation or sale of its current operating business and assets and redeem the Class A Preferred Stock with the net proceeds of such liquidation or sale. The Class A Preferred Stock will be issued as a dividend on the Common Stock on or before July 18, 2025, and each issued and outstanding share of Common Stock and each issued and outstanding Common Stock equivalents will receive one share of Class A Preferred Stock. The Class A Preferred Stock shall be redeemable for the net proceeds of the Asset Sale, if any. Immediately following the date that the Class A Preferred Stock is issued, the Notes and all accrued and unpaid interest thereon shall automatically convert to shares of Class B Preferred Stock on the following business day. Mr. Edward D. Bagley, who beneficially owns approximately 839,369 shares of Common Stock, or approximately 32.7% of the issued and outstanding shares of Common Stock on an as-converted basis, would remain the Company's largest stockholder.</w:t>
      </w:r>
    </w:p>
    <w:p>
      <w:pPr>
        <w:spacing w:after="0" w:line="14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Purchase Agreement by the parties, the Company's Board of Directors (the "Board") expanded the size of the Board from four to five members (with two current vacancies after such expansion) and appointed Eric Boehnke and Youngsun Park, a/k/a Sunny Park, to the Board as nominees of the Purchaser, each to serve as directors of the Company until the next annual meeting of stockholders and until their respective successors are elected and qualified or until their earlier death, resignation or removal. See Item 5.02 below for additional information about Messrs. Boehnke and Park.</w:t>
      </w:r>
    </w:p>
    <w:p>
      <w:pPr>
        <w:spacing w:after="0" w:line="1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also requires the Company to use its reasonable best efforts to repurchase outstanding warrants to purchase up to 334,816 shares of Common Stock that are held by certain institutional investors and current and former insiders of the Company that were issued in private placement transactions in December 2019, September 2020 and September 2021, as further described in the Purchase Agreement.</w:t>
      </w:r>
    </w:p>
    <w:p>
      <w:pPr>
        <w:spacing w:after="0" w:line="13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agreements of the Company and the Purchaser and customary indemnification rights and obligations of the parties.</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summaries of the Purchase Agreement and Notes do not purport to be complete and are subject to, and qualified in their entirety by, such documents attached as Exhibits 10.1 and 10.2 to this Current Report on Form 8-K, which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June 20, 2024, the Company received a letter from the Listing Qualifications Department (the "Staff") of the Nasdaq Stock Market ("Nasdaq") informing the Company that because the closing bid price for the Company's Common Stock listed on Nasdaq was below $1.00 for 30 consecutive trading days, the Company was not in compliance with the minimum bid price requirement for continued listing on the Nasdaq Capital Market, as set forth in Nasdaq Marketplace Rule 5550(a)(2) (the "Minimum Bid Price Requirement"). The Company was given a period of 180 calendar days from June 20, 2024, or until December 17, 2024, to regain compliance with the Minimum Bid Price Requirement.</w:t>
      </w:r>
    </w:p>
    <w:p>
      <w:pPr>
        <w:spacing w:after="0" w:line="14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December 18, 2024, the Company received a letter from Nasdaq advising that the Company has been granted a 180-day extension to June 16, 2025 to regain compliance with the Minimum Bid Price Requirement, in accordance with Nasdaq Listing Rule 5810(c)(3)(A).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the opening of trading on June 10, 2025, the Company effected a 1-for-15 reverse stock split of its Common Stock.</w:t>
      </w:r>
    </w:p>
    <w:p>
      <w:pPr>
        <w:spacing w:after="0" w:line="19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June 18, 2025, the Company received a letter from Nasdaq advising that the Company had not regained compliance with the Minimum Bid Price Requirement as of June 16, 2025 and that the trading in the Company's Common Stock on the Nasdaq Capital Market would be suspended as of the opening of trading on June 25, 2025 and the Company would be delisted from the Nasdaq Capital Market.</w:t>
      </w:r>
    </w:p>
    <w:p>
      <w:pPr>
        <w:spacing w:after="0" w:line="1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June 24, 2025, the Company received a letter from Nasdaq advising that the Company's Common Stock had traded above $1.00 per share for the ten consecutive trading days ending June 24, 2025 and had regained compliance with the Minimum Bid Price Requirement and the Company would not be delisted. As of June 24, 2025, the Company is in full compliance with all continued listing standards of the Nasdaq Capital Market.</w:t>
      </w:r>
    </w:p>
    <w:p>
      <w:pPr>
        <w:spacing w:after="0" w:line="1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of the Offering under Item 1.01 above is incorporate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3" w:name="page4"/>
    <w:bookmarkEnd w:id="3"/>
    <w:p>
      <w:pPr>
        <w:ind w:right="10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32" w:lineRule="exact"/>
        <w:rPr>
          <w:sz w:val="20"/>
          <w:szCs w:val="20"/>
          <w:color w:val="auto"/>
        </w:rPr>
      </w:pPr>
    </w:p>
    <w:p>
      <w:pPr>
        <w:ind w:right="220" w:firstLine="630"/>
        <w:spacing w:after="0" w:line="261" w:lineRule="auto"/>
        <w:rPr>
          <w:sz w:val="20"/>
          <w:szCs w:val="20"/>
          <w:color w:val="auto"/>
        </w:rPr>
      </w:pPr>
      <w:r>
        <w:rPr>
          <w:rFonts w:ascii="Times New Roman" w:cs="Times New Roman" w:eastAsia="Times New Roman" w:hAnsi="Times New Roman"/>
          <w:sz w:val="18"/>
          <w:szCs w:val="18"/>
          <w:color w:val="auto"/>
        </w:rPr>
        <w:t>In accordance with the Purchase Agreement described under Item 1.01 above, on June 20, 2025, the Board increased the size of the Board from four to five persons and appointed Eric Boehnke and Youngsun Park, a/k/a Sunny Park, to the Board as nominees of the Purchaser, each to serve as directors of the Company until the next annual meeting of stockholders and until their respective successors are elected and qualified or until their earlier death, resignation or removal.</w:t>
      </w:r>
    </w:p>
    <w:p>
      <w:pPr>
        <w:spacing w:after="0" w:line="139" w:lineRule="exact"/>
        <w:rPr>
          <w:sz w:val="20"/>
          <w:szCs w:val="20"/>
          <w:color w:val="auto"/>
        </w:rPr>
      </w:pPr>
    </w:p>
    <w:p>
      <w:pPr>
        <w:ind w:right="140" w:firstLine="630"/>
        <w:spacing w:after="0" w:line="266" w:lineRule="auto"/>
        <w:rPr>
          <w:sz w:val="20"/>
          <w:szCs w:val="20"/>
          <w:color w:val="auto"/>
        </w:rPr>
      </w:pPr>
      <w:r>
        <w:rPr>
          <w:rFonts w:ascii="Times New Roman" w:cs="Times New Roman" w:eastAsia="Times New Roman" w:hAnsi="Times New Roman"/>
          <w:sz w:val="18"/>
          <w:szCs w:val="18"/>
          <w:color w:val="auto"/>
        </w:rPr>
        <w:t>Under the Purchase Agreement, the Purchaser will have the right to designate two members for election to the Board for so long as any of the shares of Class B Preferred Stock remain outstanding and beneficially owned by the Purchaser, and the Company has agreed to continue to nominate such designees for election to the Board at any annual or special meetings of stockholders.</w:t>
      </w:r>
    </w:p>
    <w:p>
      <w:pPr>
        <w:spacing w:after="0" w:line="135" w:lineRule="exact"/>
        <w:rPr>
          <w:sz w:val="20"/>
          <w:szCs w:val="20"/>
          <w:color w:val="auto"/>
        </w:rPr>
      </w:pPr>
    </w:p>
    <w:p>
      <w:pPr>
        <w:ind w:right="100" w:firstLine="630"/>
        <w:spacing w:after="0" w:line="254" w:lineRule="auto"/>
        <w:rPr>
          <w:sz w:val="20"/>
          <w:szCs w:val="20"/>
          <w:color w:val="auto"/>
        </w:rPr>
      </w:pPr>
      <w:r>
        <w:rPr>
          <w:rFonts w:ascii="Times New Roman" w:cs="Times New Roman" w:eastAsia="Times New Roman" w:hAnsi="Times New Roman"/>
          <w:sz w:val="18"/>
          <w:szCs w:val="18"/>
          <w:color w:val="auto"/>
        </w:rPr>
        <w:t>Mr. Boehnke is the principal of Big Sky Management Ltd., a firm providing corporate finance advisory services to private and public companies since 1999. Over a 25-year career, Mr. Boehnke has been an officer and director of several public companies, assisting them in financing, mergers and acquisitions. Mr. Boehnke was a founder of Terrace Energy a company listed on the Toronto Stock Exchange and served as their CEO from June 2011 through October 2013. With Terrace, Mr. Boehnke was involved in raising more than $150 million of capital through both debt and equity financings and was instrumental in developing the Company’s portfolio of oil and gas assets and hiring of all the executive management. Holding various executive roles, Mr. Boehnke demonstrated team management skills while successfully advancing multiple projects at the same time. Mr. Boehnke has provided financial solutions for both small and large cap companies across all business sectors and across the entire capital structure, including financings (debt, equity, IPO) and mergers and acquisitions. Mr. Boehnke holds a BSc from the University of Toronto.</w:t>
      </w:r>
    </w:p>
    <w:p>
      <w:pPr>
        <w:spacing w:after="0" w:line="151"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18"/>
          <w:szCs w:val="18"/>
          <w:color w:val="auto"/>
        </w:rPr>
        <w:t>Ms. Park is a seasoned attorney and trusted advisor with over two decades of experience in estate planning, tax law, civil litigation, and legal strategy - enhanced by a strong background in public policy and governance. As the first Asian American Pacific Islander (AAPI) woman to serve as Mayor of Buena Park and as a City Council Member (2018 to 2022), she brings unique insight into how legal, business, and governmental systems intersect. Ms. Park currently serves as a housing attorney at Community Legal Aid SoCal, where she handles civil litigation matters, federal housing policy, and property-related disputes. Previously, she was Of Counsel at Asher Law Group in Century City, California, advising high-net-worth individuals and business owners on estate planning, succession strategies, and asset protection from 2007 to 2023. Her LL.M. in Taxation from NYU School of Law has provided her with the technical depth to support complex legal and financial matters throughout her career.</w:t>
      </w:r>
    </w:p>
    <w:p>
      <w:pPr>
        <w:spacing w:after="0" w:line="162"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addition to her legal background, Ms. Park has extensive experience working with regulatory processes, public-private partnerships, and government incentive programs. Her public service includes appointments to the California Board of Accountancy (2017–2018), the Orange County Fire Authority (2021–2022), and the Southern California Association of Governments (2021–2022), among others. Her work has contributed to infrastructure projects, economic development, renewable energy policies, and housing initiatives across Southern California. In recognition of her contributions to the community, she received the Presidential Gold Medal for Volunteerism in 2016. Ms. Park holds an LL.M. in Tax Law from New York University, a J.D. from Golden Gate University, and a B.A. from Yonsei University.</w:t>
      </w:r>
    </w:p>
    <w:p>
      <w:pPr>
        <w:spacing w:after="0" w:line="147" w:lineRule="exact"/>
        <w:rPr>
          <w:sz w:val="20"/>
          <w:szCs w:val="20"/>
          <w:color w:val="auto"/>
        </w:rPr>
      </w:pPr>
    </w:p>
    <w:p>
      <w:pPr>
        <w:ind w:firstLine="630"/>
        <w:spacing w:after="0" w:line="261" w:lineRule="auto"/>
        <w:rPr>
          <w:sz w:val="20"/>
          <w:szCs w:val="20"/>
          <w:color w:val="auto"/>
        </w:rPr>
      </w:pPr>
      <w:r>
        <w:rPr>
          <w:rFonts w:ascii="Times New Roman" w:cs="Times New Roman" w:eastAsia="Times New Roman" w:hAnsi="Times New Roman"/>
          <w:sz w:val="18"/>
          <w:szCs w:val="18"/>
          <w:color w:val="auto"/>
        </w:rPr>
        <w:t>Except as set forth herein above, there are no other arrangements or understandings between Mr. Boehnke, Ms. Park and any other person pursuant to which they were appointed as directors of the Company, and neither Mr. Boehnke or Ms. Park has any interests in any transactions since the beginning of the Company’s last fiscal year, or any currently proposed transaction, in which the Company is a participant that would require disclosure under Item 404(a) of Regulation S-K promulgated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of the Class A Preferred Stock and Class B Preferred Stock under Item 1.01 above is incorporate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 Preferred Stock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material terms of the Class A Preferred Stock:</w:t>
      </w:r>
    </w:p>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Amount. 2,069,065 shares of Class A Preferred Stock are authorized. The maximum number of shares of Class A Preferred Stock that will be issued will be equal to aggregate amount of (i) the issued and outstanding shares of Common Stock, and (ii) Common Stock equivalents, if any, entitled to dividends and distributions on the Common Stock, in each case as of a record date to be fixed by the Board that will be no later than July 11, 2025.</w:t>
      </w:r>
    </w:p>
    <w:p>
      <w:pPr>
        <w:spacing w:after="0" w:line="13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Redemption. The Class A Preferred Stock will be subject to automatic redemption on the date of an Asset Sale. The Redemption of Class A Preferred Stock shall occur no later than sixty (60) days following the closing of any Asset Sale, which shall not exceed one hundred eighty (180) days from the initial closing of any Asset Sale. "Net Proceeds" shall mean 100% of the gross proceeds of the Asset Sale (which may occur in one mor more transactions) less all transaction expenses, liabilities and obligations relating to the Asset Sale, including but not limited to payments, fees and/or severance packages to or related to bankers, consultants, advisors, employees, executives, leases and other property related obligations. Net Proceeds shall include a further deduction for any obligations, expenses, payables, accrued liabilities of any kind (contractual or otherwise) of the Company, or any of its subsidiaries, which remain as liabilities of the Company or any of its subsidiaries and that are not otherwise sold as part of the Asset Sale, other than payments or expenses required to be paid in conjunction with the reporting obligations and maintenance of the Company as a listed reporting issuer.</w:t>
      </w:r>
    </w:p>
    <w:p>
      <w:pPr>
        <w:spacing w:after="0" w:line="1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Dividends. Class A Preferred Stock is entitled to 100% of any dividends with respect to proceeds of the sale of any Asset Sale or sale of the equity securities or assets of ClearOne Holdings, LLC that are not in the form of the redemption of the Class A Preferred Stock. The Class A Preferred Stock shall rank pari passu with the Class B Preferred Stock and the Common Stock with respect to any other distributions that are not a liquidation event.</w:t>
      </w:r>
    </w:p>
    <w:p>
      <w:pPr>
        <w:spacing w:after="0" w:line="13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Liquidation. The Class A Preferred Stock ranks senior to the Common Stock and Class B Preferred Stock solely with respect to the net proceeds received by the Company from the liquidation or sale of the equity securities or assets of ClearOne Holdings, LLC. The Class A Preferred Stock will not participate in any other liquidation proceeds of the Company and shall rank junior to all indebtedness of the Company with respect to rights upon a liquidation, winding-up and dissolution of the Company.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Conversion. The Class A Preferred Stock is not convertible into Common Stock or any other securities of the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Voting. The Class A Preferred Stock has no voting rights.</w:t>
      </w:r>
    </w:p>
    <w:p>
      <w:pPr>
        <w:spacing w:after="0" w:line="18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description of the Class A Preferred Stock set forth above is not complete and is qualified in its entirety by reference to the full text of the Certificate of Designation for the Class A Preferred Stock, a copy of which is filed herewith as Exhibit 3.1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Class B Preferred Stock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material terms of the Class B Preferred Stock:</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 5,100 shares of Class B Preferred Stock are authorized.</w:t>
      </w:r>
    </w:p>
    <w:p>
      <w:pPr>
        <w:spacing w:after="0" w:line="18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Conversion. The Class B Preferred Stock is convertible into shares of Common Stock based on the stated value of $1,000 per share plus any accrued and unpaid dividends on the Class B Preferred Stock divided by the $6.008 Class B. Conversion Price, with the number of whole shares of Common Stock rounded down to the nearest whole share upon conversion and fractional shares paid in cash based on the fair market value of the Common Stock on the date of conversion. At issuance, each share of Class B Preferred Stock is convertible in 166.4447 shares of Common Stock. After the Class A Preferred Stock has been distributed to holders of a Common Stock as a dividend, the Class B Preferred Stock may be converted to Common Stock at any time at the election of the holder, and will be subject to automatic conversion to Common Stock upon the earlier to occur of (i) the closing of the Company's sale of its Common Stock in a firm commitment underwritten public offering pursuant to a registration statement on Form S-1 or Form S-3 under the Securities Act, the public offering price of which is not less than the Class B Conversion Price in the aggregate, or (ii) the date, or the occurrence of an event, specified by vote or written consent or agreement of the holders of a majority of the then-outstanding shares of Class B Preferred Stock.</w:t>
      </w:r>
    </w:p>
    <w:p>
      <w:pPr>
        <w:spacing w:after="0" w:line="14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Dividends. The Class B Preferred Stock is entitled to receive dividends when, as and if legally declared by the Board. If the Board declares a dividend on the Common Stock, it shall pay an equal dividend on the Class B Preferred Stock, on an as-if converted basis.</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Liquidation. The Class B Preferred Stock ranks senior to the Common Stock with respect to rights upon a liquidation, winding-up and dissolution of the Company.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Maturity and Redemption. The Class B Preferred Stock is perpetual and is not redeemable at the option of the holder or the Company at any time.</w:t>
      </w:r>
    </w:p>
    <w:p>
      <w:pPr>
        <w:spacing w:after="0" w:line="18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Voting. Each share of Class B Preferred Stock is entitled to vote with Common Stock on all matters submitted to a vote of the stockholders on an as converted basis, with the number of shares of Common Stock (after aggregating all shares into which shares of Class B Preferred Stock held by each holder could be converted) will be rounded to the nearest whole number (with one half being rounded downward).</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Board Designation Rights. For as long as the Class B Preferred Stock remains outstanding, the holders of a majority of the Class B Preferred Stock shall have the right to nominate two individuals to the Company's Board. If any nominee is not elected to the Board by the stockholders, the holders shall have the right to select a different nominee, and the Board is obligated to fill the vacancy with such nominee.</w:t>
      </w:r>
    </w:p>
    <w:p>
      <w:pPr>
        <w:spacing w:after="0" w:line="14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Protective Provisions. For as long as the Class B Preferred Stock remains outstanding, the consent of holders of seventy-five percent (75%) of the then issued and outstanding shares of Class B Preferred Stock shall be required for the Company to undertake certain actions relating to fundamental business changes, the payment of dividends, incurring indebtedness, the issuance of new classes of securities and other actions customarily subject to protective provisions in transactions of this nature that materially adversely affect the rights or privileges of the Class B Preferred Stock.</w:t>
      </w:r>
    </w:p>
    <w:p>
      <w:pPr>
        <w:spacing w:after="0" w:line="13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description of the Class B Preferred Stock set forth above is not complete and is qualified in its entirety by reference to the full text of the Certificate of Designation for the Class B Preferred Stock, a copy of which is filed herewith as Exhibit 3.2 and incorporated herein by reference.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filed the Preferred Stock Designations with the Secretary of State of the State of Delaware on June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June 20, 2025, the Company implemented a reduction in force ("RIF") affecting a significant portion of its workforce as part of a broader operational scaling initiative. This action was taken in connection with the Company's ongoing strategic process and in support of its previously disclosed plan to pursue one or more transactions, including the Asset Sale as contemplated by the Purchase Agreement described under Item 1.01 above.</w:t>
      </w:r>
    </w:p>
    <w:p>
      <w:pPr>
        <w:spacing w:after="0" w:line="14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While the Company is significantly limiting its business activities during this transitional period, it will continue to sell and ship existing inventory and maintain a reduced sales staff and warehouse support to facilitate these activities. The Company will also continue to provide product support and honor warranty obligations to existing customers.</w:t>
      </w:r>
    </w:p>
    <w:p>
      <w:pPr>
        <w:spacing w:after="0" w:line="13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is retaining accounting and information technology personnel necessary to ensure continued compliance with its public reporting obligations under the Securities Exchange Act of 1934, as amended, and to maintain its listing on the NASDAQ Capital Market.</w:t>
      </w:r>
    </w:p>
    <w:p>
      <w:pPr>
        <w:spacing w:after="0" w:line="12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these measured steps will enable it to preserve value, manage costs, and maintain continuity for its customers and stakeholders while it evaluates and pursues the Asset Sale and one or more strategic alternatives.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40" w:type="dxa"/>
            <w:vAlign w:val="bottom"/>
            <w:tcBorders>
              <w:bottom w:val="single" w:sz="8" w:color="auto"/>
            </w:tcBorders>
            <w:gridSpan w:val="5"/>
          </w:tcPr>
          <w:p>
            <w:pPr>
              <w:ind w:left="42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38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Designation of Class A Redeemable Preferred Stock.</w:t>
            </w:r>
          </w:p>
        </w:tc>
        <w:tc>
          <w:tcPr>
            <w:tcW w:w="4700" w:type="dxa"/>
            <w:vAlign w:val="bottom"/>
            <w:gridSpan w:val="3"/>
          </w:tcPr>
          <w:p>
            <w:pPr>
              <w:spacing w:after="0"/>
              <w:rPr>
                <w:sz w:val="24"/>
                <w:szCs w:val="24"/>
                <w:color w:val="auto"/>
              </w:rPr>
            </w:pPr>
          </w:p>
        </w:tc>
      </w:tr>
      <w:tr>
        <w:trPr>
          <w:trHeight w:val="22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Certificate of Designation of Class B Convertible Preferred Stock.</w:t>
            </w:r>
          </w:p>
        </w:tc>
      </w:tr>
      <w:tr>
        <w:trPr>
          <w:trHeight w:val="20"/>
        </w:trPr>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Note Purchase Agreement dated June 20, 2025 by and between ClearOne, Inc. and First Finance Ltd.</w:t>
            </w:r>
          </w:p>
        </w:tc>
      </w:tr>
      <w:tr>
        <w:trPr>
          <w:trHeight w:val="22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3,000,000 Principal Amount Convertible Note dated June 20, 2025.</w:t>
            </w:r>
          </w:p>
        </w:tc>
        <w:tc>
          <w:tcPr>
            <w:tcW w:w="226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3"/>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26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44"/>
        </w:trPr>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80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2025</w:t>
            </w:r>
          </w:p>
        </w:tc>
        <w:tc>
          <w:tcPr>
            <w:tcW w:w="80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Derek Graham</w:t>
            </w:r>
          </w:p>
        </w:tc>
      </w:tr>
      <w:tr>
        <w:trPr>
          <w:trHeight w:val="228"/>
        </w:trPr>
        <w:tc>
          <w:tcPr>
            <w:tcW w:w="3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441"/>
        </w:trPr>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REDEEMABLE PREFERRED STOCK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CLEARONE, INC., a corporation organized and existing under the General Corporation Law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certifies that the following resolution was adopted by the board of directors of the Corporation as required by Section 151 of the General Corporation Law of the State of Delaware (the “</w:t>
      </w:r>
      <w:r>
        <w:rPr>
          <w:rFonts w:ascii="Times New Roman" w:cs="Times New Roman" w:eastAsia="Times New Roman" w:hAnsi="Times New Roman"/>
          <w:sz w:val="18"/>
          <w:szCs w:val="18"/>
          <w:b w:val="1"/>
          <w:bCs w:val="1"/>
          <w:color w:val="auto"/>
        </w:rPr>
        <w:t>DCGL</w:t>
      </w:r>
      <w:r>
        <w:rPr>
          <w:rFonts w:ascii="Times New Roman" w:cs="Times New Roman" w:eastAsia="Times New Roman" w:hAnsi="Times New Roman"/>
          <w:sz w:val="18"/>
          <w:szCs w:val="18"/>
          <w:color w:val="auto"/>
        </w:rPr>
        <w:t>”) pursuant to a unanimous written consent of the board of directors.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RESOLVED, that, pursuant to the authority granted to and vested in the board of directors of the Corporation (the </w:t>
      </w: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b w:val="1"/>
          <w:bCs w:val="1"/>
          <w:color w:val="161616"/>
        </w:rPr>
        <w:t>Board</w:t>
      </w:r>
      <w:r>
        <w:rPr>
          <w:rFonts w:ascii="Times New Roman" w:cs="Times New Roman" w:eastAsia="Times New Roman" w:hAnsi="Times New Roman"/>
          <w:sz w:val="18"/>
          <w:szCs w:val="18"/>
          <w:color w:val="auto"/>
        </w:rPr>
        <w:t>”) in accordance with the provisions of the certificate of incorporation of the Corporation, as amended and currently in effect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the issuance of a class of Preferred Stock par value $0.001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which shall consist of up to 50,000,000 shares of Preferred Stock which the Corporation now has the authority to issue, be, and the same hereby is, authorized, and the Board states the designation and number of shares, and fixes the relative rights, preferences, and limitations (in addition to any set forth in the Certificate) thereof as follows: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Preferred Stock authorized by this resolution is the Class A Redeemable Preferred Stock (the “</w:t>
      </w:r>
      <w:r>
        <w:rPr>
          <w:rFonts w:ascii="Times New Roman" w:cs="Times New Roman" w:eastAsia="Times New Roman" w:hAnsi="Times New Roman"/>
          <w:sz w:val="18"/>
          <w:szCs w:val="18"/>
          <w:b w:val="1"/>
          <w:bCs w:val="1"/>
          <w:color w:val="auto"/>
        </w:rPr>
        <w:t>Class A Preferred</w:t>
      </w:r>
      <w:r>
        <w:rPr>
          <w:rFonts w:ascii="Times New Roman" w:cs="Times New Roman" w:eastAsia="Times New Roman" w:hAnsi="Times New Roman"/>
          <w:sz w:val="18"/>
          <w:szCs w:val="18"/>
          <w:color w:val="auto"/>
        </w:rPr>
        <w:t>”). The total number of shares of the Class A Preferred shall be 2,069,065.</w:t>
      </w:r>
    </w:p>
    <w:p>
      <w:pPr>
        <w:spacing w:after="0" w:line="16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1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Upon Asset Sale</w:t>
      </w:r>
      <w:r>
        <w:rPr>
          <w:rFonts w:ascii="Times New Roman" w:cs="Times New Roman" w:eastAsia="Times New Roman" w:hAnsi="Times New Roman"/>
          <w:sz w:val="18"/>
          <w:szCs w:val="18"/>
          <w:color w:val="auto"/>
        </w:rPr>
        <w:t>. Upon the consummation of an Asset Sale, 100% of the Net Proceeds shall be distributed solely to the holders of Class A Preferred, on a pro rata basis, as consideration for the redemption of the Class A Preferred (the “Redemption”). Such Redemption shall be automatic and mandatory upon the closing of an Asset Sale, subject only to the Board’s review and approval of the mechanics of the distribution of Net Proceeds. “Net Proceeds” shall mean 100% of the gross proceeds of the Asset Sales less all transaction expenses, liabilities and obligations relating to the Asset Sale, including but not limited to payments, fees and/or severance packages to or related to bankers, consultants, advisors, employees, executives, leases and other property related obligations. Net Proceeds shall include a further deduction for any obligations, expenses, payables, accrued liabilities of any kind (contractual or otherwise) of the Corporation, or any of its subsidiaries, which remain as liabilities of the Corporation or any of its subsidiaries and that are not otherwise sold as part of the Asset Sale, other than payments or expenses required to be paid in conjunction with the reporting obligations and maintenance of the Corporation as a listed reporting issuer.</w:t>
      </w:r>
    </w:p>
    <w:p>
      <w:pPr>
        <w:spacing w:after="0" w:line="186" w:lineRule="exact"/>
        <w:rPr>
          <w:rFonts w:ascii="Times New Roman" w:cs="Times New Roman" w:eastAsia="Times New Roman" w:hAnsi="Times New Roman"/>
          <w:sz w:val="18"/>
          <w:szCs w:val="18"/>
          <w:color w:val="auto"/>
        </w:rPr>
      </w:pPr>
    </w:p>
    <w:p>
      <w:pPr>
        <w:ind w:firstLine="1304"/>
        <w:spacing w:after="0" w:line="284" w:lineRule="auto"/>
        <w:tabs>
          <w:tab w:leader="none" w:pos="21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The redemption price for each share of Class A Preferred shall be equal to such share’s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one hundred percent (100%) of the Net Proceeds of the Asset Sale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An “Asset Sale” shall mean any sale of the Company’s existing operating business and/or a substantial portion of its assets, including through a sale of its Intellectual Property and/or Capital Stock of ClearOne Holding, LLC (“</w:t>
      </w:r>
      <w:r>
        <w:rPr>
          <w:rFonts w:ascii="Times New Roman" w:cs="Times New Roman" w:eastAsia="Times New Roman" w:hAnsi="Times New Roman"/>
          <w:sz w:val="18"/>
          <w:szCs w:val="18"/>
          <w:b w:val="1"/>
          <w:bCs w:val="1"/>
          <w:color w:val="auto"/>
        </w:rPr>
        <w:t>ClearOne Holding</w:t>
      </w:r>
      <w:r>
        <w:rPr>
          <w:rFonts w:ascii="Times New Roman" w:cs="Times New Roman" w:eastAsia="Times New Roman" w:hAnsi="Times New Roman"/>
          <w:sz w:val="18"/>
          <w:szCs w:val="18"/>
          <w:color w:val="auto"/>
        </w:rPr>
        <w:t>”) or other subsidiary of the Corporation formed to hold existing assets, provided, however, that the term “Asset Sale” shall not include transactions entered into in the ordinary course of business or for the purpose of changing the Corporation’s jurisdiction of incorporation or creating a holding company structure where equity holders maintain substantially similar ownership percentages. An Asset Sale shall also include any transaction or series of related transactions the primary purpose of which is the disposition of ClearOne Holding or other subsidiary of the Corporation or their assets as described above.</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w:t>
      </w:r>
      <w:r>
        <w:rPr>
          <w:rFonts w:ascii="Times New Roman" w:cs="Times New Roman" w:eastAsia="Times New Roman" w:hAnsi="Times New Roman"/>
          <w:sz w:val="18"/>
          <w:szCs w:val="18"/>
          <w:color w:val="auto"/>
        </w:rPr>
        <w:t xml:space="preserve">. The Redemption of Class A Preferred shall occur no later than sixty (60) days following the closing of any Asset Sale, which shall not exceed one hundred eighty (180) days from the initial closing of any Asset Sale. With respect to any Asset Sales, the Company may make multiple interim distributions to holders of Class A Preferred. All payments, whether interim or final, shall be made in cash to the holders of Class A Preferred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number of Class A Preferred shares held as of the date on which the Class A Preferred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ind w:firstLine="1304"/>
        <w:spacing w:after="0" w:line="266" w:lineRule="auto"/>
        <w:tabs>
          <w:tab w:leader="none" w:pos="21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Asset Sale Does Not Occur</w:t>
      </w:r>
      <w:r>
        <w:rPr>
          <w:rFonts w:ascii="Times New Roman" w:cs="Times New Roman" w:eastAsia="Times New Roman" w:hAnsi="Times New Roman"/>
          <w:sz w:val="18"/>
          <w:szCs w:val="18"/>
          <w:color w:val="auto"/>
        </w:rPr>
        <w:t xml:space="preserve">. If an Asset Sale does not occur within one hundred eighty (180) days following the issuance of the Class A Preferred, the Corporation shall proceed to liquidate ClearOne Holding, LLC and its other subsidiaries and distribute the proceeds to holders of Class A Preferred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Seniority</w:t>
      </w:r>
      <w:r>
        <w:rPr>
          <w:rFonts w:ascii="Times New Roman" w:cs="Times New Roman" w:eastAsia="Times New Roman" w:hAnsi="Times New Roman"/>
          <w:sz w:val="18"/>
          <w:szCs w:val="18"/>
          <w:color w:val="auto"/>
        </w:rPr>
        <w:t>. The Class A Preferred shall be senior to all existing and future classes of preferred stock and to all debt of the Corporation, except for the Class B Preferred Stock of the Corporation (the “</w:t>
      </w:r>
      <w:r>
        <w:rPr>
          <w:rFonts w:ascii="Times New Roman" w:cs="Times New Roman" w:eastAsia="Times New Roman" w:hAnsi="Times New Roman"/>
          <w:sz w:val="18"/>
          <w:szCs w:val="18"/>
          <w:b w:val="1"/>
          <w:bCs w:val="1"/>
          <w:color w:val="auto"/>
        </w:rPr>
        <w:t>Class B Preferred</w:t>
      </w:r>
      <w:r>
        <w:rPr>
          <w:rFonts w:ascii="Times New Roman" w:cs="Times New Roman" w:eastAsia="Times New Roman" w:hAnsi="Times New Roman"/>
          <w:sz w:val="18"/>
          <w:szCs w:val="18"/>
          <w:color w:val="auto"/>
        </w:rPr>
        <w:t>”), which shall be senior to Class A Preferred in all respects other than the Redemption of Class A Preferred pursuant to the Asset Sale. For the avoidance of doubt, 100% of the Net Proceeds of the Asset Sale shall be distributed solely to holders of Class A Preferred in connection with the Redemption.</w:t>
      </w:r>
    </w:p>
    <w:p>
      <w:pPr>
        <w:spacing w:after="0" w:line="18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LIQUIDATION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1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w:t>
      </w:r>
      <w:r>
        <w:rPr>
          <w:rFonts w:ascii="Times New Roman" w:cs="Times New Roman" w:eastAsia="Times New Roman" w:hAnsi="Times New Roman"/>
          <w:sz w:val="18"/>
          <w:szCs w:val="18"/>
          <w:color w:val="auto"/>
        </w:rPr>
        <w:t>. In the event of any liquidation, dissolution, or winding up of the Corporation (other than an Asset Sale), whether voluntary or involuntary, the holders of Class A Preferred shall be entitled to receive, prior and in preference to any distribution to the holders of any other class or series of capital stock of the Corporation (including Common Stock and other Preferred Stock), an amount equal to the proceeds received by the Corporation from the liquidation or sale of the equity securities or assets of ClearOne Holding, LLC.</w:t>
      </w:r>
    </w:p>
    <w:p>
      <w:pPr>
        <w:spacing w:after="0" w:line="186" w:lineRule="exact"/>
        <w:rPr>
          <w:rFonts w:ascii="Times New Roman" w:cs="Times New Roman" w:eastAsia="Times New Roman" w:hAnsi="Times New Roman"/>
          <w:sz w:val="18"/>
          <w:szCs w:val="18"/>
          <w:color w:val="auto"/>
        </w:rPr>
      </w:pPr>
    </w:p>
    <w:p>
      <w:pPr>
        <w:ind w:firstLine="2060"/>
        <w:spacing w:after="0" w:line="282" w:lineRule="auto"/>
        <w:tabs>
          <w:tab w:leader="none" w:pos="290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Class A Preferred shall not participate in any other liquidation proceeds of the Corporation and shall be junior to all indebtedness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Class B Preferred Stock and the Common Stock for any other distributions.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Forced Liquidation</w:t>
      </w:r>
      <w:r>
        <w:rPr>
          <w:rFonts w:ascii="Times New Roman" w:cs="Times New Roman" w:eastAsia="Times New Roman" w:hAnsi="Times New Roman"/>
          <w:sz w:val="18"/>
          <w:szCs w:val="18"/>
          <w:color w:val="auto"/>
        </w:rPr>
        <w:t xml:space="preserve">. If an Asset Sale has not been consummated within one hundred eighty (180) days of the issuance of the Class A Preferred, the Corporation shall take all commercially reasonable efforts to cause the liquidation or sale of ClearOne Holding, LLC and distribute the proceeds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1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Voting</w:t>
      </w:r>
      <w:r>
        <w:rPr>
          <w:rFonts w:ascii="Times New Roman" w:cs="Times New Roman" w:eastAsia="Times New Roman" w:hAnsi="Times New Roman"/>
          <w:sz w:val="18"/>
          <w:szCs w:val="18"/>
          <w:color w:val="auto"/>
        </w:rPr>
        <w:t>. Except as otherwise provided by applicable law or expressly set forth herein, holders of Class A Preferred shall not be entitled to vote on any matter submitted to a vote of the stockholders of the Corporation. Notwithstanding the foregoing, the Corporation shall not, without the prior affirmative vote or written consent of the holders of a majority of the then-outstanding shares of Class A Preferred, voting as a separate class:</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79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or Bylaws of the Corporation in a manner that materially and adversely affects the rights, preferences, or privileges of the Class A Preferred;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8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issue any equity security (or security convertible into equity) senior to the Class A Preferred with respect to rights to distributions from ClearOne Holding, LLC or proceeds from an Asset Sale;</w:t>
      </w:r>
    </w:p>
    <w:p>
      <w:pPr>
        <w:spacing w:after="0" w:line="161" w:lineRule="exact"/>
        <w:rPr>
          <w:rFonts w:ascii="Times New Roman" w:cs="Times New Roman" w:eastAsia="Times New Roman" w:hAnsi="Times New Roman"/>
          <w:sz w:val="18"/>
          <w:szCs w:val="18"/>
          <w:color w:val="auto"/>
        </w:rPr>
      </w:pPr>
    </w:p>
    <w:p>
      <w:pPr>
        <w:ind w:left="2860" w:hanging="908"/>
        <w:spacing w:after="0"/>
        <w:tabs>
          <w:tab w:leader="none" w:pos="2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that would have a material adverse effect on the economic rights of the Class A Preferred.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NO CONVERSION. The Class A Preferred shall not be convertible into shares of Common Stock or any other equity security of the</w:t>
            </w: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4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91"/>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9"/>
              </w:rPr>
              <w:t>REDEEMED SHARES. Shares of Class A Preferred that are redeemed pursuant to Section 2 shall be automatically cancelled and retired</w:t>
            </w:r>
          </w:p>
        </w:tc>
      </w:tr>
      <w:tr>
        <w:trPr>
          <w:trHeight w:val="20"/>
        </w:trPr>
        <w:tc>
          <w:tcPr>
            <w:tcW w:w="1380" w:type="dxa"/>
            <w:vAlign w:val="bottom"/>
            <w:tcBorders>
              <w:right w:val="single" w:sz="8" w:color="auto"/>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shall not be reissued by the Corporation. The Corporation shall take all necessary corporate action to reflect such cancellation, including amendments to its Certificate of Incorporation, if required.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Designation of Class A Preferred Stock to be duly executed by its Chief Executive Officer this 24th day of June, 2025.</w:t>
      </w:r>
    </w:p>
    <w:p>
      <w:pPr>
        <w:spacing w:after="0" w:line="3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CLEARONE, INC.</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Derek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291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140"/>
          </w:cols>
          <w:pgMar w:left="320" w:top="553"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B CONVERTIBLE PREFERRED STOCK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CLEARONE, INC., a corporation organized and existing under the General Corporation Law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certifies that the following resolution was adopted by the board of directors of the Corporation as required by Section 151 of the General Corporation Law of the State of Delaware (the “</w:t>
      </w:r>
      <w:r>
        <w:rPr>
          <w:rFonts w:ascii="Times New Roman" w:cs="Times New Roman" w:eastAsia="Times New Roman" w:hAnsi="Times New Roman"/>
          <w:sz w:val="18"/>
          <w:szCs w:val="18"/>
          <w:b w:val="1"/>
          <w:bCs w:val="1"/>
          <w:color w:val="auto"/>
        </w:rPr>
        <w:t>DCGL</w:t>
      </w:r>
      <w:r>
        <w:rPr>
          <w:rFonts w:ascii="Times New Roman" w:cs="Times New Roman" w:eastAsia="Times New Roman" w:hAnsi="Times New Roman"/>
          <w:sz w:val="18"/>
          <w:szCs w:val="18"/>
          <w:color w:val="auto"/>
        </w:rPr>
        <w:t>”) pursuant to a unanimous written consent of the board of directors.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RESOLVED, that, pursuant to the authority granted to and vested in the board of directors of the Corporation (the </w:t>
      </w: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b w:val="1"/>
          <w:bCs w:val="1"/>
          <w:color w:val="161616"/>
        </w:rPr>
        <w:t>Board</w:t>
      </w:r>
      <w:r>
        <w:rPr>
          <w:rFonts w:ascii="Times New Roman" w:cs="Times New Roman" w:eastAsia="Times New Roman" w:hAnsi="Times New Roman"/>
          <w:sz w:val="18"/>
          <w:szCs w:val="18"/>
          <w:color w:val="auto"/>
        </w:rPr>
        <w:t>”) in accordance with the provisions of the certificate of incorporation of the Corporation, as amended and currently in effect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the issuance of a class of Preferred Stock. par value $0.001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which shall consist of up to 50,000,000 shares of Preferred Stock which the Corporation now has the authority to issue, be, and the same hereby is, authorized, and the Board states the designation and number of shares, and fixes the relative rights, preferences, and limitations (in addition to any set forth in the Certificate) thereof as follows: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Preferred Stock authorized by this resolution is the Class B Convertible Preferred Stock (the “</w:t>
      </w:r>
      <w:r>
        <w:rPr>
          <w:rFonts w:ascii="Times New Roman" w:cs="Times New Roman" w:eastAsia="Times New Roman" w:hAnsi="Times New Roman"/>
          <w:sz w:val="18"/>
          <w:szCs w:val="18"/>
          <w:b w:val="1"/>
          <w:bCs w:val="1"/>
          <w:color w:val="auto"/>
        </w:rPr>
        <w:t>Class B Preferred</w:t>
      </w:r>
      <w:r>
        <w:rPr>
          <w:rFonts w:ascii="Times New Roman" w:cs="Times New Roman" w:eastAsia="Times New Roman" w:hAnsi="Times New Roman"/>
          <w:sz w:val="18"/>
          <w:szCs w:val="18"/>
          <w:color w:val="auto"/>
        </w:rPr>
        <w:t>”). The total number of shares of the Class B Preferred is 5,100.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xml:space="preserve">. Except as set forth below, the holders of Class B Preferred shall be entitled to receive dividends prior to any dividends being paid to any other class of shares. In addition, the holders of Class B Preferred shall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on an as converted to the common stock, par value $0.001 per share, of the Corporation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basis, in any dividends declared and paid to the holders of other classes of shares. No dividends shall be declared or paid to any other class of shares without the prior approval of the holders of a majority of the outstanding Class B Preferred. For the sake of clarity, however, (i) any redemption of Class A Preferred Stock of the Corporation (“Class A Preferred”), (ii) any distribution or dividend of Class A Preferred to the holders of Common Stock, and (iii) any distribution or dividend with respect to Class A Preferred from the assets of ClearOne Holding, LLC (“</w:t>
      </w:r>
      <w:r>
        <w:rPr>
          <w:rFonts w:ascii="Times New Roman" w:cs="Times New Roman" w:eastAsia="Times New Roman" w:hAnsi="Times New Roman"/>
          <w:sz w:val="18"/>
          <w:szCs w:val="18"/>
          <w:b w:val="1"/>
          <w:bCs w:val="1"/>
          <w:color w:val="auto"/>
        </w:rPr>
        <w:t>ClearOne Holding</w:t>
      </w:r>
      <w:r>
        <w:rPr>
          <w:rFonts w:ascii="Times New Roman" w:cs="Times New Roman" w:eastAsia="Times New Roman" w:hAnsi="Times New Roman"/>
          <w:sz w:val="18"/>
          <w:szCs w:val="18"/>
          <w:color w:val="auto"/>
        </w:rPr>
        <w:t xml:space="preserve">”) or the proceeds of the liquidation or sale of the equity securities of ClearOne Holding,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considered a dividend or dividends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LIQUIDATION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1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B Preference</w:t>
      </w:r>
      <w:r>
        <w:rPr>
          <w:rFonts w:ascii="Times New Roman" w:cs="Times New Roman" w:eastAsia="Times New Roman" w:hAnsi="Times New Roman"/>
          <w:sz w:val="18"/>
          <w:szCs w:val="18"/>
          <w:color w:val="auto"/>
        </w:rPr>
        <w:t>. In the event of any Liquidation Event, whether voluntary or involuntary, the holders of the Class B Preferred shall be entitled to receive, prior and in preference to any distribution of the proceeds of such Liquidation Event (the “</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xml:space="preserve">”) to the holders of any other class or Class of capital stock of the Corporation (other than the Net Proceeds of any Asset Sale to be distributed solely to holders of Class A Preferred Stock of the Corporation (the </w:t>
      </w:r>
      <w:r>
        <w:rPr>
          <w:rFonts w:ascii="Times New Roman" w:cs="Times New Roman" w:eastAsia="Times New Roman" w:hAnsi="Times New Roman"/>
          <w:sz w:val="18"/>
          <w:szCs w:val="18"/>
          <w:b w:val="1"/>
          <w:bCs w:val="1"/>
          <w:color w:val="auto"/>
        </w:rPr>
        <w:t>“Class A Preferred</w:t>
      </w:r>
      <w:r>
        <w:rPr>
          <w:rFonts w:ascii="Times New Roman" w:cs="Times New Roman" w:eastAsia="Times New Roman" w:hAnsi="Times New Roman"/>
          <w:sz w:val="18"/>
          <w:szCs w:val="18"/>
          <w:color w:val="auto"/>
        </w:rPr>
        <w:t>”) in accordance with their rights of redemption), an amount per share equal to the sum of (i) the principal amount of the Convertible Note by and between the Corporation and the holder dated June 20, 2025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converted into such Class B Preferred, (ii) any accrued and unpaid interest thereon as of the Conversion Date, and (iii) any accrued and unpaid dividends in respect of such Class B Preferred (collectively, the “</w:t>
      </w:r>
      <w:r>
        <w:rPr>
          <w:rFonts w:ascii="Times New Roman" w:cs="Times New Roman" w:eastAsia="Times New Roman" w:hAnsi="Times New Roman"/>
          <w:sz w:val="18"/>
          <w:szCs w:val="18"/>
          <w:b w:val="1"/>
          <w:bCs w:val="1"/>
          <w:color w:val="auto"/>
        </w:rPr>
        <w:t>Class B Liquidation Preference</w:t>
      </w:r>
      <w:r>
        <w:rPr>
          <w:rFonts w:ascii="Times New Roman" w:cs="Times New Roman" w:eastAsia="Times New Roman" w:hAnsi="Times New Roman"/>
          <w:sz w:val="18"/>
          <w:szCs w:val="18"/>
          <w:color w:val="auto"/>
        </w:rPr>
        <w:t>”). The “Conversion Date” shall mean the date on which the Certificate is filed with the Delaware Secretary of State.</w:t>
      </w:r>
    </w:p>
    <w:p>
      <w:pPr>
        <w:spacing w:after="0" w:line="191" w:lineRule="exact"/>
        <w:rPr>
          <w:rFonts w:ascii="Times New Roman" w:cs="Times New Roman" w:eastAsia="Times New Roman" w:hAnsi="Times New Roman"/>
          <w:sz w:val="18"/>
          <w:szCs w:val="18"/>
          <w:color w:val="auto"/>
        </w:rPr>
      </w:pPr>
    </w:p>
    <w:p>
      <w:pPr>
        <w:jc w:val="both"/>
        <w:ind w:firstLine="2024"/>
        <w:spacing w:after="0" w:line="254" w:lineRule="auto"/>
        <w:tabs>
          <w:tab w:leader="none" w:pos="28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upon the occurrence of a Liquidation Event, the Proceeds legally available for distribution among the holders of Class B Preferred are insufficient to permit payment of the full Class B Liquidation Preference to such holders, then the entire Proceeds legally available for distribution (excluding 100% of the Net Proceeds of any Asset Sale, which shall be distributed solely to holders of Class A Preferred Stock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in accordance with their rights of redemption, or the proceeds of any sale or liquidation of ClearOne Holding) shall be distributed ratably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Class B Preferred in proportion to the full preferential amounts otherwise payable to each such holder.</w:t>
      </w:r>
    </w:p>
    <w:p>
      <w:pPr>
        <w:spacing w:after="0" w:line="187" w:lineRule="exact"/>
        <w:rPr>
          <w:rFonts w:ascii="Times New Roman" w:cs="Times New Roman" w:eastAsia="Times New Roman" w:hAnsi="Times New Roman"/>
          <w:sz w:val="18"/>
          <w:szCs w:val="18"/>
          <w:color w:val="auto"/>
        </w:rPr>
      </w:pPr>
    </w:p>
    <w:p>
      <w:pPr>
        <w:jc w:val="both"/>
        <w:ind w:firstLine="2024"/>
        <w:spacing w:after="0" w:line="266" w:lineRule="auto"/>
        <w:tabs>
          <w:tab w:leader="none" w:pos="2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Class B Liquidation Preference shall be senior in right of payment to all other classes or Class of capital stock of the Corporation (except the Class A Preferred as set forth in this Certificate of Designation), unless otherwise issued in accordance with the terms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ind w:firstLine="1304"/>
        <w:spacing w:after="0" w:line="266" w:lineRule="auto"/>
        <w:tabs>
          <w:tab w:leader="none" w:pos="21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Residual</w:t>
      </w:r>
      <w:r>
        <w:rPr>
          <w:rFonts w:ascii="Times New Roman" w:cs="Times New Roman" w:eastAsia="Times New Roman" w:hAnsi="Times New Roman"/>
          <w:sz w:val="18"/>
          <w:szCs w:val="18"/>
          <w:color w:val="auto"/>
        </w:rPr>
        <w:t xml:space="preserve">. Upon any Liquidation Event, after the holders of Class B Preferred have been paid in full pursuant to clause (a) above, all of the remaining Proceeds or assets of the Corporation, as applicable, shall be distributed among the holders of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shares of Common Stock held by each.</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The “Original Issue Price” means $$1,000.00 per share for each share of Class B Preferred (as adjusted for any stock splits, stock dividends, combinations, subdivisions, recapitalizations or the like).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An “Asset Sale” shall the sale of the Company’s operating business and/or a substantial portion of its assets, including through a sale of its Intellectual Property and/or Capital Stock of ClearOne Holding or other subsidiary of the Corporation formed to hold existing assets of the Company , provided, however, that the term “Asset Sale” shall not include transactions entered into in the ordinary course of business or for the purpose of changing the Corporation’s jurisdiction of incorporation or creating a holding company structure where equity holders maintain substantially similar ownership percentages. An Asset Sale shall also include any transaction or series of related transactions the primary purpose of which is the disposition of ClearOne Holding or any subsidiary as described above, or their assets.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Proceeds” shall mean 100% of the gross proceeds of the Asset Sales less all transaction expenses, liabilities and obligations relating to the Asset Sale, including but not limited to payments, fees and/or severance packages to or related to bankers, consultants, advisors, employees, executives, leases and other property related obligations. Net Proceeds shall include a further deduction for any obligations, expenses, payables, accrued liabilities of any kind (contractual or otherwise) of the Corporation, or any of its subsidiaries, which remain as liabilities of the Corporation or any of its subsidiaries and that are not otherwise sold as part of the Asset Sale, other than payments or expenses required to be paid in conjunction with the reporting obligations and maintenance of the Corporation as a listed reporting issuer.</w:t>
      </w:r>
    </w:p>
    <w:p>
      <w:pPr>
        <w:spacing w:after="0" w:line="187" w:lineRule="exact"/>
        <w:rPr>
          <w:sz w:val="20"/>
          <w:szCs w:val="20"/>
          <w:color w:val="auto"/>
        </w:rPr>
      </w:pPr>
    </w:p>
    <w:p>
      <w:pPr>
        <w:jc w:val="both"/>
        <w:ind w:firstLine="1304"/>
        <w:spacing w:after="0" w:line="253" w:lineRule="auto"/>
        <w:tabs>
          <w:tab w:leader="none" w:pos="21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A “Liquidation Event” shall include (A) the closing of the sale, transfer or other disposition of all or substantially all of the Corporation’s assets, (except for the assets of ClearOne Holding or the proceeds of the liquidation or sale of the equity securities of ClearOne Holding or any other subsidiary formed to hold existing assets) (B) the consummation of the merger or consolidation of the Corporation with or into another entity (except a merger or consolidation in which the holders of capital stock of the Corporation immediately prior to such merger or consolidation continue to hold at least a majority of the voting power of the capital stock of the Corporation or the surviving or acquiring entity), (C) the closing of the transfer (whether by merger, consolidation or otherwise), in one transaction or a Class of related transactions, to a person or group of affiliated persons (other than an underwriter of the Corporation’s securities), of the Corporation’s securities if, after such closing, such person or group of affiliated persons would hold a majority of the outstanding voting stock of the Corporation (or the surviving or acquiring entity), or (D) a liquidation, dissolution or winding up of the Corporation; provided, however, that a transaction does not constitute a Liquidation Event if its sole purpose is to change the state of the Corporation’s incorporation or to create a holding company that will be owned in substantially the same proportions by the persons who held the Corporation’s securities immediately prior to such transaction. The treatment of any particular transaction or Class of related transactions as a Liquidation Event may be waived by the vote or written consent of the holders of a majority of the outstanding Class B Preferred (voting as a single class on an as-converted basis).</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7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Liquidation Event, if Proceeds received by the Corporation or its stockholders is other than cash, its value will be deemed its fair market value as determined in good faith by the Board. Any securities shall be valued as follows:</w:t>
      </w:r>
    </w:p>
    <w:p>
      <w:pPr>
        <w:spacing w:after="0" w:line="161" w:lineRule="exact"/>
        <w:rPr>
          <w:rFonts w:ascii="Times New Roman" w:cs="Times New Roman" w:eastAsia="Times New Roman" w:hAnsi="Times New Roman"/>
          <w:sz w:val="18"/>
          <w:szCs w:val="18"/>
          <w:color w:val="auto"/>
        </w:rPr>
      </w:pPr>
    </w:p>
    <w:p>
      <w:pPr>
        <w:ind w:left="3560" w:hanging="852"/>
        <w:spacing w:after="0"/>
        <w:tabs>
          <w:tab w:leader="none" w:pos="35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not subject to investment letter or other similar restrictions on free marketability covered by (B)</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5" w:lineRule="exact"/>
        <w:rPr>
          <w:rFonts w:ascii="Times New Roman" w:cs="Times New Roman" w:eastAsia="Times New Roman" w:hAnsi="Times New Roman"/>
          <w:sz w:val="18"/>
          <w:szCs w:val="18"/>
          <w:color w:val="auto"/>
        </w:rPr>
      </w:pPr>
    </w:p>
    <w:p>
      <w:pPr>
        <w:ind w:left="4360" w:hanging="896"/>
        <w:spacing w:after="0"/>
        <w:tabs>
          <w:tab w:leader="none" w:pos="43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traded on a securities exchange, the value is the average of the closing prices of the securities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such exchange over the 20 trading-day period ending three trading days prior to the closing of the Liquidation Event;</w:t>
      </w:r>
    </w:p>
    <w:p>
      <w:pPr>
        <w:spacing w:after="0" w:line="206" w:lineRule="exact"/>
        <w:rPr>
          <w:rFonts w:ascii="Times New Roman" w:cs="Times New Roman" w:eastAsia="Times New Roman" w:hAnsi="Times New Roman"/>
          <w:sz w:val="18"/>
          <w:szCs w:val="18"/>
          <w:color w:val="auto"/>
        </w:rPr>
      </w:pPr>
    </w:p>
    <w:p>
      <w:pPr>
        <w:ind w:left="4360" w:hanging="896"/>
        <w:spacing w:after="0"/>
        <w:tabs>
          <w:tab w:leader="none" w:pos="43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actively traded over-the-counter, the value is the average of the closing bid or sale prices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(whichever is applicable) over the 20 trading-day period ending three trading days prior to the closing of the Liquidation Event; and</w:t>
      </w:r>
    </w:p>
    <w:p>
      <w:pPr>
        <w:spacing w:after="0" w:line="206" w:lineRule="exact"/>
        <w:rPr>
          <w:rFonts w:ascii="Times New Roman" w:cs="Times New Roman" w:eastAsia="Times New Roman" w:hAnsi="Times New Roman"/>
          <w:sz w:val="18"/>
          <w:szCs w:val="18"/>
          <w:color w:val="auto"/>
        </w:rPr>
      </w:pPr>
    </w:p>
    <w:p>
      <w:pPr>
        <w:ind w:left="4360" w:hanging="896"/>
        <w:spacing w:after="0"/>
        <w:tabs>
          <w:tab w:leader="none" w:pos="43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active public market, the value is the fair market value thereof, as determined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faith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firstLine="2708"/>
        <w:spacing w:after="0" w:line="261" w:lineRule="auto"/>
        <w:tabs>
          <w:tab w:leader="none" w:pos="36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 (1), (2) or (3) to reflect the approximate fair market value thereof, as determined in good faith by the Board.</w:t>
      </w:r>
    </w:p>
    <w:p>
      <w:pPr>
        <w:spacing w:after="0" w:line="179" w:lineRule="exact"/>
        <w:rPr>
          <w:rFonts w:ascii="Times New Roman" w:cs="Times New Roman" w:eastAsia="Times New Roman" w:hAnsi="Times New Roman"/>
          <w:sz w:val="18"/>
          <w:szCs w:val="18"/>
          <w:color w:val="auto"/>
        </w:rPr>
      </w:pPr>
    </w:p>
    <w:p>
      <w:pPr>
        <w:jc w:val="both"/>
        <w:ind w:firstLine="2708"/>
        <w:spacing w:after="0" w:line="266" w:lineRule="auto"/>
        <w:tabs>
          <w:tab w:leader="none" w:pos="3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methods for valuing non-cash consideration to be distributed in connection with a Liquidation Event shall, with the appropriate approval of the definitive agreements governing such Liquidation Event by the stockholders under the DGCL, be superseded by the determination of such value set forth in the definitive agreements governing such Liquidation Event.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subsection (ii) or any other provision of this Certificate, in the case of a Liquidation Event where the non-cash Proceeds to be distributed to the holders of Class B Preferred are assets other than securities of a class that is traded on a securities exchange that is registered as a “national securities exchange” under Section 6 of the Securities Exchange Act of 1934, then the holders of Class B Preferred shall at their option be entitled to receive cash in an amount equal to the Class B Liquidation Preference in lieu of such assets.</w:t>
      </w:r>
    </w:p>
    <w:p>
      <w:pPr>
        <w:spacing w:after="0" w:line="179" w:lineRule="exact"/>
        <w:rPr>
          <w:rFonts w:ascii="Times New Roman" w:cs="Times New Roman" w:eastAsia="Times New Roman" w:hAnsi="Times New Roman"/>
          <w:sz w:val="18"/>
          <w:szCs w:val="18"/>
          <w:color w:val="auto"/>
        </w:rPr>
      </w:pPr>
    </w:p>
    <w:p>
      <w:pPr>
        <w:ind w:left="2900" w:hanging="948"/>
        <w:spacing w:after="0"/>
        <w:tabs>
          <w:tab w:leader="none" w:pos="2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requirements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not complied with, the Corporation shall forthwith either:</w:t>
      </w:r>
    </w:p>
    <w:p>
      <w:pPr>
        <w:spacing w:after="0" w:line="225" w:lineRule="exact"/>
        <w:rPr>
          <w:rFonts w:ascii="Times New Roman" w:cs="Times New Roman" w:eastAsia="Times New Roman" w:hAnsi="Times New Roman"/>
          <w:sz w:val="18"/>
          <w:szCs w:val="18"/>
          <w:color w:val="auto"/>
        </w:rPr>
      </w:pPr>
    </w:p>
    <w:p>
      <w:pPr>
        <w:ind w:left="3740" w:hanging="924"/>
        <w:spacing w:after="0"/>
        <w:tabs>
          <w:tab w:leader="none" w:pos="37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closing of such Liquidation Event to be postponed until such time as the requirements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have been complied with; or</w:t>
      </w:r>
    </w:p>
    <w:p>
      <w:pPr>
        <w:spacing w:after="0" w:line="206" w:lineRule="exact"/>
        <w:rPr>
          <w:rFonts w:ascii="Times New Roman" w:cs="Times New Roman" w:eastAsia="Times New Roman" w:hAnsi="Times New Roman"/>
          <w:sz w:val="18"/>
          <w:szCs w:val="18"/>
          <w:color w:val="auto"/>
        </w:rPr>
      </w:pPr>
    </w:p>
    <w:p>
      <w:pPr>
        <w:ind w:firstLine="2816"/>
        <w:spacing w:after="0" w:line="282" w:lineRule="auto"/>
        <w:tabs>
          <w:tab w:leader="none" w:pos="373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such transaction, in which event the rights, preferences and privileges of the holders of the Preferred Stock shall revert to and be the same as such rights.</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give each holder of record of Class B Preferred written notice of such impending Liquidation Event not later than 15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and the Corporation shall thereafter give such holders prompt notice of any material changes. The transaction shall in no event take place sooner than twenty (20) days after the Corporation has given the first notice provided for herein or sooner than ten (10) days after the Corporation has given notice of any material changes provided for herein; provided, however, that subject to compliance with the DGCL such periods may be shortened or waived upon the written consent of the holders of Class B Preferred (voting as a single class on an as-converted basis) that represent a majority of the voting power of all then outstanding shares of Class B Preferred.</w:t>
      </w:r>
    </w:p>
    <w:p>
      <w:pPr>
        <w:spacing w:after="0" w:line="19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On first Business Day following the date that the Class A Preferred Stock has been issued as a dividend to 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 the Borrower, the holders of the Class B Preferred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304"/>
        <w:spacing w:after="0" w:line="261" w:lineRule="auto"/>
        <w:tabs>
          <w:tab w:leader="none" w:pos="21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 Each share of Class B Preferred is convertible, at the option of the holder thereof, at any time after the date of issuance of such share at the office of the Corporation or any transfer agent for the Common Stock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into such number of fully paid and nonassessable share of Common Stock (as adjusted for any stock splits, stock dividends, combinations, subdivisions, recapitalizations or the like) as calculated pursuant to section 4(d) below.</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xml:space="preserve">. Each share of Class B Preferred shall automatically be converted into , into such number of fully paid and nonassessable share of Common Stock (as adjusted for any stock splits, stock dividends, combinations, subdivisions, recapitalizations or the like) as calculated pursuant to section 4(d) below. immediately upon the earlier of (i) the closing of the Corporation’s sale of its Common Stock in a firm commitment underwritten public offering pursuant to a registration statement on Form S-1 or Form S-3 under the Securities Act of 1933, as amended, the public offering price of which is not less than the Conversion Price in the aggregate or </w:t>
      </w:r>
      <w:r>
        <w:rPr>
          <w:rFonts w:ascii="Times New Roman" w:cs="Times New Roman" w:eastAsia="Times New Roman" w:hAnsi="Times New Roman"/>
          <w:sz w:val="18"/>
          <w:szCs w:val="18"/>
          <w:color w:val="050505"/>
        </w:rPr>
        <w:t>(ii) the date, or the occurrence of an event, specified by vote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50505"/>
        </w:rPr>
        <w:t>written consent or agreement of the holders of a majority of the then-outstanding shares of Class B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firstLine="1304"/>
        <w:spacing w:after="0" w:line="251" w:lineRule="auto"/>
        <w:tabs>
          <w:tab w:leader="none" w:pos="21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In order for a holder of Class B Preferred to voluntarily convert shares of Class B Preferred into shares of Common Stock, such holder shall (1) provide the form of conversion notice attached hereto as Annex A (a “Notice of Conversion”) to the Transfer Agent that such holder elects to convert all or any number of such holder’s shares of Class B Preferred and (2), if such holder’s shares are certificated, surrender the certificate or certificates for such shares of Class B Preferred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Such Notice of Conversion shall state such holder’s name or the names of the nominees in which such holder wishes the shares of Common Stock to be issued. No ink-original Notice of Conversion shall be required, nor shall any medallion guarantee (or other type of guarantee or notarization) of any Notice of Conversion be required. The close of business on the date of receipt by the Transfer Agent of such Notice of Conversion and, if applicable, certificates (or lost certificate affidavit and agreement) shall be the time of conversion (the “Conversion Time”), and the shares of Common Stock issuable upon conversion of the specified shares shall be deemed to be outstanding of record as of such date. Promptly after the applicable Conversion Time, but in any case within the earlier of (x) one (1) Trading Day and (y) the Standard Settlement Period (as defined below) thereof (the “Share Delivery Date”), the Corporation shall (1) cause the shares of Common Stock to which the holder is entitled pursuant to such conversion to be transmitted by the Transfer Agent to the holder by crediting the account of the holder’s or its designee’s balance account with The Depository Trust Company through its Deposit or Withdrawal at Custodian system (“DWAC”) if the Corporation is then a participant in such system and either (A) there is an effective registration statement permitting the resale of the Common Stock issuable upon conversion of the Class B Preferred by the holder or (B) the Common Stock issuable upon conversion of the Class B Preferred is eligible for resale by the holder without the requirement for the Corporation to be in compliance with the current public information required under Rule 144 and without volume or manner-of-sale limitations pursuant to Rule 144, and otherwise by physical delivery of a certificate, registered in the Corporation’s share register in the name of the holder or its designee, for the number of shares of Common Stock to which the holder is entitled pursuant to such conversion to the address specified by the holder in the Notice of Conversion (if any) of the shares of Class B Preferred represented by the surrendered certificate that were not converted into Common Stock, (2) pay in cash such amount as provided in Subsection 4(e) in lieu of any fraction of a share of Common Stock otherwise issuable upon such conversion and (3) pay all declared but unpaid dividends on the shares of Class B Preferred convert. If the conversion is in connection with an underwritten offering of securities registered pursuant to the Securities Act of 1933, as amended, then the conversion may, at the option of any holder tendering Class B Preferred for conversion, be conditioned upon the closing with the underwriters of the sale of securities pursuant to such offering, in which event the persons entitled to receive the Common Stock upon conversion of the Class B Preferred will not be deemed to have converted such Class B Preferred until immediately prior to the closing of such sale of securities. If the conversion is in connection with the automatic conversion provisions of subsection 4(b)(ii) above, such conversion will be deemed to have been made on the conversion date described in the stockholder consent or other agreement approving such conversion</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auto"/>
        </w:rPr>
        <w:t xml:space="preserve"> and the persons entitled to receive shares of Common Stock issuable upon such conversion will be treated for all purposes as the record holders of such shares of Common Stock as of such date. If the conversion is in connection with an event set forth in clauses (A) through (C) of the definition of Liquidation Event and such holder’s conversion is conditioned upon the consummation of such event, such conversion will be deemed to have been made on the date of such consumption</w:t>
      </w:r>
    </w:p>
    <w:p>
      <w:pPr>
        <w:spacing w:after="0" w:line="20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issuable upon conversion of each share of Class B Preferred Stock shall be calculated by dividing $1,000 by The lower of: (i) the closing price (as reflected on Nasdaq.com); or (ii) the average closing price of the Common Stock (as reflected on Nasdaq.com) for the five trading days immediately preceding June 20, 2025.</w:t>
      </w:r>
    </w:p>
    <w:p>
      <w:pPr>
        <w:spacing w:after="0" w:line="182"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Recapitalizations</w:t>
      </w:r>
      <w:r>
        <w:rPr>
          <w:rFonts w:ascii="Times New Roman" w:cs="Times New Roman" w:eastAsia="Times New Roman" w:hAnsi="Times New Roman"/>
          <w:sz w:val="18"/>
          <w:szCs w:val="18"/>
          <w:color w:val="auto"/>
        </w:rPr>
        <w:t xml:space="preserve">. If at any time or from time to time there is a recapitalization of the Common Stock (including a subdivision, combination or merger or sale of assets, (excluding the Asset Sale), provision shall be made so that the holders of the Class B Preferred shall thereafter be entitled to receive upon conversion of the Class B Preferred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rights of the holders of the Class B Preferred after the recapitalization to the end that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applicable after that event as nearly equivalently as may be practicable.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filing date of this Certificate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effect a subdivision of the outstanding Common Stock, the number of shares of Common Stock issuable on conversion of each share of such series shall be increased in proportion to such increase in the aggregate number of shares of Common Stock outstanding. If the Corporation shall at any time or from time to time after the Effective Date combine the outstanding shares of Common Stock,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Effective Date shall make or issue, or fix a record date for the determination of holders of Common Stock entitled to receive, a dividend or other distribution payable on Common Stock in additional shares of Common Stock, then the number of shares of Common Stock issuable on conversion of each share of such series shall be increased pro rata for the holder to account for such additional shares of Common Stock they would be entitled to receive if they were holders of shares of Common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such adjustment shall be made if the holders of Class B Preferred simultaneously receive a dividend or other distribution of shares of Common Stock in a number equal to the number of shares of Common Stock as they would have received if all outstanding shares of Class B Preferred had been converted into Common Stock on the date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left="-1120" w:firstLine="1304"/>
        <w:spacing w:after="0" w:line="253" w:lineRule="auto"/>
        <w:tabs>
          <w:tab w:leader="none" w:pos="10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Effective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the Asset Sale) or in other property and the provisions of </w:t>
      </w:r>
      <w:r>
        <w:rPr>
          <w:rFonts w:ascii="Times New Roman" w:cs="Times New Roman" w:eastAsia="Times New Roman" w:hAnsi="Times New Roman"/>
          <w:sz w:val="18"/>
          <w:szCs w:val="18"/>
          <w:u w:val="single" w:color="auto"/>
          <w:color w:val="auto"/>
        </w:rPr>
        <w:t>Subsection 4(g)</w:t>
      </w:r>
      <w:r>
        <w:rPr>
          <w:rFonts w:ascii="Times New Roman" w:cs="Times New Roman" w:eastAsia="Times New Roman" w:hAnsi="Times New Roman"/>
          <w:sz w:val="18"/>
          <w:szCs w:val="18"/>
          <w:color w:val="auto"/>
        </w:rPr>
        <w:t xml:space="preserve"> do not apply to such dividend or distribution, then and in each such event provision shall be made so that the holders of the Class B Preferred shall receive upon conversion thereof, in addition to the number of shares of Common Stock receivable thereupon, the kind and amount of securities of the Corporation, cash or other property which they would have been entitled to receive had the Class B Preferred been converted into Common Stock on the date of such event and had they thereafter, during the period from the date of such event to and including the conversion date, retained such securities receivable by them as aforesaid during such period, giving application to all adjustments called for during such period under this paragraph with respect to the rights of the holders of the Class B Preferred;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provision shall be made if the holders of Class B Preferred receive, simultaneously with the distribution to the holders of Common Stock, a dividend or other distribution of such securities, cash or other property in an amount equal to the amount of such securities, cash or other property as they would have received if all outstanding shares of Class B Preferred had been converted into Common Stock on the date of such event.</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1" w:lineRule="auto"/>
        <w:tabs>
          <w:tab w:leader="none" w:pos="10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Merger or Reorganization, etc</w:t>
      </w:r>
      <w:r>
        <w:rPr>
          <w:rFonts w:ascii="Times New Roman" w:cs="Times New Roman" w:eastAsia="Times New Roman" w:hAnsi="Times New Roman"/>
          <w:sz w:val="18"/>
          <w:szCs w:val="18"/>
          <w:color w:val="auto"/>
        </w:rPr>
        <w:t>. If (A) the Corporation effects any merger or consolidation of the Corporation with or into another Person, (B) the Corporation effects any sale of all or substantially all of its assets in one transaction or a series of related transactions, or (C) the Corporation effects any reclassification of the Common Stock or any compulsory share exchange pursuant to which the Common Stock is effectively converted into or exchanged for other securities, cash or property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upon any subsequent conversion of the Class B Preferred, the holders shall have the right to receive, for each share of Common Stock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adjust the shares of Common Stock issuable to the holder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they receive upon any conversion of the Class B Preferred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terms of any agreement pursuant to which a Fundamental Transaction is effected shall include terms requiring any such successor or surviving entity to comply with the provisions of this </w:t>
      </w:r>
      <w:r>
        <w:rPr>
          <w:rFonts w:ascii="Times New Roman" w:cs="Times New Roman" w:eastAsia="Times New Roman" w:hAnsi="Times New Roman"/>
          <w:sz w:val="18"/>
          <w:szCs w:val="18"/>
          <w:u w:val="single" w:color="auto"/>
          <w:color w:val="auto"/>
        </w:rPr>
        <w:t>Section 4(i)</w:t>
      </w:r>
      <w:r>
        <w:rPr>
          <w:rFonts w:ascii="Times New Roman" w:cs="Times New Roman" w:eastAsia="Times New Roman" w:hAnsi="Times New Roman"/>
          <w:sz w:val="18"/>
          <w:szCs w:val="18"/>
          <w:color w:val="auto"/>
        </w:rPr>
        <w:t xml:space="preserve"> and insuring that the Class B Preferred (or any such replacement security) will be substantially similar in form and substance to this Certificate of Designations and insuring that the Class B Preferred will be convertible for a corresponding number of shares of capital stock of such successor entity (or its parent entity) equivalent to the shares of Common Stock acquirable and receivable upon conversion of this Class B Preferred (without regard to any limitations on the conversion of this Class B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Class B Preferred immediately prior to the consummation of such Fundamental Transaction) and will be similarly adjusted upon any subsequent transaction analogous to a Fundamental Transaction.</w:t>
      </w:r>
    </w:p>
    <w:p>
      <w:pPr>
        <w:spacing w:after="0" w:line="190"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10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shall be issued upon the conversion of any share or shares of the Class B Preferred and the aggregate number of shares of Common Stock to be issued to particular stockholders, shall be rounded down to the nearest whole share and the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Class B Preferred the holder is at the time converting into Common Stock and the number of shares of Common Stock issuable upon such conversion.</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10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of Record Date</w:t>
      </w:r>
      <w:r>
        <w:rPr>
          <w:rFonts w:ascii="Times New Roman" w:cs="Times New Roman" w:eastAsia="Times New Roman" w:hAnsi="Times New Roman"/>
          <w:sz w:val="18"/>
          <w:szCs w:val="18"/>
          <w:color w:val="auto"/>
        </w:rPr>
        <w:t>. In the event of any taking by the Corporation of a record of the holders of any class of securities for the purpose of determining the holders thereof who are entitled to receive any dividend (other than a cash dividend) or other distribution, the Corporation shall mail to each holder of Class B Preferred, at least ten (10) days prior to the date specified therein, a notice specifying the date on which any such record is to be taken for the purpose of such dividend or distribution, and the amount and character of such dividend or distribution,</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10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 Issuable Upon Conversion</w:t>
      </w:r>
      <w:r>
        <w:rPr>
          <w:rFonts w:ascii="Times New Roman" w:cs="Times New Roman" w:eastAsia="Times New Roman" w:hAnsi="Times New Roman"/>
          <w:sz w:val="18"/>
          <w:szCs w:val="18"/>
          <w:color w:val="auto"/>
        </w:rPr>
        <w:t>. The Corporation shall at all times reserve and keep available out of its authorized but unissued shares of Common Stock, solely for the purpose of effecting the conversion of the shares of the Class B Preferred, such number of its shares of Common Stock as shall from time to time be sufficient to effect the conversion of all outstanding shares of the Class B Preferred; and if at any time the number of authorized but unissued shares of Common Stock shall not be sufficient to effect the conversion of all then outstanding shares of the Class B Preferred, in addition to such other remedies as shall be available to the holder of such Class B Preferred, the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w:t>
      </w:r>
    </w:p>
    <w:p>
      <w:pPr>
        <w:spacing w:after="0" w:line="191"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agrees to maintain a Transfer Agent that is a participant in the DTC’s FAST program so long as any shares of Class B Preferred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6" w:name="page17"/>
    <w:bookmarkEnd w:id="16"/>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21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Voting</w:t>
      </w:r>
      <w:r>
        <w:rPr>
          <w:rFonts w:ascii="Times New Roman" w:cs="Times New Roman" w:eastAsia="Times New Roman" w:hAnsi="Times New Roman"/>
          <w:sz w:val="18"/>
          <w:szCs w:val="18"/>
          <w:color w:val="auto"/>
        </w:rPr>
        <w:t xml:space="preserve">. Except for the election of directors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 the holder of each share of Class B Preferred (i) has the right to one (1) vote for each share of Common Stock into which such Class B Preferred could then be converted, (ii) has full voting rights and powers equal to the voting rights and powers of the holders of Common Stock, (iii) is entitled, notwithstanding any provision hereof, to notice of any stockholders’ meeting in accordance with the Bylaws of the Corporation, and (iv) except as provided by law, is entitled to vote, together with holders of Common Stock, with respect to any question upon which holders of Common Stock have the right to vote. Fractional votes are not permitted and any fractional voting rights available on an as-converted basis (after aggregating all shares into which shares of Class B Preferred held by each holder could be converted) will be rounded to the nearest whole number (with one half being rounded downward).</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The holders of Class B Preferred, voting as a separate class, are entitled to elect two (2) member of the Board (a “</w:t>
      </w:r>
      <w:r>
        <w:rPr>
          <w:rFonts w:ascii="Times New Roman" w:cs="Times New Roman" w:eastAsia="Times New Roman" w:hAnsi="Times New Roman"/>
          <w:sz w:val="18"/>
          <w:szCs w:val="18"/>
          <w:b w:val="1"/>
          <w:bCs w:val="1"/>
          <w:color w:val="auto"/>
        </w:rPr>
        <w:t>Class B Preferred Director</w:t>
      </w:r>
      <w:r>
        <w:rPr>
          <w:rFonts w:ascii="Times New Roman" w:cs="Times New Roman" w:eastAsia="Times New Roman" w:hAnsi="Times New Roman"/>
          <w:sz w:val="18"/>
          <w:szCs w:val="18"/>
          <w:color w:val="auto"/>
        </w:rPr>
        <w:t>”) at each meeting or pursuant to each consent of the Corporation’s stockholders for the election of directors, and to remove from office such directors and to fill any vacancy caused by the resignation, death or removal of such directors.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Vacancies</w:t>
      </w:r>
      <w:r>
        <w:rPr>
          <w:rFonts w:ascii="Times New Roman" w:cs="Times New Roman" w:eastAsia="Times New Roman" w:hAnsi="Times New Roman"/>
          <w:sz w:val="18"/>
          <w:szCs w:val="18"/>
          <w:color w:val="auto"/>
        </w:rPr>
        <w:t xml:space="preserve">. Notwithstanding the provisions of Section 223(a)(l) and 223(a)(2) of the DGCL, any vacancy, including newly created directorships resulting from any increase in the authorized number of directors or amendment of the Certificate,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Class B Preferred, the holders of shares of such Class B Preferred may override the Board’s action to fill such vacancy by (i) voting for their own designee to fill such vacancy at a meeting of the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Class of stock entitled to elect such director or directors, given either at a special meeting of such stockholders </w:t>
      </w:r>
      <w:r>
        <w:rPr>
          <w:rFonts w:ascii="Times New Roman" w:cs="Times New Roman" w:eastAsia="Times New Roman" w:hAnsi="Times New Roman"/>
          <w:sz w:val="18"/>
          <w:szCs w:val="18"/>
          <w:color w:val="050505"/>
        </w:rPr>
        <w:t>duly called for that purpose or pursuant to a written consent of stockholders, and any vacancy thereby created may be filled by the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50505"/>
        </w:rPr>
        <w:t>that class or Class of stock represented at the meeting or pursuant to written consent.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OTHER RIGHTS</w:t>
      </w:r>
      <w:r>
        <w:rPr>
          <w:rFonts w:ascii="Times New Roman" w:cs="Times New Roman" w:eastAsia="Times New Roman" w:hAnsi="Times New Roman"/>
          <w:sz w:val="18"/>
          <w:szCs w:val="18"/>
          <w:color w:val="auto"/>
        </w:rPr>
        <w:t>. Without the written consent of the holders of the majority of the outstanding shares of Class B Preferred, the Corporation shall not amend, alter or repeal any provision of the Corporation’s Certificate of Incorporation so as to adversely affect the rights or preferences of the Class B Preferred or increase the authorized amount of shares of Class B Preferred.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STATUS OF CONVERTED STOCK</w:t>
      </w:r>
      <w:r>
        <w:rPr>
          <w:rFonts w:ascii="Times New Roman" w:cs="Times New Roman" w:eastAsia="Times New Roman" w:hAnsi="Times New Roman"/>
          <w:sz w:val="18"/>
          <w:szCs w:val="18"/>
          <w:color w:val="auto"/>
        </w:rPr>
        <w:t xml:space="preserve">. In the event any shares of Class B Preferred are converted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then the shares so converted shall be cancelled and shall not be issuable by the Corporation. The Certificate shall be appropriately amended to effect the corresponding reduction in the Corporation’s authorized capital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8 SUCCESSORS AND ASSIGNS. A holder of the Class B Preferred may at any time transfer any or all of its Class B Preferred to one or more assignees without requiring the consent of the Corporation. In addition, a holder of the Class B Preferred may, upon notice to the Corporation, sell participations in all or a portion of such holder’s rights and/or obligations under the Class B Preferred.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PROTECTIVE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50505"/>
        </w:rPr>
        <w:t>So long as any shares of Class B Preferred remain outstanding, the Corporation shall not, without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50505"/>
        </w:rPr>
        <w:t>prior written consent of the holders of at least seventy-five percent (75%) of the then-outstanding shares of Class B Preferred, take or authorize any of the following actions, whether directly or indirectly through a subsidiary, or by merger, recapitalization, consolidation, reclassification, reorganization, or otherwise:</w:t>
      </w:r>
    </w:p>
    <w:p>
      <w:pPr>
        <w:spacing w:after="0" w:line="183" w:lineRule="exact"/>
        <w:rPr>
          <w:sz w:val="20"/>
          <w:szCs w:val="20"/>
          <w:color w:val="auto"/>
        </w:rPr>
      </w:pPr>
    </w:p>
    <w:p>
      <w:pPr>
        <w:ind w:firstLine="1304"/>
        <w:spacing w:after="0" w:line="286" w:lineRule="auto"/>
        <w:tabs>
          <w:tab w:leader="none" w:pos="21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Fundamental Business Changes. </w:t>
      </w:r>
      <w:r>
        <w:rPr>
          <w:rFonts w:ascii="Times New Roman" w:cs="Times New Roman" w:eastAsia="Times New Roman" w:hAnsi="Times New Roman"/>
          <w:sz w:val="18"/>
          <w:szCs w:val="18"/>
          <w:color w:val="auto"/>
        </w:rPr>
        <w:t>Effect any fundamental change in the nature of the business of the Corporation,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Asset Sale as contemplated herein.</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1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Redemptions &amp; Dividends. </w:t>
      </w:r>
      <w:r>
        <w:rPr>
          <w:rFonts w:ascii="Times New Roman" w:cs="Times New Roman" w:eastAsia="Times New Roman" w:hAnsi="Times New Roman"/>
          <w:sz w:val="18"/>
          <w:szCs w:val="18"/>
          <w:color w:val="auto"/>
        </w:rPr>
        <w:t>Redeem, repurchase, or otherwise acquire or pay or declare any dividends on any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Corporation, other than:</w:t>
      </w:r>
    </w:p>
    <w:p>
      <w:pPr>
        <w:spacing w:after="0" w:line="158" w:lineRule="exact"/>
        <w:rPr>
          <w:rFonts w:ascii="Times New Roman" w:cs="Times New Roman" w:eastAsia="Times New Roman" w:hAnsi="Times New Roman"/>
          <w:sz w:val="18"/>
          <w:szCs w:val="18"/>
          <w:color w:val="auto"/>
        </w:rPr>
      </w:pPr>
    </w:p>
    <w:p>
      <w:pPr>
        <w:ind w:firstLine="2168"/>
        <w:spacing w:after="0" w:line="282" w:lineRule="auto"/>
        <w:tabs>
          <w:tab w:leader="none" w:pos="30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or other distribution with respect to Class A Preferred in accordance with its terms upon completion of any Asset Sale or liquidation or sale of the equity securities of ClearOne Holding; and</w:t>
      </w:r>
    </w:p>
    <w:p>
      <w:pPr>
        <w:spacing w:after="0" w:line="161" w:lineRule="exact"/>
        <w:rPr>
          <w:rFonts w:ascii="Times New Roman" w:cs="Times New Roman" w:eastAsia="Times New Roman" w:hAnsi="Times New Roman"/>
          <w:sz w:val="18"/>
          <w:szCs w:val="18"/>
          <w:color w:val="auto"/>
        </w:rPr>
      </w:pPr>
    </w:p>
    <w:p>
      <w:pPr>
        <w:ind w:left="3080" w:hanging="912"/>
        <w:spacing w:after="0"/>
        <w:tabs>
          <w:tab w:leader="none" w:pos="3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on the Class B Preferred as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right="20" w:firstLine="1304"/>
        <w:spacing w:after="0" w:line="286" w:lineRule="auto"/>
        <w:tabs>
          <w:tab w:leader="none" w:pos="217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Create, assume, guarantee, or incur any indebtedness for borrowed money, except for indebtedness incurred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ordinary trade payables arising in the ordinary course of business.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1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 to Organizational Documents. </w:t>
      </w:r>
      <w:r>
        <w:rPr>
          <w:rFonts w:ascii="Times New Roman" w:cs="Times New Roman" w:eastAsia="Times New Roman" w:hAnsi="Times New Roman"/>
          <w:sz w:val="18"/>
          <w:szCs w:val="18"/>
          <w:color w:val="auto"/>
        </w:rPr>
        <w:t>Amend, alter, or repeal any provision of the Corporation’s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Bylaws, or similar governing documents in a manner adverse to the rights, preferences, or privileges of the holders of Class B Preferred.</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17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Senior or Pari Passu Securities. </w:t>
      </w:r>
      <w:r>
        <w:rPr>
          <w:rFonts w:ascii="Times New Roman" w:cs="Times New Roman" w:eastAsia="Times New Roman" w:hAnsi="Times New Roman"/>
          <w:sz w:val="18"/>
          <w:szCs w:val="18"/>
          <w:color w:val="auto"/>
        </w:rPr>
        <w:t>Authorize, issue, or reclassify any securities of the Corporation senior to, or pari passu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Class B Preferred in terms of liquidation preference, dividend rights, voting rights, or other material economic terms.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Classes of Securities. </w:t>
      </w:r>
      <w:r>
        <w:rPr>
          <w:rFonts w:ascii="Times New Roman" w:cs="Times New Roman" w:eastAsia="Times New Roman" w:hAnsi="Times New Roman"/>
          <w:sz w:val="18"/>
          <w:szCs w:val="18"/>
          <w:color w:val="auto"/>
        </w:rPr>
        <w:t>Create or authorize the creation of, or issue, any new class or Class of stock or any other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into or exercisable for any equity security having rights, preferences, or privileges senior to the Class B Preferred.</w:t>
      </w:r>
    </w:p>
    <w:p>
      <w:pPr>
        <w:spacing w:after="0" w:line="154"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Board Composition. </w:t>
      </w:r>
      <w:r>
        <w:rPr>
          <w:rFonts w:ascii="Times New Roman" w:cs="Times New Roman" w:eastAsia="Times New Roman" w:hAnsi="Times New Roman"/>
          <w:sz w:val="18"/>
          <w:szCs w:val="18"/>
          <w:color w:val="auto"/>
        </w:rPr>
        <w:t>Increase or decrease the authorized number of directors constituting the Board of Directors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w:t>
      </w:r>
    </w:p>
    <w:p>
      <w:pPr>
        <w:spacing w:after="0" w:line="20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Issuances and Registrations. </w:t>
      </w:r>
      <w:r>
        <w:rPr>
          <w:rFonts w:ascii="Times New Roman" w:cs="Times New Roman" w:eastAsia="Times New Roman" w:hAnsi="Times New Roman"/>
          <w:sz w:val="18"/>
          <w:szCs w:val="18"/>
          <w:color w:val="auto"/>
        </w:rPr>
        <w:t>(i) Enter into any agreement to issue or announce the issuance or proposed issuance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or common stock equivalents, or (ii) file any registration statement or any amendment or supplement thereto, other than as required by applicable law or in connection with the Asset Sale.</w:t>
      </w:r>
    </w:p>
    <w:p>
      <w:pPr>
        <w:spacing w:after="0" w:line="170"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21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Disposition of Assets. </w:t>
      </w:r>
      <w:r>
        <w:rPr>
          <w:rFonts w:ascii="Times New Roman" w:cs="Times New Roman" w:eastAsia="Times New Roman" w:hAnsi="Times New Roman"/>
          <w:sz w:val="18"/>
          <w:szCs w:val="18"/>
          <w:color w:val="auto"/>
        </w:rPr>
        <w:t>Except for any Asset Sale; other potential liquidation or disposition of ClearOne Holding;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 the ordinary course of business, engage in, authorize, or consummate any sale, lease, assignment, transfer, license, or other disposition of any assets of the Corporation or any subsidiary in a single transaction or series of related transactions.</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21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Use the proceeds from the issuance of the Class B Preferred or the Note for any purpose other than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Disbursement Schedule attached to the definitive agreements.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1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Restrictive Agreements. </w:t>
      </w:r>
      <w:r>
        <w:rPr>
          <w:rFonts w:ascii="Times New Roman" w:cs="Times New Roman" w:eastAsia="Times New Roman" w:hAnsi="Times New Roman"/>
          <w:sz w:val="18"/>
          <w:szCs w:val="18"/>
          <w:color w:val="auto"/>
        </w:rPr>
        <w:t>Enter into any agreement or instrument that by its terms restricts the Corporation’s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its obligations under this Certificate of Designation or any of the definitive financing agreements relating to the Class B Preferred.</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1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Customary Provisions. </w:t>
      </w:r>
      <w:r>
        <w:rPr>
          <w:rFonts w:ascii="Times New Roman" w:cs="Times New Roman" w:eastAsia="Times New Roman" w:hAnsi="Times New Roman"/>
          <w:sz w:val="18"/>
          <w:szCs w:val="18"/>
          <w:color w:val="auto"/>
        </w:rPr>
        <w:t>Take any other actions customarily subject to protective provisions in transactions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nature that materially adversely affect the rights or privileges of the Class B Preferred.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Designation of Class B Convertible Preferred Stock to be duly executed by its Chief Executive Officer this 24th day of June, 2025.</w:t>
      </w:r>
    </w:p>
    <w:p>
      <w:pPr>
        <w:spacing w:after="0" w:line="3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CLEARONE, INC.</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Derek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2918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CONVERSION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IN ORDER TO CONVERT SHARES OF 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elects to convert the number of shares of Series B Preferred Stock indicated below into shares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ClearOne,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in accordance with the Note Purchase Agreement. No fee will be charged to the Holders for any conversion, except for any such transfer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calculations:</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to Effect Conversion: _____________________________________________</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of Preferred Stock owned prior to Conversion: _______________</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of Preferred Stock to be Converted: ________________________</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Stated Value of shares of Preferred Stock to be Converted: ____________________</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of Common Stock to be Issued: ___________________________</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Applicable Conversion Price:____________________________________________</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of Preferred Stock subsequent to Conversion: ________________</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Address for Delivery: ______________________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DWAC Instructions: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Broker no: _________</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 no: ___________</w:t>
      </w:r>
    </w:p>
    <w:p>
      <w:pPr>
        <w:spacing w:after="0" w:line="20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By:___________________________________</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240"/>
          </w:cols>
          <w:pgMar w:left="320" w:top="549"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NOTE PURCHASE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FIRST FINANCE LTD.,</w:t>
      </w:r>
    </w:p>
    <w:p>
      <w:pPr>
        <w:spacing w:after="0" w:line="1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Purchaser</w:t>
      </w:r>
    </w:p>
    <w:p>
      <w:pPr>
        <w:spacing w:after="0" w:line="200" w:lineRule="exact"/>
        <w:rPr>
          <w:sz w:val="20"/>
          <w:szCs w:val="20"/>
          <w:color w:val="auto"/>
        </w:rPr>
      </w:pPr>
    </w:p>
    <w:p>
      <w:pPr>
        <w:spacing w:after="0" w:line="25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Dated as of 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855980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ARTICLE 1 DEFINITIONS</w:t>
            </w:r>
          </w:p>
        </w:tc>
        <w:tc>
          <w:tcPr>
            <w:tcW w:w="7160" w:type="dxa"/>
            <w:vAlign w:val="bottom"/>
            <w:gridSpan w:val="25"/>
          </w:tcPr>
          <w:p>
            <w:pPr>
              <w:spacing w:after="0"/>
              <w:rPr>
                <w:sz w:val="17"/>
                <w:szCs w:val="17"/>
                <w:color w:val="auto"/>
              </w:rPr>
            </w:pP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1.1</w:t>
            </w:r>
          </w:p>
        </w:tc>
        <w:tc>
          <w:tcPr>
            <w:tcW w:w="8380" w:type="dxa"/>
            <w:vAlign w:val="bottom"/>
            <w:gridSpan w:val="37"/>
          </w:tcPr>
          <w:p>
            <w:pPr>
              <w:ind w:left="160"/>
              <w:spacing w:after="0" w:line="196" w:lineRule="exact"/>
              <w:rPr>
                <w:sz w:val="20"/>
                <w:szCs w:val="20"/>
                <w:color w:val="auto"/>
              </w:rPr>
            </w:pPr>
            <w:r>
              <w:rPr>
                <w:rFonts w:ascii="Times New Roman" w:cs="Times New Roman" w:eastAsia="Times New Roman" w:hAnsi="Times New Roman"/>
                <w:sz w:val="18"/>
                <w:szCs w:val="18"/>
                <w:color w:val="0000EE"/>
              </w:rPr>
              <w:t>Definitions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1.2</w:t>
            </w:r>
          </w:p>
        </w:tc>
        <w:tc>
          <w:tcPr>
            <w:tcW w:w="8380" w:type="dxa"/>
            <w:vAlign w:val="bottom"/>
            <w:gridSpan w:val="37"/>
          </w:tcPr>
          <w:p>
            <w:pPr>
              <w:ind w:left="140"/>
              <w:spacing w:after="0" w:line="196" w:lineRule="exact"/>
              <w:rPr>
                <w:sz w:val="20"/>
                <w:szCs w:val="20"/>
                <w:color w:val="auto"/>
              </w:rPr>
            </w:pPr>
            <w:r>
              <w:rPr>
                <w:rFonts w:ascii="Times New Roman" w:cs="Times New Roman" w:eastAsia="Times New Roman" w:hAnsi="Times New Roman"/>
                <w:sz w:val="18"/>
                <w:szCs w:val="18"/>
                <w:color w:val="0000EE"/>
              </w:rPr>
              <w:t>Accounting Terms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ARTICLE 2 PURCHASE AND SALE OF THE NOTE</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40" w:type="dxa"/>
            <w:vAlign w:val="bottom"/>
            <w:tcBorders>
              <w:top w:val="single" w:sz="8" w:color="0000EE"/>
            </w:tcBorders>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2.1</w:t>
            </w:r>
          </w:p>
        </w:tc>
        <w:tc>
          <w:tcPr>
            <w:tcW w:w="3160" w:type="dxa"/>
            <w:vAlign w:val="bottom"/>
            <w:tcBorders>
              <w:top w:val="single" w:sz="8" w:color="0000EE"/>
            </w:tcBorders>
            <w:gridSpan w:val="30"/>
          </w:tcPr>
          <w:p>
            <w:pPr>
              <w:ind w:left="160"/>
              <w:spacing w:after="0" w:line="196" w:lineRule="exact"/>
              <w:rPr>
                <w:sz w:val="20"/>
                <w:szCs w:val="20"/>
                <w:color w:val="auto"/>
              </w:rPr>
            </w:pPr>
            <w:r>
              <w:rPr>
                <w:rFonts w:ascii="Times New Roman" w:cs="Times New Roman" w:eastAsia="Times New Roman" w:hAnsi="Times New Roman"/>
                <w:sz w:val="18"/>
                <w:szCs w:val="18"/>
                <w:color w:val="0000EE"/>
              </w:rPr>
              <w:t>Purchase and Sale of the Note</w:t>
            </w:r>
          </w:p>
        </w:tc>
        <w:tc>
          <w:tcPr>
            <w:tcW w:w="5220" w:type="dxa"/>
            <w:vAlign w:val="bottom"/>
            <w:gridSpan w:val="7"/>
          </w:tcPr>
          <w:p>
            <w:pPr>
              <w:spacing w:after="0"/>
              <w:rPr>
                <w:sz w:val="17"/>
                <w:szCs w:val="17"/>
                <w:color w:val="auto"/>
              </w:rPr>
            </w:pP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2.2</w:t>
            </w:r>
          </w:p>
        </w:tc>
        <w:tc>
          <w:tcPr>
            <w:tcW w:w="8380" w:type="dxa"/>
            <w:vAlign w:val="bottom"/>
            <w:gridSpan w:val="37"/>
          </w:tcPr>
          <w:p>
            <w:pPr>
              <w:ind w:left="160"/>
              <w:spacing w:after="0" w:line="196" w:lineRule="exact"/>
              <w:rPr>
                <w:sz w:val="20"/>
                <w:szCs w:val="20"/>
                <w:color w:val="auto"/>
              </w:rPr>
            </w:pPr>
            <w:r>
              <w:rPr>
                <w:rFonts w:ascii="Times New Roman" w:cs="Times New Roman" w:eastAsia="Times New Roman" w:hAnsi="Times New Roman"/>
                <w:sz w:val="18"/>
                <w:szCs w:val="18"/>
                <w:color w:val="0000EE"/>
              </w:rPr>
              <w:t>Closing</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ARTICLE 3 THE NOTE</w:t>
            </w:r>
          </w:p>
        </w:tc>
        <w:tc>
          <w:tcPr>
            <w:tcW w:w="7400" w:type="dxa"/>
            <w:vAlign w:val="bottom"/>
            <w:gridSpan w:val="30"/>
          </w:tcPr>
          <w:p>
            <w:pPr>
              <w:spacing w:after="0"/>
              <w:rPr>
                <w:sz w:val="17"/>
                <w:szCs w:val="17"/>
                <w:color w:val="auto"/>
              </w:rPr>
            </w:pP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3.1</w:t>
            </w:r>
          </w:p>
        </w:tc>
        <w:tc>
          <w:tcPr>
            <w:tcW w:w="8380" w:type="dxa"/>
            <w:vAlign w:val="bottom"/>
            <w:gridSpan w:val="37"/>
          </w:tcPr>
          <w:p>
            <w:pPr>
              <w:ind w:left="160"/>
              <w:spacing w:after="0" w:line="196" w:lineRule="exact"/>
              <w:rPr>
                <w:sz w:val="20"/>
                <w:szCs w:val="20"/>
                <w:color w:val="auto"/>
              </w:rPr>
            </w:pPr>
            <w:r>
              <w:rPr>
                <w:rFonts w:ascii="Times New Roman" w:cs="Times New Roman" w:eastAsia="Times New Roman" w:hAnsi="Times New Roman"/>
                <w:sz w:val="18"/>
                <w:szCs w:val="18"/>
                <w:color w:val="0000EE"/>
              </w:rPr>
              <w:t>Interest and Related Fees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8380" w:type="dxa"/>
            <w:vAlign w:val="bottom"/>
            <w:gridSpan w:val="37"/>
          </w:tcPr>
          <w:p>
            <w:pPr>
              <w:ind w:left="160"/>
              <w:spacing w:after="0" w:line="196" w:lineRule="exact"/>
              <w:rPr>
                <w:sz w:val="20"/>
                <w:szCs w:val="20"/>
                <w:color w:val="auto"/>
              </w:rPr>
            </w:pPr>
            <w:r>
              <w:rPr>
                <w:rFonts w:ascii="Times New Roman" w:cs="Times New Roman" w:eastAsia="Times New Roman" w:hAnsi="Times New Roman"/>
                <w:sz w:val="18"/>
                <w:szCs w:val="18"/>
                <w:color w:val="0000EE"/>
              </w:rPr>
              <w:t>Mandatory Conversion of Note</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ARTICLE 4 CLOSING</w:t>
            </w:r>
          </w:p>
        </w:tc>
        <w:tc>
          <w:tcPr>
            <w:tcW w:w="7500" w:type="dxa"/>
            <w:vAlign w:val="bottom"/>
            <w:gridSpan w:val="32"/>
          </w:tcPr>
          <w:p>
            <w:pPr>
              <w:spacing w:after="0"/>
              <w:rPr>
                <w:sz w:val="17"/>
                <w:szCs w:val="17"/>
                <w:color w:val="auto"/>
              </w:rPr>
            </w:pP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Conditions Precedent to the Closing</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Closing Deliverables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ARTICLE 5 REPRESENTATIONS AND WARRANTIES OF THE BORROWER</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40" w:type="dxa"/>
            <w:vAlign w:val="bottom"/>
            <w:tcBorders>
              <w:top w:val="single" w:sz="8" w:color="0000EE"/>
            </w:tcBorders>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5100" w:type="dxa"/>
            <w:vAlign w:val="bottom"/>
            <w:tcBorders>
              <w:top w:val="single" w:sz="8" w:color="0000EE"/>
            </w:tcBorders>
            <w:gridSpan w:val="35"/>
          </w:tcPr>
          <w:p>
            <w:pPr>
              <w:ind w:left="120"/>
              <w:spacing w:after="0" w:line="196" w:lineRule="exact"/>
              <w:rPr>
                <w:sz w:val="20"/>
                <w:szCs w:val="20"/>
                <w:color w:val="auto"/>
              </w:rPr>
            </w:pPr>
            <w:r>
              <w:rPr>
                <w:rFonts w:ascii="Times New Roman" w:cs="Times New Roman" w:eastAsia="Times New Roman" w:hAnsi="Times New Roman"/>
                <w:sz w:val="18"/>
                <w:szCs w:val="18"/>
                <w:color w:val="0000EE"/>
              </w:rPr>
              <w:t>Existence and Power</w:t>
            </w:r>
          </w:p>
        </w:tc>
        <w:tc>
          <w:tcPr>
            <w:tcW w:w="3280" w:type="dxa"/>
            <w:vAlign w:val="bottom"/>
            <w:gridSpan w:val="2"/>
          </w:tcPr>
          <w:p>
            <w:pPr>
              <w:spacing w:after="0"/>
              <w:rPr>
                <w:sz w:val="17"/>
                <w:szCs w:val="17"/>
                <w:color w:val="auto"/>
              </w:rPr>
            </w:pP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8380" w:type="dxa"/>
            <w:vAlign w:val="bottom"/>
            <w:gridSpan w:val="37"/>
          </w:tcPr>
          <w:p>
            <w:pPr>
              <w:ind w:left="100"/>
              <w:spacing w:after="0" w:line="196" w:lineRule="exact"/>
              <w:rPr>
                <w:sz w:val="20"/>
                <w:szCs w:val="20"/>
                <w:color w:val="auto"/>
              </w:rPr>
            </w:pPr>
            <w:r>
              <w:rPr>
                <w:rFonts w:ascii="Times New Roman" w:cs="Times New Roman" w:eastAsia="Times New Roman" w:hAnsi="Times New Roman"/>
                <w:sz w:val="18"/>
                <w:szCs w:val="18"/>
                <w:color w:val="0000EE"/>
              </w:rPr>
              <w:t>Authorization; No Contravention</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Governmental Authorization; Third Party Consents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Binding Effect</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5</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No Legal Bar</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6</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Litigation</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7</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Compliance with Laws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8</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No Default or Breach</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9</w:t>
            </w:r>
          </w:p>
        </w:tc>
        <w:tc>
          <w:tcPr>
            <w:tcW w:w="8380" w:type="dxa"/>
            <w:vAlign w:val="bottom"/>
            <w:gridSpan w:val="37"/>
          </w:tcPr>
          <w:p>
            <w:pPr>
              <w:ind w:left="100"/>
              <w:spacing w:after="0" w:line="196" w:lineRule="exact"/>
              <w:rPr>
                <w:sz w:val="20"/>
                <w:szCs w:val="20"/>
                <w:color w:val="auto"/>
              </w:rPr>
            </w:pPr>
            <w:r>
              <w:rPr>
                <w:rFonts w:ascii="Times New Roman" w:cs="Times New Roman" w:eastAsia="Times New Roman" w:hAnsi="Times New Roman"/>
                <w:sz w:val="18"/>
                <w:szCs w:val="18"/>
                <w:color w:val="0000EE"/>
              </w:rPr>
              <w:t>Title to Properties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10</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Real Property</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11</w:t>
            </w:r>
          </w:p>
        </w:tc>
        <w:tc>
          <w:tcPr>
            <w:tcW w:w="8380" w:type="dxa"/>
            <w:vAlign w:val="bottom"/>
            <w:gridSpan w:val="37"/>
          </w:tcPr>
          <w:p>
            <w:pPr>
              <w:ind w:left="100"/>
              <w:spacing w:after="0" w:line="196" w:lineRule="exact"/>
              <w:rPr>
                <w:sz w:val="20"/>
                <w:szCs w:val="20"/>
                <w:color w:val="auto"/>
              </w:rPr>
            </w:pPr>
            <w:r>
              <w:rPr>
                <w:rFonts w:ascii="Times New Roman" w:cs="Times New Roman" w:eastAsia="Times New Roman" w:hAnsi="Times New Roman"/>
                <w:sz w:val="18"/>
                <w:szCs w:val="18"/>
                <w:color w:val="0000EE"/>
              </w:rPr>
              <w:t>Taxes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12</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Financial Condition; SEC Filings; Contingent Obligations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13</w:t>
            </w:r>
          </w:p>
        </w:tc>
        <w:tc>
          <w:tcPr>
            <w:tcW w:w="8380" w:type="dxa"/>
            <w:vAlign w:val="bottom"/>
            <w:gridSpan w:val="37"/>
          </w:tcPr>
          <w:p>
            <w:pPr>
              <w:ind w:left="100"/>
              <w:spacing w:after="0" w:line="196" w:lineRule="exact"/>
              <w:rPr>
                <w:sz w:val="20"/>
                <w:szCs w:val="20"/>
                <w:color w:val="auto"/>
              </w:rPr>
            </w:pPr>
            <w:r>
              <w:rPr>
                <w:rFonts w:ascii="Times New Roman" w:cs="Times New Roman" w:eastAsia="Times New Roman" w:hAnsi="Times New Roman"/>
                <w:sz w:val="18"/>
                <w:szCs w:val="18"/>
                <w:color w:val="0000EE"/>
              </w:rPr>
              <w:t>Absence of Certain Changes or Events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14</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Environmental Matters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15</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Investment Company/Government Regulations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16</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Subsidiaries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17</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18</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Solvency</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19</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Licenses and Approvals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20</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Change of Control and Similar Payments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21</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OFAC; Anti-Terrorism; Patriot Act</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22</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Internal Controls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23</w:t>
            </w:r>
          </w:p>
        </w:tc>
        <w:tc>
          <w:tcPr>
            <w:tcW w:w="8380" w:type="dxa"/>
            <w:vAlign w:val="bottom"/>
            <w:gridSpan w:val="37"/>
          </w:tcPr>
          <w:p>
            <w:pPr>
              <w:ind w:left="100"/>
              <w:spacing w:after="0" w:line="196" w:lineRule="exact"/>
              <w:rPr>
                <w:sz w:val="20"/>
                <w:szCs w:val="20"/>
                <w:color w:val="auto"/>
              </w:rPr>
            </w:pPr>
            <w:r>
              <w:rPr>
                <w:rFonts w:ascii="Times New Roman" w:cs="Times New Roman" w:eastAsia="Times New Roman" w:hAnsi="Times New Roman"/>
                <w:sz w:val="18"/>
                <w:szCs w:val="18"/>
                <w:color w:val="0000EE"/>
              </w:rPr>
              <w:t>Accounts and Notes Receivable; Accounts and Notes Payable</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24</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Inventory</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25</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Issuance of the Note, the Underlying Preferred Shares and the Underlying Common Shares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27</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Labor Relations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28</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Intellectual Property</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29</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Insurance</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30</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Certain Fees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9"/>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31</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Private Placement</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gridSpan w:val="1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32</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Listing and Maintenance Requirements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60" w:type="dxa"/>
            <w:vAlign w:val="bottom"/>
            <w:gridSpan w:val="18"/>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33</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No Integrated Offering</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60" w:type="dxa"/>
            <w:vAlign w:val="bottom"/>
            <w:gridSpan w:val="18"/>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300" w:type="dxa"/>
            <w:vAlign w:val="bottom"/>
            <w:gridSpan w:val="1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34</w:t>
            </w:r>
          </w:p>
        </w:tc>
        <w:tc>
          <w:tcPr>
            <w:tcW w:w="838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18"/>
                <w:szCs w:val="18"/>
                <w:color w:val="0000EE"/>
              </w:rPr>
              <w:t>No Disqualification Events</w:t>
            </w:r>
          </w:p>
        </w:tc>
        <w:tc>
          <w:tcPr>
            <w:tcW w:w="20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338"/>
        </w:trPr>
        <w:tc>
          <w:tcPr>
            <w:tcW w:w="420" w:type="dxa"/>
            <w:vAlign w:val="bottom"/>
            <w:tcBorders>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84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ARTICLE 6 REPRESENTATIONS AND WARRANTIES OF THE PURCHASER</w:t>
            </w:r>
          </w:p>
        </w:tc>
        <w:tc>
          <w:tcPr>
            <w:tcW w:w="2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r>
      <w:tr>
        <w:trPr>
          <w:trHeight w:val="196"/>
        </w:trPr>
        <w:tc>
          <w:tcPr>
            <w:tcW w:w="840" w:type="dxa"/>
            <w:vAlign w:val="bottom"/>
            <w:tcBorders>
              <w:top w:val="single" w:sz="8" w:color="0000EE"/>
            </w:tcBorders>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40" w:type="dxa"/>
            <w:vAlign w:val="bottom"/>
            <w:tcBorders>
              <w:top w:val="single" w:sz="8" w:color="0000EE"/>
            </w:tcBorders>
          </w:tcPr>
          <w:p>
            <w:pPr>
              <w:spacing w:after="0"/>
              <w:rPr>
                <w:sz w:val="17"/>
                <w:szCs w:val="17"/>
                <w:color w:val="auto"/>
              </w:rPr>
            </w:pPr>
          </w:p>
        </w:tc>
        <w:tc>
          <w:tcPr>
            <w:tcW w:w="5100" w:type="dxa"/>
            <w:vAlign w:val="bottom"/>
            <w:tcBorders>
              <w:top w:val="single" w:sz="8" w:color="0000EE"/>
            </w:tcBorders>
            <w:gridSpan w:val="25"/>
          </w:tcPr>
          <w:p>
            <w:pPr>
              <w:ind w:left="60"/>
              <w:spacing w:after="0" w:line="196" w:lineRule="exact"/>
              <w:rPr>
                <w:sz w:val="20"/>
                <w:szCs w:val="20"/>
                <w:color w:val="auto"/>
              </w:rPr>
            </w:pPr>
            <w:r>
              <w:rPr>
                <w:rFonts w:ascii="Times New Roman" w:cs="Times New Roman" w:eastAsia="Times New Roman" w:hAnsi="Times New Roman"/>
                <w:sz w:val="18"/>
                <w:szCs w:val="18"/>
                <w:color w:val="0000EE"/>
              </w:rPr>
              <w:t>Authorization; No Contravention</w:t>
            </w:r>
          </w:p>
        </w:tc>
        <w:tc>
          <w:tcPr>
            <w:tcW w:w="2480" w:type="dxa"/>
            <w:vAlign w:val="bottom"/>
          </w:tcPr>
          <w:p>
            <w:pPr>
              <w:spacing w:after="0"/>
              <w:rPr>
                <w:sz w:val="17"/>
                <w:szCs w:val="17"/>
                <w:color w:val="auto"/>
              </w:rPr>
            </w:pP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2</w:t>
            </w:r>
          </w:p>
        </w:tc>
        <w:tc>
          <w:tcPr>
            <w:tcW w:w="40" w:type="dxa"/>
            <w:vAlign w:val="bottom"/>
          </w:tcPr>
          <w:p>
            <w:pPr>
              <w:spacing w:after="0"/>
              <w:rPr>
                <w:sz w:val="17"/>
                <w:szCs w:val="17"/>
                <w:color w:val="auto"/>
              </w:rPr>
            </w:pP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Binding Effect</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3</w:t>
            </w:r>
          </w:p>
        </w:tc>
        <w:tc>
          <w:tcPr>
            <w:tcW w:w="40" w:type="dxa"/>
            <w:vAlign w:val="bottom"/>
          </w:tcPr>
          <w:p>
            <w:pPr>
              <w:spacing w:after="0"/>
              <w:rPr>
                <w:sz w:val="17"/>
                <w:szCs w:val="17"/>
                <w:color w:val="auto"/>
              </w:rPr>
            </w:pP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No Legal Bar</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4</w:t>
            </w:r>
          </w:p>
        </w:tc>
        <w:tc>
          <w:tcPr>
            <w:tcW w:w="40" w:type="dxa"/>
            <w:vAlign w:val="bottom"/>
          </w:tcPr>
          <w:p>
            <w:pPr>
              <w:spacing w:after="0"/>
              <w:rPr>
                <w:sz w:val="17"/>
                <w:szCs w:val="17"/>
                <w:color w:val="auto"/>
              </w:rPr>
            </w:pP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Securities Laws.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50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ARTICLE 7 AFFIRMATIVE COVENANTS OF THE PURCHASER</w:t>
            </w:r>
          </w:p>
        </w:tc>
        <w:tc>
          <w:tcPr>
            <w:tcW w:w="3420" w:type="dxa"/>
            <w:vAlign w:val="bottom"/>
            <w:gridSpan w:val="3"/>
          </w:tcPr>
          <w:p>
            <w:pPr>
              <w:spacing w:after="0"/>
              <w:rPr>
                <w:sz w:val="17"/>
                <w:szCs w:val="17"/>
                <w:color w:val="auto"/>
              </w:rPr>
            </w:pP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7620" w:type="dxa"/>
            <w:vAlign w:val="bottom"/>
            <w:gridSpan w:val="27"/>
          </w:tcPr>
          <w:p>
            <w:pPr>
              <w:ind w:left="100"/>
              <w:spacing w:after="0" w:line="196" w:lineRule="exact"/>
              <w:rPr>
                <w:sz w:val="20"/>
                <w:szCs w:val="20"/>
                <w:color w:val="auto"/>
              </w:rPr>
            </w:pPr>
            <w:r>
              <w:rPr>
                <w:rFonts w:ascii="Times New Roman" w:cs="Times New Roman" w:eastAsia="Times New Roman" w:hAnsi="Times New Roman"/>
                <w:sz w:val="18"/>
                <w:szCs w:val="18"/>
                <w:color w:val="0000EE"/>
              </w:rPr>
              <w:t>Approval of Actions Taken in Connection With This Agreement</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2</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Asset Sale</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4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50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ARTICLE 8 AFFIRMATIVE COVENANTS OF THE BORROWER</w:t>
            </w:r>
          </w:p>
        </w:tc>
        <w:tc>
          <w:tcPr>
            <w:tcW w:w="3460" w:type="dxa"/>
            <w:vAlign w:val="bottom"/>
            <w:gridSpan w:val="4"/>
          </w:tcPr>
          <w:p>
            <w:pPr>
              <w:spacing w:after="0"/>
              <w:rPr>
                <w:sz w:val="17"/>
                <w:szCs w:val="17"/>
                <w:color w:val="auto"/>
              </w:rPr>
            </w:pP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7"/>
                <w:szCs w:val="17"/>
                <w:color w:val="auto"/>
              </w:rPr>
            </w:pP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Creation of Preferred Stock</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2</w:t>
            </w:r>
          </w:p>
        </w:tc>
        <w:tc>
          <w:tcPr>
            <w:tcW w:w="40" w:type="dxa"/>
            <w:vAlign w:val="bottom"/>
          </w:tcPr>
          <w:p>
            <w:pPr>
              <w:spacing w:after="0"/>
              <w:rPr>
                <w:sz w:val="17"/>
                <w:szCs w:val="17"/>
                <w:color w:val="auto"/>
              </w:rPr>
            </w:pP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Board Rights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3</w:t>
            </w:r>
          </w:p>
        </w:tc>
        <w:tc>
          <w:tcPr>
            <w:tcW w:w="40" w:type="dxa"/>
            <w:vAlign w:val="bottom"/>
          </w:tcPr>
          <w:p>
            <w:pPr>
              <w:spacing w:after="0"/>
              <w:rPr>
                <w:sz w:val="17"/>
                <w:szCs w:val="17"/>
                <w:color w:val="auto"/>
              </w:rPr>
            </w:pP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Management Meetings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4</w:t>
            </w:r>
          </w:p>
        </w:tc>
        <w:tc>
          <w:tcPr>
            <w:tcW w:w="7620" w:type="dxa"/>
            <w:vAlign w:val="bottom"/>
            <w:gridSpan w:val="27"/>
          </w:tcPr>
          <w:p>
            <w:pPr>
              <w:ind w:left="100"/>
              <w:spacing w:after="0" w:line="196" w:lineRule="exact"/>
              <w:rPr>
                <w:sz w:val="20"/>
                <w:szCs w:val="20"/>
                <w:color w:val="auto"/>
              </w:rPr>
            </w:pPr>
            <w:r>
              <w:rPr>
                <w:rFonts w:ascii="Times New Roman" w:cs="Times New Roman" w:eastAsia="Times New Roman" w:hAnsi="Times New Roman"/>
                <w:sz w:val="18"/>
                <w:szCs w:val="18"/>
                <w:color w:val="0000EE"/>
              </w:rPr>
              <w:t>The Delivery of Financial and Other Information</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20" w:type="dxa"/>
            <w:vAlign w:val="bottom"/>
            <w:tcBorders>
              <w:left w:val="single" w:sz="8" w:color="0000EE"/>
            </w:tcBorders>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5</w:t>
            </w:r>
          </w:p>
        </w:tc>
        <w:tc>
          <w:tcPr>
            <w:tcW w:w="40" w:type="dxa"/>
            <w:vAlign w:val="bottom"/>
          </w:tcPr>
          <w:p>
            <w:pPr>
              <w:spacing w:after="0"/>
              <w:rPr>
                <w:sz w:val="17"/>
                <w:szCs w:val="17"/>
                <w:color w:val="auto"/>
              </w:rPr>
            </w:pP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Use of Note Proceeds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6</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Access to Facilities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7</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Warrant Exchange</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8</w:t>
            </w:r>
          </w:p>
        </w:tc>
        <w:tc>
          <w:tcPr>
            <w:tcW w:w="40" w:type="dxa"/>
            <w:vAlign w:val="bottom"/>
          </w:tcPr>
          <w:p>
            <w:pPr>
              <w:spacing w:after="0"/>
              <w:rPr>
                <w:sz w:val="17"/>
                <w:szCs w:val="17"/>
                <w:color w:val="auto"/>
              </w:rPr>
            </w:pP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Right of First Refusal</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9</w:t>
            </w:r>
          </w:p>
        </w:tc>
        <w:tc>
          <w:tcPr>
            <w:tcW w:w="40" w:type="dxa"/>
            <w:vAlign w:val="bottom"/>
          </w:tcPr>
          <w:p>
            <w:pPr>
              <w:spacing w:after="0"/>
              <w:rPr>
                <w:sz w:val="17"/>
                <w:szCs w:val="17"/>
                <w:color w:val="auto"/>
              </w:rPr>
            </w:pP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No Other Offerings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8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10</w:t>
            </w: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Additional Financing</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11</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Taxes and Claims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8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12</w:t>
            </w: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Insurance</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8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13</w:t>
            </w: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Compliance with Laws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8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14</w:t>
            </w: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Further Assurances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8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15</w:t>
            </w: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Replacement of Note</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8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16</w:t>
            </w: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Form D; Blue Sky Filings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ARTICLE 9 NEGATIVE COVENANTS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7"/>
                <w:szCs w:val="17"/>
                <w:color w:val="auto"/>
              </w:rPr>
            </w:pP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Consent of Class B Preferred Stock</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4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ARTICLE 10 EVENTS OF DEFAULT</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80" w:type="dxa"/>
            <w:vAlign w:val="bottom"/>
            <w:tcBorders>
              <w:top w:val="single" w:sz="8" w:color="0000EE"/>
            </w:tcBorders>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940" w:type="dxa"/>
            <w:vAlign w:val="bottom"/>
            <w:tcBorders>
              <w:top w:val="single" w:sz="8" w:color="0000EE"/>
            </w:tcBorders>
            <w:gridSpan w:val="15"/>
          </w:tcPr>
          <w:p>
            <w:pPr>
              <w:ind w:left="80"/>
              <w:spacing w:after="0" w:line="196" w:lineRule="exact"/>
              <w:rPr>
                <w:sz w:val="20"/>
                <w:szCs w:val="20"/>
                <w:color w:val="auto"/>
              </w:rPr>
            </w:pPr>
            <w:r>
              <w:rPr>
                <w:rFonts w:ascii="Times New Roman" w:cs="Times New Roman" w:eastAsia="Times New Roman" w:hAnsi="Times New Roman"/>
                <w:sz w:val="18"/>
                <w:szCs w:val="18"/>
                <w:color w:val="0000EE"/>
              </w:rPr>
              <w:t>Events of Default</w:t>
            </w:r>
          </w:p>
        </w:tc>
        <w:tc>
          <w:tcPr>
            <w:tcW w:w="5640" w:type="dxa"/>
            <w:vAlign w:val="bottom"/>
            <w:gridSpan w:val="11"/>
          </w:tcPr>
          <w:p>
            <w:pPr>
              <w:spacing w:after="0"/>
              <w:rPr>
                <w:sz w:val="17"/>
                <w:szCs w:val="17"/>
                <w:color w:val="auto"/>
              </w:rPr>
            </w:pP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8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758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0000EE"/>
              </w:rPr>
              <w:t>Recourse</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5"/>
              </w:rPr>
              <w:t>ARTICLE 11 MISCELLANEOUS</w:t>
            </w:r>
          </w:p>
        </w:tc>
        <w:tc>
          <w:tcPr>
            <w:tcW w:w="6000" w:type="dxa"/>
            <w:vAlign w:val="bottom"/>
            <w:gridSpan w:val="16"/>
          </w:tcPr>
          <w:p>
            <w:pPr>
              <w:spacing w:after="0"/>
              <w:rPr>
                <w:sz w:val="17"/>
                <w:szCs w:val="17"/>
                <w:color w:val="auto"/>
              </w:rPr>
            </w:pP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420" w:type="dxa"/>
            <w:vAlign w:val="bottom"/>
          </w:tcPr>
          <w:p>
            <w:pPr>
              <w:spacing w:after="0"/>
              <w:rPr>
                <w:sz w:val="17"/>
                <w:szCs w:val="17"/>
                <w:color w:val="auto"/>
              </w:rPr>
            </w:pPr>
          </w:p>
        </w:tc>
        <w:tc>
          <w:tcPr>
            <w:tcW w:w="80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Survival of Representations and Warranties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2</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Notices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3</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Successors and Assigns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4</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Amendment and Waiver</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5</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Signatures; Counterparts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6</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Headings</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7</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GOVERNING LAW</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4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0000EE"/>
              </w:rPr>
              <w:t xml:space="preserve">   JURISDICTION, JURY TRIAL WAIVER, ETC</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4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9</w:t>
            </w:r>
          </w:p>
        </w:tc>
        <w:tc>
          <w:tcPr>
            <w:tcW w:w="40" w:type="dxa"/>
            <w:vAlign w:val="bottom"/>
          </w:tcPr>
          <w:p>
            <w:pPr>
              <w:spacing w:after="0"/>
              <w:rPr>
                <w:sz w:val="17"/>
                <w:szCs w:val="17"/>
                <w:color w:val="auto"/>
              </w:rPr>
            </w:pP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Severability</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4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720" w:type="dxa"/>
            <w:vAlign w:val="bottom"/>
            <w:gridSpan w:val="1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0000EE"/>
              </w:rPr>
              <w:t xml:space="preserve">  Rules of Construction</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4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720" w:type="dxa"/>
            <w:vAlign w:val="bottom"/>
            <w:gridSpan w:val="1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8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11</w:t>
            </w:r>
          </w:p>
        </w:tc>
        <w:tc>
          <w:tcPr>
            <w:tcW w:w="7580" w:type="dxa"/>
            <w:vAlign w:val="bottom"/>
            <w:gridSpan w:val="26"/>
          </w:tcPr>
          <w:p>
            <w:pPr>
              <w:ind w:left="60"/>
              <w:spacing w:after="0" w:line="196" w:lineRule="exact"/>
              <w:rPr>
                <w:sz w:val="20"/>
                <w:szCs w:val="20"/>
                <w:color w:val="auto"/>
              </w:rPr>
            </w:pPr>
            <w:r>
              <w:rPr>
                <w:rFonts w:ascii="Times New Roman" w:cs="Times New Roman" w:eastAsia="Times New Roman" w:hAnsi="Times New Roman"/>
                <w:sz w:val="18"/>
                <w:szCs w:val="18"/>
                <w:color w:val="0000EE"/>
              </w:rPr>
              <w:t>Entire Agreement</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4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0000EE"/>
              </w:rPr>
              <w:t xml:space="preserve">  Indemnification</w:t>
            </w:r>
          </w:p>
        </w:tc>
        <w:tc>
          <w:tcPr>
            <w:tcW w:w="80" w:type="dxa"/>
            <w:vAlign w:val="bottom"/>
            <w:tcBorders>
              <w:top w:val="single" w:sz="8" w:color="0000EE"/>
            </w:tcBorders>
          </w:tcPr>
          <w:p>
            <w:pPr>
              <w:spacing w:after="0"/>
              <w:rPr>
                <w:sz w:val="17"/>
                <w:szCs w:val="17"/>
                <w:color w:val="auto"/>
              </w:rPr>
            </w:pPr>
          </w:p>
        </w:tc>
        <w:tc>
          <w:tcPr>
            <w:tcW w:w="6240" w:type="dxa"/>
            <w:vAlign w:val="bottom"/>
            <w:gridSpan w:val="18"/>
          </w:tcPr>
          <w:p>
            <w:pPr>
              <w:spacing w:after="0"/>
              <w:rPr>
                <w:sz w:val="17"/>
                <w:szCs w:val="17"/>
                <w:color w:val="auto"/>
              </w:rPr>
            </w:pP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420" w:type="dxa"/>
            <w:vAlign w:val="bottom"/>
          </w:tcPr>
          <w:p>
            <w:pPr>
              <w:spacing w:after="0"/>
              <w:rPr>
                <w:sz w:val="17"/>
                <w:szCs w:val="17"/>
                <w:color w:val="auto"/>
              </w:rPr>
            </w:pPr>
          </w:p>
        </w:tc>
        <w:tc>
          <w:tcPr>
            <w:tcW w:w="2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0000EE"/>
              </w:rPr>
              <w:t xml:space="preserve">  No Strict Construction</w:t>
            </w:r>
          </w:p>
        </w:tc>
        <w:tc>
          <w:tcPr>
            <w:tcW w:w="5860" w:type="dxa"/>
            <w:vAlign w:val="bottom"/>
            <w:gridSpan w:val="15"/>
          </w:tcPr>
          <w:p>
            <w:pPr>
              <w:spacing w:after="0"/>
              <w:rPr>
                <w:sz w:val="17"/>
                <w:szCs w:val="17"/>
                <w:color w:val="auto"/>
              </w:rPr>
            </w:pP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420" w:type="dxa"/>
            <w:vAlign w:val="bottom"/>
          </w:tcPr>
          <w:p>
            <w:pPr>
              <w:spacing w:after="0"/>
              <w:rPr>
                <w:sz w:val="17"/>
                <w:szCs w:val="17"/>
                <w:color w:val="auto"/>
              </w:rPr>
            </w:pPr>
          </w:p>
        </w:tc>
        <w:tc>
          <w:tcPr>
            <w:tcW w:w="12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11.</w:t>
            </w:r>
            <w:r>
              <w:rPr>
                <w:rFonts w:ascii="Times New Roman" w:cs="Times New Roman" w:eastAsia="Times New Roman" w:hAnsi="Times New Roman"/>
                <w:sz w:val="18"/>
                <w:szCs w:val="18"/>
                <w:u w:val="single" w:color="auto"/>
                <w:color w:val="0000EE"/>
                <w:w w:val="96"/>
              </w:rPr>
              <w:t>14</w:t>
            </w:r>
            <w:r>
              <w:rPr>
                <w:rFonts w:ascii="Times New Roman" w:cs="Times New Roman" w:eastAsia="Times New Roman" w:hAnsi="Times New Roman"/>
                <w:sz w:val="18"/>
                <w:szCs w:val="18"/>
                <w:color w:val="0000EE"/>
                <w:w w:val="96"/>
              </w:rPr>
              <w:t xml:space="preserve">  Remedies</w:t>
            </w:r>
          </w:p>
        </w:tc>
        <w:tc>
          <w:tcPr>
            <w:tcW w:w="6840" w:type="dxa"/>
            <w:vAlign w:val="bottom"/>
            <w:gridSpan w:val="24"/>
          </w:tcPr>
          <w:p>
            <w:pPr>
              <w:spacing w:after="0"/>
              <w:rPr>
                <w:sz w:val="17"/>
                <w:szCs w:val="17"/>
                <w:color w:val="auto"/>
              </w:rPr>
            </w:pP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420" w:type="dxa"/>
            <w:vAlign w:val="bottom"/>
          </w:tcPr>
          <w:p>
            <w:pPr>
              <w:spacing w:after="0"/>
              <w:rPr>
                <w:sz w:val="17"/>
                <w:szCs w:val="17"/>
                <w:color w:val="auto"/>
              </w:rPr>
            </w:pPr>
          </w:p>
        </w:tc>
        <w:tc>
          <w:tcPr>
            <w:tcW w:w="80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0000EE"/>
              </w:rPr>
              <w:t xml:space="preserve">  Confidential Information</w:t>
            </w:r>
          </w:p>
        </w:tc>
        <w:tc>
          <w:tcPr>
            <w:tcW w:w="27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554"/>
        </w:trPr>
        <w:tc>
          <w:tcPr>
            <w:tcW w:w="420" w:type="dxa"/>
            <w:vAlign w:val="bottom"/>
            <w:tcBorders>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100" w:type="dxa"/>
            <w:vAlign w:val="bottom"/>
          </w:tcPr>
          <w:p>
            <w:pPr>
              <w:spacing w:after="0"/>
              <w:rPr>
                <w:sz w:val="20"/>
                <w:szCs w:val="20"/>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Certificate of Designation for Class A Preferred Stock</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Certificate of Designation for Class B Preferred Stock</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Opinion of Counsel to Borrower</w:t>
            </w:r>
          </w:p>
        </w:tc>
      </w:tr>
      <w:tr>
        <w:trPr>
          <w:trHeight w:val="520"/>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NOTE PURCHASE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NOTE PURCHASE AGREEMENT, dated as of June 20, 2025 (as amended, restated, supplemented or otherwise modified from time to time in accordance with the terms hereof,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CLEARONE,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FIRST FINANCE LTD.</w:t>
      </w:r>
      <w:r>
        <w:rPr>
          <w:rFonts w:ascii="Times New Roman" w:cs="Times New Roman" w:eastAsia="Times New Roman" w:hAnsi="Times New Roman"/>
          <w:sz w:val="18"/>
          <w:szCs w:val="18"/>
          <w:color w:val="auto"/>
        </w:rPr>
        <w:t>, a California corporation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together with the Borrower,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PURPOSE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wishes to issue and sell to the Purchaser, and the Purchaser wishes to purchase, on the terms and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conditions set forth herein, a convertible note to be issued by the Borrower on the Closing Date in an aggregate original principal amount of $3,000,000.00, substantially in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(as amended, restated, supplemented or otherwise modified from time to time in accordance with the terms hereof,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adequacy of which is hereby acknowledged, the parties hereto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this Agreement, and unless the context requires a different meaning, the following terms have the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has the meaning given to that term in the Uniform Commercial Code.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of any Person means any other Person directly or indirectly controlling, controlled by or under common control with such Person. A Person shall be deemed to control another Person if the controlling Person owns 10% or more of any class of voting securities (or other ownership interests) of the controlled Person or possesses, directly or indirectly, the power to direct or cause the direction of the management or policies of the controlled Person, whether through ownership of Capital Stock,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Purchaser, or any Affiliates of Purchaser, on the one hand, and the Borrower and any of its Subsidiaries, on the other hand, be deemed to be “Affiliates” of one another.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given to that term in the introductory paragraph.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laws, rules and regulations applicable to the Person, conduct, transaction, covenant, document or contract in question, including all applicable common law and equitable principles, all provisions of all applicable state, federal and foreign constitutions, statutes, rules, regulations, treaties, directives and orders of any Governmental Authority, and all orders, judgments and decrees of all courts and arbitrators.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means ten percent (10%) per annum.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given to that term in the introductory paragraph.</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or Utah are authorized or required by law or executive order to close.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of a Person means any lease of Property by such Person as lessee which would be classified as a capital lease on a balance sheet of such Person prepared in accordance with GAAP.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of any Person means all obligations (including sales tax obligations) of such Person under Capital Leases.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xml:space="preserve">” means (a) any capital stock, partnership, membership, limited liability company, joint venture or other ownership or equity interest or other equivalent, participation or securities (whether voting or non-voting, whether preferred, common or otherwise, whether certificated or uncertificated, and however designated), and (b) any option, warrant, security, appreciation right, profits interests or other right (including Indebtedness securities or other evidence of Indebtedness) directly or indirectly convertible into or exercisable or exchangeable for, or otherwise to acquire directly or indirectly, any capital stock, partnership, membership, limited liability company, joint venture or other ownership or equity interest, participation or security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means, with respect to any property, any of the following: (a) any casualty, loss, destruction, damage or taking of such property (or any part thereof), (b) any condemnation, loss of title, seizure, or taking, by exercise of the power of eminent domain or other similar proceeding, of such property (or any part thereof), or confiscation of such property (or any part thereof) or the requisition of the use of such property by any Governmental Authority, or (c) any event that results in the receipt of business interruption insurance.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means the Comprehensive Environmental Response, Compensation and Liability Act of 1980,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means the articles or certificate of incorporation or formation (as applicable), the bylaws or operating or limited liability company agreement (as applicable), and other similar organizational and governing documents of any Person, as amended, restated, supplemented or otherwise modified from time to time.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Certificate of Designation</w:t>
      </w:r>
      <w:r>
        <w:rPr>
          <w:rFonts w:ascii="Times New Roman" w:cs="Times New Roman" w:eastAsia="Times New Roman" w:hAnsi="Times New Roman"/>
          <w:sz w:val="18"/>
          <w:szCs w:val="18"/>
          <w:color w:val="auto"/>
        </w:rPr>
        <w:t>” means the Certificate of Designation for the Class A Preferred Stock of the Borrower in the form attached as Exhibit B 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Certificate of Designation</w:t>
      </w:r>
      <w:r>
        <w:rPr>
          <w:rFonts w:ascii="Times New Roman" w:cs="Times New Roman" w:eastAsia="Times New Roman" w:hAnsi="Times New Roman"/>
          <w:sz w:val="18"/>
          <w:szCs w:val="18"/>
          <w:color w:val="auto"/>
        </w:rPr>
        <w:t xml:space="preserve">” means the Certificate of Designation for the Class B Preferred Stock of the Borrower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$0.001 per share, of the Borrower.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Borrower which would entitle the holder thereof to acquire at any time Common Stock, including whether or not presently convertible, exchangeable or exercisable, any debt, preferred stock, right, option, warrant or other instrument that is at any time convertible into or exercisable or exchangeable for, or otherwise entitles the holder thereof to purchase, subscribe or otherwise receive, Common Stock.</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Obligations</w:t>
      </w:r>
      <w:r>
        <w:rPr>
          <w:rFonts w:ascii="Times New Roman" w:cs="Times New Roman" w:eastAsia="Times New Roman" w:hAnsi="Times New Roman"/>
          <w:sz w:val="18"/>
          <w:szCs w:val="18"/>
          <w:color w:val="auto"/>
        </w:rPr>
        <w:t>” means as to any Person, any provision of any security issued by such Person or of any agreement, undertaking, contract, indenture, mortgage, deed of trust or other instrument or arrangement (whether in writing or otherwise) to which such Person is a party or by which it or any of such Person’s property is bound.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means the first Business Day following the date that the Class A Preferred Stock has been issued as a dividend to holders of Common Stock and holders of Common Stock Equivalents entitled to any dividends paid in respect of the Common Stock, if any, of the Borrower.</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CWA</w:t>
      </w:r>
      <w:r>
        <w:rPr>
          <w:rFonts w:ascii="Times New Roman" w:cs="Times New Roman" w:eastAsia="Times New Roman" w:hAnsi="Times New Roman"/>
          <w:sz w:val="18"/>
          <w:szCs w:val="18"/>
          <w:color w:val="auto"/>
        </w:rPr>
        <w:t>” has the meaning set forth in the definition of “Environmental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which upon notice, lapse of time or both would, unless cured or waived, become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Schedules</w:t>
      </w:r>
      <w:r>
        <w:rPr>
          <w:rFonts w:ascii="Times New Roman" w:cs="Times New Roman" w:eastAsia="Times New Roman" w:hAnsi="Times New Roman"/>
          <w:sz w:val="18"/>
          <w:szCs w:val="18"/>
          <w:color w:val="auto"/>
        </w:rPr>
        <w:t>” means the Disclosure Schedules of the Borrower delivered concurrently herewith.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federal, state, local and foreign statutes, laws, judicial decisions, regulations, ordinances, rules, judgments, orders, decrees, plans, injunctions, Licenses, concessions, grants, franchises, agreements and other governmental restrictions relating to (a) the protection of the environment, (b) the effect of the environment on human health, (c) emissions, discharges or releases of pollutants, contaminants, hazardous substances or wastes into surface water, ground water, air or land, or (d) the manufacture, processing, distribution, use, treatment, storage, disposal, transport or handling of pollutants, contaminants, hazardous substances or wastes or the clean-up or other remediation thereof, including, without limitation, the Clean Air Act, 42 U.S.C. § 7401 et seq., the Clean Water Act, 33 U.S.C. § 1251 et seq. (“</w:t>
      </w:r>
      <w:r>
        <w:rPr>
          <w:rFonts w:ascii="Times New Roman" w:cs="Times New Roman" w:eastAsia="Times New Roman" w:hAnsi="Times New Roman"/>
          <w:sz w:val="18"/>
          <w:szCs w:val="18"/>
          <w:b w:val="1"/>
          <w:bCs w:val="1"/>
          <w:color w:val="auto"/>
        </w:rPr>
        <w:t>CWA</w:t>
      </w:r>
      <w:r>
        <w:rPr>
          <w:rFonts w:ascii="Times New Roman" w:cs="Times New Roman" w:eastAsia="Times New Roman" w:hAnsi="Times New Roman"/>
          <w:sz w:val="18"/>
          <w:szCs w:val="18"/>
          <w:color w:val="auto"/>
        </w:rPr>
        <w:t>”), the Solid Waste Disposal Act (as amended by the Resource Conservation and Recovery Act), 42 U.S.C. § 6901 et seq. (“</w:t>
      </w:r>
      <w:r>
        <w:rPr>
          <w:rFonts w:ascii="Times New Roman" w:cs="Times New Roman" w:eastAsia="Times New Roman" w:hAnsi="Times New Roman"/>
          <w:sz w:val="18"/>
          <w:szCs w:val="18"/>
          <w:b w:val="1"/>
          <w:bCs w:val="1"/>
          <w:color w:val="auto"/>
        </w:rPr>
        <w:t>RCRA</w:t>
      </w:r>
      <w:r>
        <w:rPr>
          <w:rFonts w:ascii="Times New Roman" w:cs="Times New Roman" w:eastAsia="Times New Roman" w:hAnsi="Times New Roman"/>
          <w:sz w:val="18"/>
          <w:szCs w:val="18"/>
          <w:color w:val="auto"/>
        </w:rPr>
        <w:t>”), and CERCLA.</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“Equity Line of Credit” </w:t>
      </w:r>
      <w:r>
        <w:rPr>
          <w:rFonts w:ascii="Times New Roman" w:cs="Times New Roman" w:eastAsia="Times New Roman" w:hAnsi="Times New Roman"/>
          <w:sz w:val="18"/>
          <w:szCs w:val="18"/>
          <w:color w:val="auto"/>
        </w:rPr>
        <w:t>means any transaction involving a Contractual Obligation of any Person with a counterparty whereby such Person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option to Sell its Securities to such counterparty over an agreed period of time and at future determined price or price formula, other than customary “preemptive” or “participation” rights or “weighted average” or “full-ratchet” anti-dilution provisions and other than in connection with fixed-price rights public offerings.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the Borrower and its Subsidiaries, ending on March 31, June 30, September 30, and December 31 of each year.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a fiscal year of the Borrower and its Subsidiaries, ending on December 31 of each year.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effect within the United States from time to time, consistently applied. If there are any changes to GAAP during the term of this Agreement, the parties shall continue to determine compliance with the financial covenants, and make all other financial determinations hereunder, without giving effect to any such changes until such time that the parties hereto can agree to amend the financial covenants and other provisions requiring financial determinations hereunder to take into account the effect of such changes to GAAP in a mutually acceptable manner.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any nation, state, city, locality or other political subdivision of any thereof, any entity exercising executive, legislative, judicial, regulatory or administrative functions of or pertaining to government, regulation or compliance, including, without limitation, any federal, state or local public utility commission, and any corporation or other entity owned or controlled, through stock or capital ownership or otherwise, by any of the foregoing.</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 any “hazardous substance”, as defined by CERCLA, (b) any “hazardous waste”, as defined by RCRA, (c) any petroleum product, (d) any “pollutant,” as defined by the CWA, or (e) any contaminant or hazardous, dangerous or toxic chemical, material or substance within the meaning of any other Environmental Law.</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Agreement</w:t>
      </w:r>
      <w:r>
        <w:rPr>
          <w:rFonts w:ascii="Times New Roman" w:cs="Times New Roman" w:eastAsia="Times New Roman" w:hAnsi="Times New Roman"/>
          <w:sz w:val="18"/>
          <w:szCs w:val="18"/>
          <w:color w:val="auto"/>
        </w:rPr>
        <w:t>” means any rate protection agreement, foreign currency exchange agreement, commodity price protection agreement or other interest or currency exchange rate or commodity price hedging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each Purchaser, and each Purchaser’s successors, assigns, and other transferees of a Note permitted hereunder.</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 such Person’s (a) obligations for borrowed money, (b) obligations representing the deferred purchase price of Property or services (other than accounts payable arising in the ordinary course of such Person’s business payable on terms customary in the trade and not outstanding more than 90 days past the date of invoice), (c) obligations, whether or not assumed, secured by Liens or payable out of the proceeds or production from Property now or hereafter owned or acquired by such Person, (d) obligations which are evidenced by bonds, debentures, notes, acceptances, or other similar instruments, (e) obligations of such Person to purchase securities or other Property arising out of or in connection with the sale of the same or substantially similar securities or Property, (f) Capital Lease Obligations and obligations created or arising under any conditional sale or other title retention agreement, (h) net obligations under or relating to Hedging Agreements, (i) attributable indebtedness related to Sale and Leaseback Transactions, (j) the aggregate undrawn face amount of all letters of credit issued for the account and/or upon the application of such Person together with all unreimbursed drawings with respect thereto, (k) “earnouts” and similar payment obligations of such Person to the extent such obligations become fixed or are considered liabilities under GAAP, (l) any obligation guaranteeing or intended to guarantee (whether directly or indirectly guaranteed, endorsed, co-made, discounted, or sold with recourse) any obligation of any other Person that constitutes Indebtedness under any of clauses (a) through (k), and (m) any other obligation for borrowed money or other financial accommodation which, in accordance with GAAP, would be shown as a liability on the balance sheet of such Person. The amount of Indebtedness under any Hedging Agreement on any date shall be deemed to be the swap termination value thereof as of such date.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and similar property of a Person, including inventions, designs, patents, copyrights, trademarks, service marks, trade names, trade secrets, confidential or proprietary information, customer lists, know-how, software and databases.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all of the “inventory” (as that term is defined in the UNIFORM COMMERCIAL CODE) of the Borrower, whether now existing or hereafter acquired or created.</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direct or indirect purchase, acquisition or other investment (including, without limitation, any loan or advance or capital contribution) in or to any Person, whether payment therefor is made in cash or Capital Stock or otherwise, and whether such investment is by acquisition of Capital Stock or Indebtedness, or by loan, advance, transfer of property out of the ordinary course of business, capital contribution (excluding (a) commission, travel, and similar advances to officers and employees of such Person made in the ordinary course of business, and (b) bona fide Accounts arising in the ordinary course of business consistent with past practice), equity or profit sharing interest, extension of credit on terms other than those normal in the ordinary course of business or otherwise. The amount of any Investment shall be the original cost of such Investment plus the cost of all additions thereto, without any adjustments for increases or decreases in value, or write downs or write offs with respect to such Investment.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 of the Borrower</w:t>
      </w:r>
      <w:r>
        <w:rPr>
          <w:rFonts w:ascii="Times New Roman" w:cs="Times New Roman" w:eastAsia="Times New Roman" w:hAnsi="Times New Roman"/>
          <w:sz w:val="18"/>
          <w:szCs w:val="18"/>
          <w:color w:val="auto"/>
        </w:rPr>
        <w:t>” or any similar phrases means the actual knowledge of any director or executive officer of the Borrower, in the case of any officer, after due and reasonable inquiry of the individuals in the organization of the Borrower involved in, and responsible for, the subject matter area covered by the relevant representation and warranty.</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means all licenses, permits, authorizations, determinations, and registrations issued by any Governmental Authority to the Borrower or any Subsidiary in connection with the conduct of its business.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(statutory or otherwise), security interest, mortgage, pledge, hypothecation, deed of trust, assignment, deposit arrangement, encumbrance, or preference, priority or other security agreement or preferential arrangement of any kind or nature whatsoever (including, without limitation, the interest of a vendor or lessor under any conditional sale, Capital Lease, or other title retention agreement (and any lease in the nature thereof)) and any agreement to give any of the foregoing.</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Preference</w:t>
      </w:r>
      <w:r>
        <w:rPr>
          <w:rFonts w:ascii="Times New Roman" w:cs="Times New Roman" w:eastAsia="Times New Roman" w:hAnsi="Times New Roman"/>
          <w:sz w:val="18"/>
          <w:szCs w:val="18"/>
          <w:color w:val="auto"/>
        </w:rPr>
        <w:t>” means the principal amount of the Note plus any accrued and unpaid interest thereon that is converted to Class B Preferred Stock on the Conversion Date plus any accrued and unpaid dividends in respect of the Class B Preferred Stock.</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individually or in the aggregate (a) a material adverse condition, event, occurrence or development related to, or material adverse change or effect on, the assets, business, properties, liabilities, results of operations, cash flows or financial condition of the Borrower and its Subsidiaries (taken as a whole), (b) a material adverse effect upon (i) the legality, validity, binding effect or enforceability against the Borrower of this Agreement or any other Transaction Document, or (ii) the rights, remedies and benefits (taken as a whole) available to, or conferred upon, the Purchaser under this Agreement or any other Transaction Document, or (c) a material adverse effect on the ability of the Borrower to perform its obligations under this Agreement or any other Transaction Document.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has the meaning set forth in the recitals contained in the Statement of Purpose section of this Agreement and shall include any Note issued under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11.3(c)</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33" w:right="3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8" w:name="page29"/>
    <w:bookmarkEnd w:id="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statutory Liens for current Taxes or assessments, or other similar governmental charges, not yet delinquent or the amount or validity of which is being contested in good faith by appropriate proceedings (b) carriers’, warehousemen’s, mechanics’, materialmen’s, repairmen’s or other similar Liens arising or incurred in the ordinary course of business not yet delinquent or the amount or validity of which is being contested in good faith by appropriate proceedings and for which adequate reserves have been established consistent with past accounting practices, (c) zoning, entitlement and other land use or environmental regulations by any Governmental Authority that have not been violated and that do not materially impair the ability to operate in the ordinary course of business, or (d) Liens that represent purchase money security interests for personal property purchased in the ordinary course of business.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limited liability company, partnership, trust, incorporated or unincorporated association, joint venture, joint stock company, Governmental Authority or other entity of any kind, and shall include any successor (by merger or otherwise) of such entity.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date of this Agreement, shall be the Nasdaq Capital Market.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of a Person means any and all property, whether real, personal, tangible, intangible, or mixed, of such Person, or other assets owned, leased, or operated by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means First Finance Ltd., a California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RCRA</w:t>
      </w:r>
      <w:r>
        <w:rPr>
          <w:rFonts w:ascii="Times New Roman" w:cs="Times New Roman" w:eastAsia="Times New Roman" w:hAnsi="Times New Roman"/>
          <w:sz w:val="18"/>
          <w:szCs w:val="18"/>
          <w:color w:val="auto"/>
        </w:rPr>
        <w:t>” has the meaning set forth in the definition of “Environmental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as to any Person, provisions of the Charter Documents of such Person, or any law, treaty, code, rule, regulation, right, privilege, qualification, License or franchise, or any determination of an arbitrator or a court or other Governmental Authority, in each case applicable to such Person or any of such Person’s property or to which such Person or any of such Person’s property is subject or pertaining to any or all of the Transactions or other transactions contemplated or referred to in the Note and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means any sale or other transfer of Property by any Person with the intent to lease such Property as lessee.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any other governmental authority then having jurisdiction to enforce the Securities Act and/or the Exchange Act, as applicable.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or any similar federal statute, and the rules and regulations thereunder as the same shall be in effect at the time.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any Person that (a) the fair value of the assets and the property of such Person exceeds the fair value of the aggregate liabilities (including contingent and unliquidated liabilities) of such Person, (b) after giving effect to the transactions contemplated by this Agreement and the Note, such Person will not be left with unreasonably small capital, and (c) after giving effect to the transactions contemplated by this Agreement and the Note, such Person is able to both service and pay its liabilities as they mature. In computing the amount of contingent or unliquidated liabilities at any time, such liabilities will be computed as the amount that, in light of all the facts and circumstances existing at such time, represents the amount that is likely to become an actual or matured liability.</w:t>
      </w:r>
    </w:p>
    <w:p>
      <w:pPr>
        <w:spacing w:after="0" w:line="1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corporation or other entity of which more than fifty percent (50%) of the voting power of the voting equity securities or equity interest is owned, directly or indirectly, by such Person. Unless otherwise qualified, all references to a “Subsidiary” or to “Subsidiaries” in this Agreement shall refer to a Subsidiary or Subsidiaries of the Borrower.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present or future United States federal, state, local or foreign income, gross receipts, license, payroll, employment, excise, severance, stamp, occupation, premium, windfall profits, environmental (including taxes under Code §59A), customs duties, capital stock, franchise profits, withholding, social security (or similar), unemployment, disability, real property, personal property, sales, use, transfer, registration, value added, alternative or add-on-minimum, estimated, or other taxes, levies, assessments, fees or other charges imposed by any Governmental Authority, including any interest, penalty, or addition thereto, whether disputed or not.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the Note, the Class A Certificate of Designation, the Class B Certificate of Designation, all exhibits and schedules thereto and hereto and any other documents or agreements executed in connection with the transactions contemplated 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transfer of funds from the Purchaser to the Borrower and the issuance of the Note hereunder on the Closing Date, the issuance of the Class A Preferred Stock, the issuance of the Class B Preferred Stock issued pursuant to the conversion of the Note, the issuance of the shares of Common Stock underlying such Class B Preferred Stock.</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Underlying Common Shares</w:t>
      </w:r>
      <w:r>
        <w:rPr>
          <w:rFonts w:ascii="Times New Roman" w:cs="Times New Roman" w:eastAsia="Times New Roman" w:hAnsi="Times New Roman"/>
          <w:sz w:val="18"/>
          <w:szCs w:val="18"/>
          <w:color w:val="auto"/>
        </w:rPr>
        <w:t>” means the shares of Common Stock issuable upon conversion of the Class B Preferred Stock and any securities issued or issuable in exchange for or in respect of such securities.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Underlying Preferred Shares</w:t>
      </w:r>
      <w:r>
        <w:rPr>
          <w:rFonts w:ascii="Times New Roman" w:cs="Times New Roman" w:eastAsia="Times New Roman" w:hAnsi="Times New Roman"/>
          <w:sz w:val="18"/>
          <w:szCs w:val="18"/>
          <w:color w:val="auto"/>
        </w:rPr>
        <w:t>” means the shares of Class B Preferred Stock issuable (i) upon conversion of the Note or (ii) in satisfaction of any other obligation or right of the Borrower to issue shares of Class B Preferred Stock pursuant to this Agreement, and in each case, any securities issued or issuable in exchange for or in respect of such securities.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those 1,058,025 warrants issued by the Borrower that expire on September 16, 2025, those 340,909 warrants issued by the Borrower that expire on December 17, 2026, and those 3,623,189 warrants issued by the Borrower that expire on March 15, 2027.</w:t>
      </w:r>
    </w:p>
    <w:p>
      <w:pPr>
        <w:spacing w:after="0" w:line="15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Accounting Terms</w:t>
      </w:r>
      <w:r>
        <w:rPr>
          <w:rFonts w:ascii="Times New Roman" w:cs="Times New Roman" w:eastAsia="Times New Roman" w:hAnsi="Times New Roman"/>
          <w:sz w:val="18"/>
          <w:szCs w:val="18"/>
          <w:color w:val="auto"/>
        </w:rPr>
        <w:t>. All accounting terms used herein and not expressly defined in this Agreement 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given to them in conformance with GAAP. Where the character or amount of any asset or liability or item of income or expense is required to be determined or any consolidation or other accounting computation is required to be made for the purposes of this Agreement, this shall be done in accordance with GAAP, consistently applied, to the extent applicable, except as otherwise expressly provided in this Agreement. If any changes in accounting principles from those in effect on the date hereof are hereafter occasioned by promulgation of rules, regulations, pronouncements or opinions by or are otherwise required by the Financial Accounting Standards Board or the American Institute of Certified Public Accountants (or successors thereto or agencies with similar functions), and any of such changes results in a change in the method of calculation of, or affects the results of such calculation of, any of the financial covenants, standards or terms found herein, then the parties hereto agree upon the request of the Borrower or the Purchaser to enter into and diligently pursue negotiations in order to amend such financial covenants, standards or terms so as to equitably reflect such changes, with the desired result that the criteria for evaluating financial condition and results of operations of the Borrower and its Subsidiaries shall be the same after such changes as if such changes had not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any such amendments have been agreed upon by the Purchaser, the provisions in this Agreement shall be calculated as if no such changes in accounting principles had occurred. Notwithstanding any other provision contained herein, all terms of an accounting or financial nature used herein shall be construed, and all computations of amounts and ratios shall be made, without giving effect to any election under Accounting Standards Codification 825-10 (or any other Financial Accounting Standard having a similar result or effect) to value any Indebtedness or other liabilities of the Borrower at “fair value.” Notwithstanding any accounting change after the Closing Date that would require lease obligations that would be treated as operating leases as of the Closing Date to be classified and accounted for as capital leases or otherwise reflected on the Borrower’s and its Subsidiaries’ consolidated balance sheet, for the purposes of determining compliance with any covenant contained herein, such obligations shall be treated in the same manner as operating leases are treated as of the Closing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 OF THE NOTE</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Purchase and Sale of the Note</w:t>
      </w:r>
      <w:r>
        <w:rPr>
          <w:rFonts w:ascii="Times New Roman" w:cs="Times New Roman" w:eastAsia="Times New Roman" w:hAnsi="Times New Roman"/>
          <w:sz w:val="18"/>
          <w:szCs w:val="18"/>
          <w:color w:val="auto"/>
        </w:rPr>
        <w:t>. Subject to the terms and conditions herein set forth, on the Closing Date the Borrower will issue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Purchaser, and the Purchaser will acquire from the Borrower, the Note in the aggregate principal amount of $3,000,000.00, in exchange for the purchase price of $3,000,000.00 in cash or wire transfer of immediately available funds from the Purchaser.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The purchase and issuance of the Note shall take place at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on the date hereof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the satisfaction or waiver of the conditions to closing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At the Closing, the Borrower shall deliver the Note to the Purchaser against delivery by the Purchaser of the purchase price for the Note to be purchased by the Purchaser, which is payable by wire transfer of immediately available funds.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NOTE</w:t>
      </w:r>
    </w:p>
    <w:p>
      <w:pPr>
        <w:spacing w:after="0" w:line="20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u w:val="single" w:color="auto"/>
          <w:color w:val="auto"/>
        </w:rPr>
        <w:t>Interest and Related Fees</w:t>
      </w:r>
      <w:r>
        <w:rPr>
          <w:rFonts w:ascii="Times New Roman" w:cs="Times New Roman" w:eastAsia="Times New Roman" w:hAnsi="Times New Roman"/>
          <w:sz w:val="17"/>
          <w:szCs w:val="17"/>
          <w:u w:val="single" w:color="auto"/>
          <w:color w:val="auto"/>
        </w:rPr>
        <w:t>.</w:t>
      </w:r>
    </w:p>
    <w:p>
      <w:pPr>
        <w:spacing w:after="0" w:line="229" w:lineRule="exact"/>
        <w:rPr>
          <w:sz w:val="20"/>
          <w:szCs w:val="20"/>
          <w:color w:val="auto"/>
        </w:rPr>
      </w:pPr>
    </w:p>
    <w:p>
      <w:pPr>
        <w:ind w:right="20" w:firstLine="1268"/>
        <w:spacing w:after="0" w:line="282" w:lineRule="auto"/>
        <w:tabs>
          <w:tab w:leader="none" w:pos="18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Interest shall accrue and shall be calculated daily on the basis of the actual number of days elapsed and a 360-day year comprising twelve (12) thirty (30) day months on the unpaid principal amount of the Note outstanding from time to time at the Applicable Rate.</w:t>
      </w:r>
    </w:p>
    <w:p>
      <w:pPr>
        <w:spacing w:after="0" w:line="161" w:lineRule="exact"/>
        <w:rPr>
          <w:rFonts w:ascii="Times New Roman" w:cs="Times New Roman" w:eastAsia="Times New Roman" w:hAnsi="Times New Roman"/>
          <w:sz w:val="18"/>
          <w:szCs w:val="18"/>
          <w:color w:val="auto"/>
        </w:rPr>
      </w:pPr>
    </w:p>
    <w:p>
      <w:pPr>
        <w:jc w:val="both"/>
        <w:ind w:firstLine="1268"/>
        <w:spacing w:after="0" w:line="266" w:lineRule="auto"/>
        <w:tabs>
          <w:tab w:leader="none" w:pos="18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Interest and Related Fees</w:t>
      </w:r>
      <w:r>
        <w:rPr>
          <w:rFonts w:ascii="Times New Roman" w:cs="Times New Roman" w:eastAsia="Times New Roman" w:hAnsi="Times New Roman"/>
          <w:sz w:val="18"/>
          <w:szCs w:val="18"/>
          <w:color w:val="auto"/>
        </w:rPr>
        <w:t>. Accrued and unpaid interest shall be payable on the earlier of maturity of the Note or the date of conversion of the Note (with respect to the principal amount converted), provided that upon conversion, the accrued and unpaid interest shall also be converted.</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Mandatory Conversion of Note</w:t>
      </w:r>
      <w:r>
        <w:rPr>
          <w:rFonts w:ascii="Times New Roman" w:cs="Times New Roman" w:eastAsia="Times New Roman" w:hAnsi="Times New Roman"/>
          <w:sz w:val="18"/>
          <w:szCs w:val="18"/>
          <w:color w:val="auto"/>
        </w:rPr>
        <w:t>. On the Conversion Date, the unpaid principal balance of the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unpaid interest accrued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unpaid principal balance of the Note shall be converted into the Underlying Preferred Shares as set forth in the Note.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Conditions Precedent to the Closing</w:t>
      </w:r>
      <w:r>
        <w:rPr>
          <w:rFonts w:ascii="Times New Roman" w:cs="Times New Roman" w:eastAsia="Times New Roman" w:hAnsi="Times New Roman"/>
          <w:sz w:val="18"/>
          <w:szCs w:val="18"/>
          <w:color w:val="auto"/>
        </w:rPr>
        <w:t>. The obligation of the Purchaser to purchase the Note, and to perform any obligations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the following conditions on or before the Closing Date.</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u w:val="single" w:color="auto"/>
          <w:color w:val="auto"/>
        </w:rPr>
        <w:t>Closing Deliverables</w:t>
      </w:r>
    </w:p>
    <w:p>
      <w:pPr>
        <w:spacing w:after="0" w:line="229" w:lineRule="exact"/>
        <w:rPr>
          <w:sz w:val="20"/>
          <w:szCs w:val="20"/>
          <w:color w:val="auto"/>
        </w:rPr>
      </w:pPr>
    </w:p>
    <w:p>
      <w:pPr>
        <w:ind w:left="1780" w:hanging="476"/>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of the Borrower</w:t>
      </w:r>
      <w:r>
        <w:rPr>
          <w:rFonts w:ascii="Times New Roman" w:cs="Times New Roman" w:eastAsia="Times New Roman" w:hAnsi="Times New Roman"/>
          <w:sz w:val="18"/>
          <w:szCs w:val="18"/>
          <w:color w:val="auto"/>
        </w:rPr>
        <w:t>. At the Closing, the Borrower shall deliver to the Purchaser the following:</w:t>
      </w:r>
    </w:p>
    <w:p>
      <w:pPr>
        <w:spacing w:after="0" w:line="225" w:lineRule="exact"/>
        <w:rPr>
          <w:rFonts w:ascii="Times New Roman" w:cs="Times New Roman" w:eastAsia="Times New Roman" w:hAnsi="Times New Roman"/>
          <w:sz w:val="18"/>
          <w:szCs w:val="18"/>
          <w:color w:val="auto"/>
        </w:rPr>
      </w:pPr>
    </w:p>
    <w:p>
      <w:pPr>
        <w:ind w:left="2340" w:hanging="568"/>
        <w:spacing w:after="0"/>
        <w:tabs>
          <w:tab w:leader="none" w:pos="2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The duly executed Note.</w:t>
      </w:r>
    </w:p>
    <w:p>
      <w:pPr>
        <w:spacing w:after="0" w:line="225" w:lineRule="exact"/>
        <w:rPr>
          <w:rFonts w:ascii="Times New Roman" w:cs="Times New Roman" w:eastAsia="Times New Roman" w:hAnsi="Times New Roman"/>
          <w:sz w:val="18"/>
          <w:szCs w:val="18"/>
          <w:color w:val="auto"/>
        </w:rPr>
      </w:pPr>
    </w:p>
    <w:p>
      <w:pPr>
        <w:jc w:val="both"/>
        <w:ind w:firstLine="1772"/>
        <w:spacing w:after="0" w:line="261" w:lineRule="auto"/>
        <w:tabs>
          <w:tab w:leader="none" w:pos="232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Engagement Letters</w:t>
      </w:r>
      <w:r>
        <w:rPr>
          <w:rFonts w:ascii="Times New Roman" w:cs="Times New Roman" w:eastAsia="Times New Roman" w:hAnsi="Times New Roman"/>
          <w:sz w:val="18"/>
          <w:szCs w:val="18"/>
          <w:color w:val="auto"/>
        </w:rPr>
        <w:t>. Confirmation, in form and substance reasonably satisfactory to the Purchaser, by the Borrower that all outstanding engagement letters with investment banks and/or registered broker-dealers have been terminated such that the Borrower has no further obligations or liabilities thereunder other than a fee payable to RBW Capital Partners LLC that does not exceed $250,000, with a full release of any future obligations.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firstLine="1772"/>
        <w:spacing w:after="0" w:line="261" w:lineRule="auto"/>
        <w:tabs>
          <w:tab w:leader="none" w:pos="243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 certificate, dated as of the Closing Date and signed by an officer of the Borrower, certifying (i) that the attached copies of the Charter Documents of Borrower, and resolutions of the Board approving the Note and this Agreement and the Transactions are all true, complete and correct and remain unamended and in full force and effect, and (ii) to the incumbency and specimen signature of each officer of the Borrower executing this Agreement and/or the Note or any other document delivered in connection herewith and therewith on behalf of the Borrower.</w:t>
      </w:r>
    </w:p>
    <w:p>
      <w:pPr>
        <w:spacing w:after="0" w:line="179" w:lineRule="exact"/>
        <w:rPr>
          <w:rFonts w:ascii="Times New Roman" w:cs="Times New Roman" w:eastAsia="Times New Roman" w:hAnsi="Times New Roman"/>
          <w:sz w:val="18"/>
          <w:szCs w:val="18"/>
          <w:color w:val="auto"/>
        </w:rPr>
      </w:pPr>
    </w:p>
    <w:p>
      <w:pPr>
        <w:jc w:val="both"/>
        <w:ind w:firstLine="1772"/>
        <w:spacing w:after="0" w:line="266" w:lineRule="auto"/>
        <w:tabs>
          <w:tab w:leader="none" w:pos="24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True, complete and correct copies of each such other agreements, schedules, exhibits, certificates, documents, financial information and filings as the Purchaser may reasonably request in connection with or relating to the Transactions all in form and substance reasonably satisfactory to the Purchaser, and executed by the Borrower, as applicable.</w:t>
      </w:r>
    </w:p>
    <w:p>
      <w:pPr>
        <w:spacing w:after="0" w:line="175" w:lineRule="exact"/>
        <w:rPr>
          <w:rFonts w:ascii="Times New Roman" w:cs="Times New Roman" w:eastAsia="Times New Roman" w:hAnsi="Times New Roman"/>
          <w:sz w:val="18"/>
          <w:szCs w:val="18"/>
          <w:color w:val="auto"/>
        </w:rPr>
      </w:pPr>
    </w:p>
    <w:p>
      <w:pPr>
        <w:jc w:val="both"/>
        <w:ind w:firstLine="1772"/>
        <w:spacing w:after="0" w:line="261" w:lineRule="auto"/>
        <w:tabs>
          <w:tab w:leader="none" w:pos="237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All consents, exemptions, authorizations, or other actions by, or notices to, or filings with, Governmental Authorities, the Principal Trading Market and other Persons in respect of all Requirements of Law and otherwise and with respect to those Contractual Obligations of the Borrower necessary in connection with the execution, delivery or performance by the Borrower, or enforcement against the Borrower, of the Note and this Agreement shall have been made or obtained and be in full force and effect.</w:t>
      </w:r>
    </w:p>
    <w:p>
      <w:pPr>
        <w:spacing w:after="0" w:line="179" w:lineRule="exact"/>
        <w:rPr>
          <w:rFonts w:ascii="Times New Roman" w:cs="Times New Roman" w:eastAsia="Times New Roman" w:hAnsi="Times New Roman"/>
          <w:sz w:val="18"/>
          <w:szCs w:val="18"/>
          <w:color w:val="auto"/>
        </w:rPr>
      </w:pPr>
    </w:p>
    <w:p>
      <w:pPr>
        <w:ind w:right="20" w:firstLine="1772"/>
        <w:spacing w:after="0" w:line="282" w:lineRule="auto"/>
        <w:tabs>
          <w:tab w:leader="none" w:pos="24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Certificates</w:t>
      </w:r>
      <w:r>
        <w:rPr>
          <w:rFonts w:ascii="Times New Roman" w:cs="Times New Roman" w:eastAsia="Times New Roman" w:hAnsi="Times New Roman"/>
          <w:sz w:val="18"/>
          <w:szCs w:val="18"/>
          <w:color w:val="auto"/>
        </w:rPr>
        <w:t>. The Borrower shall have delivered to the Purchaser as of a date not more than two (2) days before the Closing Date a good standing certificate for the Borrower for its jurisdiction of incorporation.</w:t>
      </w:r>
    </w:p>
    <w:p>
      <w:pPr>
        <w:spacing w:after="0" w:line="161" w:lineRule="exact"/>
        <w:rPr>
          <w:rFonts w:ascii="Times New Roman" w:cs="Times New Roman" w:eastAsia="Times New Roman" w:hAnsi="Times New Roman"/>
          <w:sz w:val="18"/>
          <w:szCs w:val="18"/>
          <w:color w:val="auto"/>
        </w:rPr>
      </w:pPr>
    </w:p>
    <w:p>
      <w:pPr>
        <w:ind w:left="2480" w:hanging="708"/>
        <w:spacing w:after="0"/>
        <w:tabs>
          <w:tab w:leader="none" w:pos="2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Schedule</w:t>
      </w:r>
      <w:r>
        <w:rPr>
          <w:rFonts w:ascii="Times New Roman" w:cs="Times New Roman" w:eastAsia="Times New Roman" w:hAnsi="Times New Roman"/>
          <w:sz w:val="18"/>
          <w:szCs w:val="18"/>
          <w:color w:val="auto"/>
        </w:rPr>
        <w:t xml:space="preserve">. The intended disbursement schedule, included as </w:t>
      </w:r>
      <w:r>
        <w:rPr>
          <w:rFonts w:ascii="Times New Roman" w:cs="Times New Roman" w:eastAsia="Times New Roman" w:hAnsi="Times New Roman"/>
          <w:sz w:val="18"/>
          <w:szCs w:val="18"/>
          <w:u w:val="single" w:color="auto"/>
          <w:color w:val="auto"/>
        </w:rPr>
        <w:t>Schedule 8.5</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2500" w:hanging="728"/>
        <w:spacing w:after="0"/>
        <w:tabs>
          <w:tab w:leader="none" w:pos="2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Opinion of Counsel. An opinion of counsel to the Borrower in form of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attached hereto.</w:t>
      </w:r>
    </w:p>
    <w:p>
      <w:pPr>
        <w:spacing w:after="0" w:line="229" w:lineRule="exact"/>
        <w:rPr>
          <w:rFonts w:ascii="Times New Roman" w:cs="Times New Roman" w:eastAsia="Times New Roman" w:hAnsi="Times New Roman"/>
          <w:sz w:val="18"/>
          <w:szCs w:val="18"/>
          <w:color w:val="auto"/>
        </w:rPr>
      </w:pPr>
    </w:p>
    <w:p>
      <w:pPr>
        <w:ind w:left="2520" w:hanging="748"/>
        <w:spacing w:after="0"/>
        <w:tabs>
          <w:tab w:leader="none" w:pos="2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Consent: Fully executed board consent approving the Transactions;</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of the Purchaser</w:t>
      </w:r>
      <w:r>
        <w:rPr>
          <w:rFonts w:ascii="Times New Roman" w:cs="Times New Roman" w:eastAsia="Times New Roman" w:hAnsi="Times New Roman"/>
          <w:sz w:val="18"/>
          <w:szCs w:val="18"/>
          <w:color w:val="auto"/>
        </w:rPr>
        <w:t>. At the Closing, the Purchaser shall deliver to the Borrower the following:</w:t>
      </w:r>
    </w:p>
    <w:p>
      <w:pPr>
        <w:spacing w:after="0" w:line="225" w:lineRule="exact"/>
        <w:rPr>
          <w:rFonts w:ascii="Times New Roman" w:cs="Times New Roman" w:eastAsia="Times New Roman" w:hAnsi="Times New Roman"/>
          <w:sz w:val="18"/>
          <w:szCs w:val="18"/>
          <w:color w:val="auto"/>
        </w:rPr>
      </w:pPr>
    </w:p>
    <w:p>
      <w:pPr>
        <w:ind w:left="2340" w:hanging="568"/>
        <w:spacing w:after="0"/>
        <w:tabs>
          <w:tab w:leader="none" w:pos="2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The duly executed Note.</w:t>
      </w:r>
    </w:p>
    <w:p>
      <w:pPr>
        <w:spacing w:after="0" w:line="225" w:lineRule="exact"/>
        <w:rPr>
          <w:rFonts w:ascii="Times New Roman" w:cs="Times New Roman" w:eastAsia="Times New Roman" w:hAnsi="Times New Roman"/>
          <w:sz w:val="18"/>
          <w:szCs w:val="18"/>
          <w:color w:val="auto"/>
        </w:rPr>
      </w:pPr>
    </w:p>
    <w:p>
      <w:pPr>
        <w:jc w:val="both"/>
        <w:ind w:firstLine="1772"/>
        <w:spacing w:after="0" w:line="261" w:lineRule="auto"/>
        <w:tabs>
          <w:tab w:leader="none" w:pos="23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 certificate, dated as of the Closing Date and signed by an officer of the Purchaser, certifying (i) that the attached copies of the resolutions of the board of directors of the Purchaser approving the Note and this Agreement and the Transactions are all true, complete and correct and remain unamended and in full force and effect, and (ii) to the incumbency and specimen signature of each officer of the Purchaser executing this Agreement and/or the Note or any other document delivered in connection herewith and therewith on behalf of the 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BORROWER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Schedules, which Disclosure Schedules shall be deemed a part hereof and shall qualify any representation or otherwise made herein to the extent of the disclosure contained in the corresponding section of the Disclosure Schedules, the Borrower hereby makes the following representations and warranties to the Purchaser:</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Existence and Power</w:t>
      </w:r>
      <w:r>
        <w:rPr>
          <w:rFonts w:ascii="Times New Roman" w:cs="Times New Roman" w:eastAsia="Times New Roman" w:hAnsi="Times New Roman"/>
          <w:sz w:val="18"/>
          <w:szCs w:val="18"/>
          <w:color w:val="auto"/>
        </w:rPr>
        <w:t>. The Borrower: (a) is duly organized, validly existing and in good standing under the laws of the jurisdiction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formation, and (b) and has all requisite corporate power and authority to carry on its business as now conducted. Neither the Borrower nor any Subsidiary is in violation nor default of any of the provisions of its respective Charter Documents. Each of the Borrower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would not reasonably be expected to have, either individually or in the aggregate, a Material Adverse Effect, and, to, no proceeding has been instituted in any such jurisdiction revoking, limiting or curtailing or seeking to revoke, limit or curtail such power and authority or qualification.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Authorization; No Contravention</w:t>
      </w:r>
      <w:r>
        <w:rPr>
          <w:rFonts w:ascii="Times New Roman" w:cs="Times New Roman" w:eastAsia="Times New Roman" w:hAnsi="Times New Roman"/>
          <w:sz w:val="18"/>
          <w:szCs w:val="18"/>
          <w:color w:val="auto"/>
        </w:rPr>
        <w:t>. The execution, delivery and performance by the Borrower of each the Note and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consummation of the Transactions: (a) have been duly authorized by all necessary organizational action and no further action is required by the Borrower, the Board or the Borrower’s stockholders in connection herewith or therewith; (b) do not and will not contravene or violate the terms of the Charter Documents of the Borrower or any of its Subsidiaries or any amendment thereto or any material Requirement of Law applicable to the Borrower or the Borrower’s assets, business or properties; (c) do not and will not (i) conflict with, contravene, result in any violation or breach of or default under any Contractual Obligation of the Borrower (with or without the giving of notice or the lapse of time or both) other than any right to consent, which consents have been obtained, (ii) create in any other Person a right or claim of termination or amendment of any Contractual Obligation of the Borrower, or (iii) require modification, acceleration or cancellation of any Contractual Obligation of the Borrower; and (d) do not and will not result in the creation of any Lien (or obligation to create a Lien) against any property, asset or business of the Borrower or any Subsidiary. Borrower has the requisite corporate power and authority to enter into and to consummate the transactions contemplated by this Agreement and each of the other Transaction Documents and otherwise to carry out its obligations hereunder and thereunder.</w:t>
      </w:r>
    </w:p>
    <w:p>
      <w:pPr>
        <w:spacing w:after="0" w:line="18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u w:val="single" w:color="auto"/>
          <w:color w:val="auto"/>
        </w:rPr>
        <w:t>Governmental Authorization; Third Party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Consents</w:t>
      </w:r>
    </w:p>
    <w:p>
      <w:pPr>
        <w:spacing w:after="0" w:line="9" w:lineRule="exact"/>
        <w:rPr>
          <w:sz w:val="20"/>
          <w:szCs w:val="20"/>
          <w:color w:val="auto"/>
        </w:rPr>
      </w:pPr>
    </w:p>
    <w:p>
      <w:pPr>
        <w:jc w:val="both"/>
        <w:ind w:firstLine="8"/>
        <w:spacing w:after="0" w:line="253" w:lineRule="auto"/>
        <w:tabs>
          <w:tab w:leader="none" w:pos="1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5.3</w:t>
      </w:r>
      <w:r>
        <w:rPr>
          <w:rFonts w:ascii="Times New Roman" w:cs="Times New Roman" w:eastAsia="Times New Roman" w:hAnsi="Times New Roman"/>
          <w:sz w:val="18"/>
          <w:szCs w:val="18"/>
          <w:color w:val="auto"/>
        </w:rPr>
        <w:t>, no approval, consent, compliance, exemption, authorization, or other action by, or notice to, or filing with, the Principal Trading Market or any Governmental Authority is necessary or required in connection with the execution, delivery or performance by, or enforcement against, the Borrower of the Note and this Agreement, the other Transaction Documents, or the consummation of the Transactions, other than those that have otherwise been obtained or made on or prior to the Closing Date and which remain in full force and effect on the Closing Date.</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The Borrower has duly executed and delivered the Note and this Agreement and such Note and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the legal, valid and binding obligations of the Borrower, enforceable against the Borrower in accordance with its respective terms, except as enforceability may be limited by applicable bankruptcy, insolvency, reorganization, moratorium and similar laws of general applicability relating to or affecting creditors’ rights and by general principles of equity. Following the filing of the Class A Certificate of Designation and the Class B Certificate of Designation with the Secretary of State of Delaware, the Class A Certificate of Designation and the Class B Certificate of Designation will constitute the legal, valid and binding obligations of the Borrower, enforceable against the Borrower in accordance with its respective terms, except as enforceability may be limited by applicable bankruptcy, insolvency, reorganization, moratorium and similar laws of general applicability relating to or affecting creditors’ rights and by general principles of equity.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No Legal Bar</w:t>
      </w:r>
      <w:r>
        <w:rPr>
          <w:rFonts w:ascii="Times New Roman" w:cs="Times New Roman" w:eastAsia="Times New Roman" w:hAnsi="Times New Roman"/>
          <w:sz w:val="18"/>
          <w:szCs w:val="18"/>
          <w:color w:val="auto"/>
        </w:rPr>
        <w:t>. The Borrower has not previously entered into any agreement which is currently in effect or to which the Borrower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bound granting any rights to any Person which conflict with the rights to be granted by the Borrower in the Note and this Agreement.</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There are no legal actions, suits, proceedings, claims or disputes pending or, to the Knowledge of the Borrower, threatened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at law, in equity, in arbitration or before any Governmental Authority against or affecting the Borrower; (b) there is no injunction, writ, temporary restraining order, decree or any order or determination of any nature by any arbitrator, court or other Governmental Authority purporting to enjoin or restrain the execution, delivery or performance of the Note or this Agreement or which relates to the assets or the business of the Borrower or its Subsidiaries; and (c) there is no litigation, claim, audit, dispute, review, proceeding or investigation currently pending or, to the Knowledge of the Borrower, threatened in writing against the Borrower for any violation or alleged violation of any Requirements of Law, and the Borrower has not received written notice of any threat of any suit, action, claim, dispute, investigation, review or other proceeding pursuant to or involving any Requirements of Law. Neither the Borrower nor any Subsidiary, nor any director or officer thereof, is or has been the subject of any action involving a claim of violation of or liability under federal or state securities laws or a claim of breach of fiduciary duty. There has not been, and to the knowledge of the Borrower, there is not pending or contemplated, any investigation by the SEC involving the Borrower or any current or former director or officer of the Borrower. The SEC has not issued any stop order or other order suspending the effectiveness of any registration statement filed by the Borrower or any Subsidiary under the Exchange Act or the Securities Act.</w:t>
      </w:r>
    </w:p>
    <w:p>
      <w:pPr>
        <w:spacing w:after="0" w:line="18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The Borrower is in compliance with all Requirements of Law, except to the extent such non-compliance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reasonably be expected to have a Material Adverse Effect. There are no actual or pending appeals, audits, inquiries, investigations, proceedings or notices of intent to audit or investigate by any Governmental Authority against the Borrower.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b w:val="1"/>
          <w:bCs w:val="1"/>
          <w:u w:val="single" w:color="auto"/>
          <w:color w:val="auto"/>
        </w:rPr>
        <w:t>No Default or Breach</w:t>
      </w:r>
      <w:r>
        <w:rPr>
          <w:rFonts w:ascii="Times New Roman" w:cs="Times New Roman" w:eastAsia="Times New Roman" w:hAnsi="Times New Roman"/>
          <w:sz w:val="18"/>
          <w:szCs w:val="18"/>
          <w:color w:val="auto"/>
        </w:rPr>
        <w:t>. No event has occurred and is continuing, or would result from the incurring of obligations by the Borrower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 or this Agreement, which constitutes or, with the giving of notice or lapse of time or both, would constitute an Event of Default. Neither the Borrower nor any Subsidiary is in default under or in violation of (and no event has occurred that has not been waived that, with notice or lapse of time or both, would result in a default by the Borrower or any Subsidiary under), nor has the Borrower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b w:val="1"/>
          <w:bCs w:val="1"/>
          <w:u w:val="single" w:color="auto"/>
          <w:color w:val="auto"/>
        </w:rPr>
        <w:t>Title to Properties</w:t>
      </w:r>
      <w:r>
        <w:rPr>
          <w:rFonts w:ascii="Times New Roman" w:cs="Times New Roman" w:eastAsia="Times New Roman" w:hAnsi="Times New Roman"/>
          <w:sz w:val="18"/>
          <w:szCs w:val="18"/>
          <w:color w:val="auto"/>
        </w:rPr>
        <w:t>. The Borrower has good title to, or a valid leasehold interest in, all Property used by it in its business and none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Property is subject to any Lien, except for Permitted Liens.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u w:val="single" w:color="auto"/>
          <w:color w:val="auto"/>
        </w:rPr>
        <w:t>Real Property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a correct and complete list of all real property owned or leased by the Borrower. Each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relating to such leased real property is in full force and effect and the Borrower enjoys peaceful and undisturbed possession thereunder. There is no material default on the part of the Borrower or any event or condition which (with notice or lapse of time, or both) would constitute a default on the part of the Borrower under any such lease. The Borrower has good and marketable title in fee simple to the real property identified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as owned by the Borrower, free and clear of any Liens other than Permitted Liens. There are no actions, suits or proceedings pending or, to the Knowledge of the Borrower, threatened in writing against the owned real property or the leased real property used in connection with the business of the Borrower, at law or in equity, in arbitration or before any Governmental Authority which would in any way affect title to or the right to use such owned real property or leased real property.</w:t>
      </w:r>
    </w:p>
    <w:p>
      <w:pPr>
        <w:spacing w:after="0" w:line="185"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u w:val="single" w:color="auto"/>
          <w:color w:val="auto"/>
        </w:rPr>
        <w:t>Taxes</w:t>
      </w:r>
    </w:p>
    <w:p>
      <w:pPr>
        <w:spacing w:after="0" w:line="229" w:lineRule="exact"/>
        <w:rPr>
          <w:sz w:val="20"/>
          <w:szCs w:val="20"/>
          <w:color w:val="auto"/>
        </w:rPr>
      </w:pPr>
    </w:p>
    <w:p>
      <w:pPr>
        <w:jc w:val="both"/>
        <w:ind w:firstLine="1371"/>
        <w:spacing w:after="0" w:line="254" w:lineRule="auto"/>
        <w:tabs>
          <w:tab w:leader="none" w:pos="19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5.11(a)</w:t>
      </w:r>
      <w:r>
        <w:rPr>
          <w:rFonts w:ascii="Times New Roman" w:cs="Times New Roman" w:eastAsia="Times New Roman" w:hAnsi="Times New Roman"/>
          <w:sz w:val="18"/>
          <w:szCs w:val="18"/>
          <w:color w:val="auto"/>
        </w:rPr>
        <w:t>, the Borrower has timely filed all foreign, United States federal and state income and other Tax Returns that it was required to file, in each case with due regard for any extension of time within which to file such Tax Return. All such Tax returns were correct and complete in all respects. All Taxes due and payable by the Borrower have been paid, in each case with due regard for any extension of time within which to file such Tax Return, other than any Taxes the amount or validity of which is being actively contested by the Borrower in good faith and by appropriate proceedings and with respect to which adequate reserves or other appropriate provisions, if any, as shall be required in conformity with GAAP shall have been made or provided therefor. There are no Liens, other than Permitted Liens, on any of the assets of the Borrower that arose in connection with any failure (or alleged failure) to pay any Tax. No written claim has been made by a Governmental Authority in a jurisdiction where the Borrower does not file Tax Returns that the Borrower is or may be subject to taxation by that jurisdiction.</w:t>
      </w:r>
    </w:p>
    <w:p>
      <w:pPr>
        <w:spacing w:after="0" w:line="191" w:lineRule="exact"/>
        <w:rPr>
          <w:rFonts w:ascii="Times New Roman" w:cs="Times New Roman" w:eastAsia="Times New Roman" w:hAnsi="Times New Roman"/>
          <w:sz w:val="18"/>
          <w:szCs w:val="18"/>
          <w:color w:val="auto"/>
        </w:rPr>
      </w:pPr>
    </w:p>
    <w:p>
      <w:pPr>
        <w:jc w:val="both"/>
        <w:ind w:firstLine="1371"/>
        <w:spacing w:after="0" w:line="258" w:lineRule="auto"/>
        <w:tabs>
          <w:tab w:leader="none" w:pos="19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5.11(b)</w:t>
      </w:r>
      <w:r>
        <w:rPr>
          <w:rFonts w:ascii="Times New Roman" w:cs="Times New Roman" w:eastAsia="Times New Roman" w:hAnsi="Times New Roman"/>
          <w:sz w:val="18"/>
          <w:szCs w:val="18"/>
          <w:color w:val="auto"/>
        </w:rPr>
        <w:t>, there is no action, suit, proceeding, investigation, examination, audit, or claim now pending or threatened in writing by any Governmental Authority regarding any Taxes payable or alleged to be payable by the Borrower. The Borrower has not entered into an agreement or waiver or been requested to enter into an agreement or waiver extending any statute of limitations relating to the payment or collection of Taxes of such Person and there are no circumstances that would cause the taxable years of the Borrower or its Subsidiaries not to be subject to the normally applicable statute of limitations.</w:t>
      </w:r>
    </w:p>
    <w:p>
      <w:pPr>
        <w:spacing w:after="0" w:line="183" w:lineRule="exact"/>
        <w:rPr>
          <w:rFonts w:ascii="Times New Roman" w:cs="Times New Roman" w:eastAsia="Times New Roman" w:hAnsi="Times New Roman"/>
          <w:sz w:val="18"/>
          <w:szCs w:val="18"/>
          <w:color w:val="auto"/>
        </w:rPr>
      </w:pPr>
    </w:p>
    <w:p>
      <w:pPr>
        <w:ind w:firstLine="1371"/>
        <w:spacing w:after="0" w:line="282" w:lineRule="auto"/>
        <w:tabs>
          <w:tab w:leader="none" w:pos="19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collected all sales, use, value added and other taxes required to be collected, and have remitted such amounts to the appropriate Governmental Authority or, if applicable, have furnished properly completed exemption certificates for all exempt transactions.</w:t>
      </w:r>
    </w:p>
    <w:p>
      <w:pPr>
        <w:spacing w:after="0" w:line="161" w:lineRule="exact"/>
        <w:rPr>
          <w:rFonts w:ascii="Times New Roman" w:cs="Times New Roman" w:eastAsia="Times New Roman" w:hAnsi="Times New Roman"/>
          <w:sz w:val="18"/>
          <w:szCs w:val="18"/>
          <w:color w:val="auto"/>
        </w:rPr>
      </w:pPr>
    </w:p>
    <w:p>
      <w:pPr>
        <w:jc w:val="both"/>
        <w:ind w:firstLine="1371"/>
        <w:spacing w:after="0" w:line="261" w:lineRule="auto"/>
        <w:tabs>
          <w:tab w:leader="none" w:pos="19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not entered into or participated in (i) a “reportable transaction” within the meaning of Section 6707A of the Code or Treasury Regulation Section 1.6011-4 (and all predecessor regulations) as in effect at the relevant time, or (ii) any act, transaction or arrangement which has been reported, or has been required to be reported, under any similar provision of state, local or non-U.S. law or a transaction similar to any such reportable or notifiable transaction.</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u w:val="single" w:color="auto"/>
          <w:color w:val="auto"/>
        </w:rPr>
        <w:t>Financial Condition; SEC Filings; Contingent Obligations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1371"/>
        <w:spacing w:after="0" w:line="252" w:lineRule="auto"/>
        <w:tabs>
          <w:tab w:leader="none" w:pos="26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furnished the Purchaser with true, correct and complete copies of (collectively,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(i) the audited consolidated balance sheets of the Borrower and its Subsidiaries as of December 31, 2024, 2023 and 2022, and the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audited consolidated statements of operations and comprehensive (loss) income, shareholders’ equity and cash flows for each of the Fiscal Years in the three-year period ended December 31, 2024, together with the notes thereto and the reports thereon as of December 31, 2024, certified by the Borrower’s independent certified public accountants, and (ii) the unaudited consolidated balance sheets of the Borrower and its Subsidiaries for the Fiscal Quarter ended as of March 31, 2025 and the related unaudited consolidated statements of operations and comprehensive (loss) income and cash flows for such period. The Financial Statements fairly present, in all material respects, the consolidated financial position of the Borrower, as of the respective dates thereof, and the results of operations and cash flows thereof, as of the respective dates or for the respective periods set forth therein, and are in conformity with the past historical practices of the Borrower, with GAAP consistently applied during the periods involved. Except as set forth on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as of the dates of the Financial Statements, the Borrower did not have any known obligation, Indebtedness or liability (whether accrued, absolute, contingent or otherwise, and whether due or to become due), which was not reflected or reserved against in the balance sheets which are part of the Financial Statements as required by GAAP, except for those incurred in the ordinary course of business and which are fully reflected on the books of account of the Borrower.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both"/>
        <w:ind w:firstLine="1371"/>
        <w:spacing w:after="0" w:line="254" w:lineRule="auto"/>
        <w:tabs>
          <w:tab w:leader="none" w:pos="21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w:t>
      </w:r>
      <w:r>
        <w:rPr>
          <w:rFonts w:ascii="Times New Roman" w:cs="Times New Roman" w:eastAsia="Times New Roman" w:hAnsi="Times New Roman"/>
          <w:sz w:val="18"/>
          <w:szCs w:val="18"/>
          <w:u w:val="single" w:color="auto"/>
          <w:color w:val="auto"/>
        </w:rPr>
        <w:t>chedule 5.12</w:t>
      </w:r>
      <w:r>
        <w:rPr>
          <w:rFonts w:ascii="Times New Roman" w:cs="Times New Roman" w:eastAsia="Times New Roman" w:hAnsi="Times New Roman"/>
          <w:sz w:val="18"/>
          <w:szCs w:val="18"/>
          <w:color w:val="auto"/>
        </w:rPr>
        <w:t>, all statements, reports, schedules, forms and other documents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required to have been filed or furnished by the Borrower with or to the SEC since January 1, 2024 have been so filed or furnished on a timely basis. As of the time it was filed with or furnished to the SEC as of the date of filing: (i) each of the SEC Documents complied as to form in all material respects with the applicable requirements of the Securities Act or the Exchange Act (as the case may be); and (ii) none of the SEC Documents contained any untrue statement of a material fact or omitted to state a material fact required to be stated therein or necessary in order to make the statements therein, in the light of the circumstances under which they were made, not misleading, except to the extent corrected by the filing or furnishing of the applicable amending or superseding SEC Document. Each of the certifications and statements relating to SEC Documents required by: (1) the SEC’s Order dated June 27, 2002 pursuant to Section 21(a)(1) of the Exchange Act (File No. 4-460); (2) Rule 13a-14 or 15d-14 under the Exchange Act; or (3) 18 U.S.C. §1350 (Section 906 of the Sarbanes-Oxley Act) (collectively, the “</w:t>
      </w:r>
      <w:r>
        <w:rPr>
          <w:rFonts w:ascii="Times New Roman" w:cs="Times New Roman" w:eastAsia="Times New Roman" w:hAnsi="Times New Roman"/>
          <w:sz w:val="18"/>
          <w:szCs w:val="18"/>
          <w:b w:val="1"/>
          <w:bCs w:val="1"/>
          <w:color w:val="auto"/>
        </w:rPr>
        <w:t>Certifications</w:t>
      </w:r>
      <w:r>
        <w:rPr>
          <w:rFonts w:ascii="Times New Roman" w:cs="Times New Roman" w:eastAsia="Times New Roman" w:hAnsi="Times New Roman"/>
          <w:sz w:val="18"/>
          <w:szCs w:val="18"/>
          <w:color w:val="auto"/>
        </w:rPr>
        <w:t>”) is accurate and complete, and complied as to form and content with all Applicable Laws in effect at the time such Certification was filed with or furnished to the SEC.</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u w:val="single" w:color="auto"/>
          <w:color w:val="auto"/>
        </w:rPr>
        <w:t>Absence of Certain Changes or Events</w:t>
      </w:r>
      <w:r>
        <w:rPr>
          <w:rFonts w:ascii="Times New Roman" w:cs="Times New Roman" w:eastAsia="Times New Roman" w:hAnsi="Times New Roman"/>
          <w:sz w:val="18"/>
          <w:szCs w:val="18"/>
          <w:color w:val="auto"/>
        </w:rPr>
        <w:t>. Since March 31, 2025, (i) there has been no development, event, circumstance, or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would reasonably be expected to have, either individually or in the aggregate, a Material Adverse Effect, (ii) the Borrower has not incurred any liabilities (contingent or otherwise) other than (A) trade payables and accrued expenses incurred in the ordinary course of business consistent with past practice and (B) liabilities not required to be reflected in the Borrower’s financial statements pursuant to GAAP or disclosed in filings made with the SEC,</w:t>
      </w:r>
    </w:p>
    <w:p>
      <w:pPr>
        <w:spacing w:after="0" w:line="3" w:lineRule="exact"/>
        <w:rPr>
          <w:sz w:val="20"/>
          <w:szCs w:val="20"/>
          <w:color w:val="auto"/>
        </w:rPr>
      </w:pPr>
    </w:p>
    <w:p>
      <w:pPr>
        <w:jc w:val="both"/>
        <w:ind w:firstLine="8"/>
        <w:spacing w:after="0" w:line="25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not altered its method of accounting, (iv) the Borrower has not declared or made any dividend or distribution of cash or other property to its stockholders or purchased, redeemed or made any agreements to purchase or redeem any shares of its capital stock and (v) the Borrower has not issued any equity securities to any officer, director or Affiliate, except pursuant to existing Borrower stock option plans. To the Knowledge of the Borrower, there exists no present condition or state of facts or circumstances that could reasonably be expected to have a Material Adverse Effect or prevent the Borrower or any of its Subsidiaries from conducting its business after the consummation of the Transactions, in substantially the same manner in which such business has heretofore been conducted. The Borrower does not have pending before the SEC any request for confidential treatment of information. Except for the Transactions, no event, liability, fact, circumstance, occurrence or development has occurred or exists or is reasonably expected to occur or exist with respect to the Borrower or its Subsidiaries or their respective businesses, prospects, properties, operations, assets or financial condition that would be required to be disclosed by the Borrower under applicable securities laws at the time this representation is made or deemed made that has not been publicly disclosed.</w:t>
      </w:r>
    </w:p>
    <w:p>
      <w:pPr>
        <w:spacing w:after="0" w:line="18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7"/>
          <w:szCs w:val="17"/>
          <w:b w:val="1"/>
          <w:bCs w:val="1"/>
          <w:u w:val="single" w:color="auto"/>
          <w:color w:val="auto"/>
        </w:rPr>
        <w:t>Environmental Matters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1371"/>
        <w:spacing w:after="0" w:line="282" w:lineRule="auto"/>
        <w:tabs>
          <w:tab w:leader="none" w:pos="19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and has been in compliance in all material respects with all applicable Environmental Laws relating to its Property, assets and operations.</w:t>
      </w:r>
    </w:p>
    <w:p>
      <w:pPr>
        <w:spacing w:after="0" w:line="161" w:lineRule="exact"/>
        <w:rPr>
          <w:rFonts w:ascii="Times New Roman" w:cs="Times New Roman" w:eastAsia="Times New Roman" w:hAnsi="Times New Roman"/>
          <w:sz w:val="18"/>
          <w:szCs w:val="18"/>
          <w:color w:val="auto"/>
        </w:rPr>
      </w:pPr>
    </w:p>
    <w:p>
      <w:pPr>
        <w:jc w:val="both"/>
        <w:ind w:firstLine="1371"/>
        <w:spacing w:after="0" w:line="261" w:lineRule="auto"/>
        <w:tabs>
          <w:tab w:leader="none" w:pos="19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Borrower, none of the Property, assets or operations of (or used by) the Borrower is the subject of any federal, state or local investigation evaluating whether (i) any remedial action is needed to respond to a Release (as defined under CERCLA) or threatened Release of any Hazardous Materials into the environment or (ii) any Release or threatened Release of any Hazardous Materials into the environment is in contravention of any Environmental Law.</w:t>
      </w:r>
    </w:p>
    <w:p>
      <w:pPr>
        <w:spacing w:after="0" w:line="179" w:lineRule="exact"/>
        <w:rPr>
          <w:rFonts w:ascii="Times New Roman" w:cs="Times New Roman" w:eastAsia="Times New Roman" w:hAnsi="Times New Roman"/>
          <w:sz w:val="18"/>
          <w:szCs w:val="18"/>
          <w:color w:val="auto"/>
        </w:rPr>
      </w:pPr>
    </w:p>
    <w:p>
      <w:pPr>
        <w:jc w:val="both"/>
        <w:ind w:firstLine="1371"/>
        <w:spacing w:after="0" w:line="255" w:lineRule="auto"/>
        <w:tabs>
          <w:tab w:leader="none" w:pos="19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not received any written notice or claim, nor to the Knowledge of the Borrower are there any pending, threatened in writing, or anticipated lawsuits or proceedings against it, with respect to violations of an Environmental Law or in connection with the presence of or exposure to any Hazardous Materials in the environment or any Release or threatened Release of any Hazardous Materials into the environment.</w:t>
      </w:r>
    </w:p>
    <w:p>
      <w:pPr>
        <w:spacing w:after="0" w:line="186" w:lineRule="exact"/>
        <w:rPr>
          <w:rFonts w:ascii="Times New Roman" w:cs="Times New Roman" w:eastAsia="Times New Roman" w:hAnsi="Times New Roman"/>
          <w:sz w:val="18"/>
          <w:szCs w:val="18"/>
          <w:color w:val="auto"/>
        </w:rPr>
      </w:pPr>
    </w:p>
    <w:p>
      <w:pPr>
        <w:jc w:val="both"/>
        <w:ind w:firstLine="1371"/>
        <w:spacing w:after="0" w:line="266" w:lineRule="auto"/>
        <w:tabs>
          <w:tab w:leader="none" w:pos="19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Borrower, the Borrower has no present or contingent liability in connection with the presence either on or off the Property or assets of, or used by, the Borrower of any Hazardous Materials in the environment or any Release or threatened Release of any Hazardous Materials into the environment.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5.15</w:t>
      </w:r>
      <w:r>
        <w:rPr>
          <w:sz w:val="20"/>
          <w:szCs w:val="20"/>
          <w:color w:val="auto"/>
        </w:rPr>
        <w:tab/>
      </w:r>
      <w:r>
        <w:rPr>
          <w:rFonts w:ascii="Times New Roman" w:cs="Times New Roman" w:eastAsia="Times New Roman" w:hAnsi="Times New Roman"/>
          <w:sz w:val="18"/>
          <w:szCs w:val="18"/>
          <w:b w:val="1"/>
          <w:bCs w:val="1"/>
          <w:u w:val="single" w:color="auto"/>
          <w:color w:val="auto"/>
        </w:rPr>
        <w:t>Investment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Company/Government Regulations</w:t>
      </w:r>
    </w:p>
    <w:p>
      <w:pPr>
        <w:spacing w:after="0" w:line="9" w:lineRule="exact"/>
        <w:rPr>
          <w:sz w:val="20"/>
          <w:szCs w:val="20"/>
          <w:color w:val="auto"/>
        </w:rPr>
      </w:pPr>
    </w:p>
    <w:p>
      <w:pPr>
        <w:jc w:val="both"/>
        <w:ind w:firstLine="8"/>
        <w:spacing w:after="0" w:line="255" w:lineRule="auto"/>
        <w:tabs>
          <w:tab w:leader="none" w:pos="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an “investment company” within the meaning of the Investment Company Act of 1940, as amended. The Borrower is not subject to regulation under the Public Utility Holding Company Act of 1935, as amended, the Federal Power Act, the Interstate Commerce Act, or any federal or state statute or regulation limiting its ability to incur Indebtedness.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5.16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the Borrower does not (a) have any Subsidiaries or (b) own of record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beneficially, directly or indirectly, any (i) Capital Stock issued by any other Person or (ii) equity, voting or participating interest in any joint venture or other enterprise. The Borrower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5.17</w:t>
      </w:r>
      <w:r>
        <w:rPr>
          <w:sz w:val="20"/>
          <w:szCs w:val="20"/>
          <w:color w:val="auto"/>
        </w:rPr>
        <w:tab/>
      </w:r>
      <w:r>
        <w:rPr>
          <w:rFonts w:ascii="Times New Roman" w:cs="Times New Roman" w:eastAsia="Times New Roman" w:hAnsi="Times New Roman"/>
          <w:sz w:val="17"/>
          <w:szCs w:val="17"/>
          <w:b w:val="1"/>
          <w:bCs w:val="1"/>
          <w:u w:val="single" w:color="auto"/>
          <w:color w:val="auto"/>
        </w:rPr>
        <w:t>Capitalization</w:t>
      </w:r>
    </w:p>
    <w:p>
      <w:pPr>
        <w:spacing w:after="0" w:line="31" w:lineRule="exact"/>
        <w:rPr>
          <w:sz w:val="20"/>
          <w:szCs w:val="20"/>
          <w:color w:val="auto"/>
        </w:rPr>
      </w:pPr>
    </w:p>
    <w:p>
      <w:pPr>
        <w:jc w:val="both"/>
        <w:ind w:firstLine="8"/>
        <w:spacing w:after="0" w:line="250" w:lineRule="auto"/>
        <w:tabs>
          <w:tab w:leader="none" w:pos="21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Date, after giving effect to the transactions contemplated hereby and in the Note, the capitalization of the Borrower (including the maximum amount of diluted shares) is as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lists all warrants, options, and other securities convertible or exercisable into shares of Capital Stock of the Borrower and lists the exercise or strike price applicable to such warrant, option or security. All of the issued and outstanding Capital Stock of the Borrower has been, and Capital Stock of the Borrower issuable upon the exercise of outstanding securities when issued will be, duly authorized and validly issued and are fully paid and nonassessable. All outstanding Capital Stock of the Borrower’s Subsidiaries are 100% owned by the Borrower or one of its Subsidiaries free and clear of all Liens other than Permitted Liens. The issuance of the foregoing Capital Stock (including the Note and the Capital Stock issuable upon conversion and exercise thereof) is not and has not been subject to any rights of participation or preemptive rights in favor of any Person other than such rights that have been waived or complied with, and will not result in the issuance of any additional Capital Stock of the Borrower or the triggering of any anti-dilution or similar rights contained in any options warrants, debentures or other securities or agreements of the Borrower or any of its Subsidiaries. On the Closing Date, except as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there are no outstanding securities convertible into or exchangeable for Capital Stock of the Borrower or any of its Subsidiaries or options, warrants or other rights to purchase or subscribe for Capital Stock of the Borrower or any of its Subsidiaries, or contracts, commitments, agreements, understandings or arrangements of any kind to which the Borrower or any of its Subsidiaries is a party relating to the issuance of any Capital Stock of the Borrower or any of its Subsidiaries, or any such convertible or exchangeable securities or any such options, warrants or rights. On the Closing Date, except as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neither the Borrower nor any of its Subsidiaries has any obligation, whether mandatory or at the option of any other Person, at any time to redeem or repurchase any Capital Stock of the Borrower or any of its Subsidiaries, pursuant to the terms of their respective Charter Documents or otherwise. On the Closing Date, except as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neither the Borrower nor any of its Subsidiaries maintains nor has any obligations under any stock option plan or other equity compensation related plans or agreements. No issued and outstanding shares of the Borrower’s Capital Stock are subject to a right of first refusal or condition of forfeiture in favor of the Borrower, and no shares of the Capital Stock of the Borrower are subject to vesting restrictions. Since January 1, 2023, except for the cash dividends paid by Borrower to holders of its Common Stock on May 31, 2023 and April 10, 2024, the Borrower has not declared or paid, or become responsible to declare or pay, and the Borrower is not responsible for or has any obligation to declare or pay, a dividend or other distribution on its securities or otherwise combined, split, recapitalized or taken similar actions with respect to its outstanding Capital Stock. There are no voting trusts, proxies or other contracts or understandings to which the Borrower is a party or is bound with respect to the voting of any shares of the Borrower’s Capital Stock, the acquisition (including rights of co-sale, first refusal, antidilution or pre-emptive rights), disposition, registration of securities of the Borrower, or other rights of securityholders, or obligations of the Borrower, with respect to the securities of the Borrower, other than registration rights under warrants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All securities of the Borrower and its Subsidiaries (including all shares of the Borrower’s Capital Stock, securities, options and warrants to purchase shares of the Borrower’s Capital Stock (both outstanding as well as those that are no longer outstanding)), have been and were issued and granted pursuant to an exception from the Securities Act and otherwise in compliance, in all material respects, with all securities and other Applicable Laws, in compliance with the fiduciary obligations of the Board, and in compliance with all requirements of applicable contracts affecting, applicable to or relating to, such issuances.</w:t>
      </w:r>
    </w:p>
    <w:p>
      <w:pPr>
        <w:spacing w:after="0" w:line="19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5.18</w:t>
      </w:r>
      <w:r>
        <w:rPr>
          <w:sz w:val="20"/>
          <w:szCs w:val="20"/>
          <w:color w:val="auto"/>
        </w:rPr>
        <w:tab/>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color w:val="auto"/>
        </w:rPr>
        <w:t>. Borrower and its Subsidiaries, on a consolidated basis, will be Solvent, after taking into account the Transactions.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5.19</w:t>
      </w:r>
      <w:r>
        <w:rPr>
          <w:sz w:val="20"/>
          <w:szCs w:val="20"/>
          <w:color w:val="auto"/>
        </w:rPr>
        <w:tab/>
      </w:r>
      <w:r>
        <w:rPr>
          <w:rFonts w:ascii="Times New Roman" w:cs="Times New Roman" w:eastAsia="Times New Roman" w:hAnsi="Times New Roman"/>
          <w:sz w:val="17"/>
          <w:szCs w:val="17"/>
          <w:b w:val="1"/>
          <w:bCs w:val="1"/>
          <w:u w:val="single" w:color="auto"/>
          <w:color w:val="auto"/>
        </w:rPr>
        <w:t>Licenses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and Approvals</w:t>
      </w:r>
    </w:p>
    <w:p>
      <w:pPr>
        <w:spacing w:after="0" w:line="9" w:lineRule="exact"/>
        <w:rPr>
          <w:sz w:val="20"/>
          <w:szCs w:val="20"/>
          <w:color w:val="auto"/>
        </w:rPr>
      </w:pPr>
    </w:p>
    <w:p>
      <w:pPr>
        <w:jc w:val="both"/>
        <w:ind w:firstLine="8"/>
        <w:spacing w:after="0" w:line="251" w:lineRule="auto"/>
        <w:tabs>
          <w:tab w:leader="none" w:pos="1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holds all material Licenses that are required by any Governmental Authority to permit it to conduct and operate the Borrower’s business as now conducted, and all such Licenses are valid and in full force and effect and will remain in full force and effect upon consummation of the transactions contemplated by this Agreement or any other Transaction Document. The Borrower is in compliance in all material respects with all such Licenses. The Borrower is not a party to and, to the Knowledge of the Borrower, there is not, any investigation, notice of apparent liability, violation, forfeiture or other order or complaint issued by or before any Governmental Authority or any other proceedings which could in any manner threaten or adversely affect the validity or continued effectiveness of such material Licenses of the Borrower or give rise to any order of forfeiture. There is no pending threat of cancellation, loss, termination, modification, or nonrenewal of any such Licenses of the Borrower. The Borrower has no reason to believe that such Licenses will not be renewed in the ordinary course. The Borrower has filed in a timely manner all material reports, applications, documents, instruments, and information required to be filed pursuant to applicable rules and regulations or requests of every regulatory body having jurisdiction over any of its Licenses.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5.20 </w:t>
      </w:r>
      <w:r>
        <w:rPr>
          <w:rFonts w:ascii="Times New Roman" w:cs="Times New Roman" w:eastAsia="Times New Roman" w:hAnsi="Times New Roman"/>
          <w:sz w:val="18"/>
          <w:szCs w:val="18"/>
          <w:b w:val="1"/>
          <w:bCs w:val="1"/>
          <w:u w:val="single" w:color="auto"/>
          <w:color w:val="auto"/>
        </w:rPr>
        <w:t>Change of Control and Similar Payments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5.20</w:t>
      </w:r>
      <w:r>
        <w:rPr>
          <w:rFonts w:ascii="Times New Roman" w:cs="Times New Roman" w:eastAsia="Times New Roman" w:hAnsi="Times New Roman"/>
          <w:sz w:val="18"/>
          <w:szCs w:val="18"/>
          <w:color w:val="auto"/>
        </w:rPr>
        <w:t>, neither the execution, delivery and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of this Agreement, nor the execution, delivery and performance by the Borrower of the Note, nor the consummation of the transactions contemplated hereby shall require any payment by the Borrower, in cash or kind, under any other agreement, plan, policy, commitment or other arrangement. There are no agreements, plans, policies, commitments or other arrangements with respect to any compensation, benefits or consideration which will be materially increased, or the vesting of benefits of which will be materially accelerated, as a result of this Agreement or any other Transaction Document or the occurrence of any of the transactions contemplated hereby or thereby.</w:t>
      </w:r>
    </w:p>
    <w:p>
      <w:pPr>
        <w:spacing w:after="0" w:line="18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5.21</w:t>
      </w:r>
      <w:r>
        <w:rPr>
          <w:sz w:val="20"/>
          <w:szCs w:val="20"/>
          <w:color w:val="auto"/>
        </w:rPr>
        <w:tab/>
      </w:r>
      <w:r>
        <w:rPr>
          <w:rFonts w:ascii="Times New Roman" w:cs="Times New Roman" w:eastAsia="Times New Roman" w:hAnsi="Times New Roman"/>
          <w:sz w:val="17"/>
          <w:szCs w:val="17"/>
          <w:b w:val="1"/>
          <w:bCs w:val="1"/>
          <w:u w:val="single" w:color="auto"/>
          <w:color w:val="auto"/>
        </w:rPr>
        <w:t>OFAC; Anti-Terrorism; Patriot Act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71"/>
        <w:spacing w:after="0" w:line="256" w:lineRule="auto"/>
        <w:tabs>
          <w:tab w:leader="none" w:pos="224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in compliance, in all material respects, with any applicable Requirements of Law relating to terrorism, sanctions or money laundering (the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including the United States Executive Order No. 13224 on Terrorist Financing (the “</w:t>
      </w:r>
      <w:r>
        <w:rPr>
          <w:rFonts w:ascii="Times New Roman" w:cs="Times New Roman" w:eastAsia="Times New Roman" w:hAnsi="Times New Roman"/>
          <w:sz w:val="18"/>
          <w:szCs w:val="18"/>
          <w:b w:val="1"/>
          <w:bCs w:val="1"/>
          <w:color w:val="auto"/>
        </w:rPr>
        <w:t>Anti-Terrorism Order</w:t>
      </w:r>
      <w:r>
        <w:rPr>
          <w:rFonts w:ascii="Times New Roman" w:cs="Times New Roman" w:eastAsia="Times New Roman" w:hAnsi="Times New Roman"/>
          <w:sz w:val="18"/>
          <w:szCs w:val="18"/>
          <w:color w:val="auto"/>
        </w:rPr>
        <w:t>”) and the Patriot Act. No part of the proceeds of any Note will be used, directly or indirectly, for any payments to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or any other Anti-Terrorism Law.</w:t>
      </w:r>
    </w:p>
    <w:p>
      <w:pPr>
        <w:spacing w:after="0" w:line="187" w:lineRule="exact"/>
        <w:rPr>
          <w:rFonts w:ascii="Times New Roman" w:cs="Times New Roman" w:eastAsia="Times New Roman" w:hAnsi="Times New Roman"/>
          <w:sz w:val="18"/>
          <w:szCs w:val="18"/>
          <w:color w:val="auto"/>
        </w:rPr>
      </w:pPr>
    </w:p>
    <w:p>
      <w:pPr>
        <w:jc w:val="both"/>
        <w:ind w:firstLine="1371"/>
        <w:spacing w:after="0" w:line="272" w:lineRule="auto"/>
        <w:tabs>
          <w:tab w:leader="none" w:pos="2257"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Borrower nor any Subsidiary (and, to the Knowledge of the Borrower, no joint venture or Affiliate thereof) (i) is listed in the annex to, or is otherwise subject to the provisions of, the Anti-Terrorism Order or Anti-Terrorism Laws, (ii) is owned or controlled by, or acting for or on behalf of, any person listed in the annex to, or is otherwise subject to the provisions of, the Anti-Terrorism Order or Anti-Terrorism Laws or</w:t>
      </w:r>
    </w:p>
    <w:p>
      <w:pPr>
        <w:spacing w:after="0" w:line="1"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threatens or conspires to commit or supports “terrorism” as defined in the Anti-Terrorism Order.</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5.22 </w:t>
      </w:r>
      <w:r>
        <w:rPr>
          <w:rFonts w:ascii="Times New Roman" w:cs="Times New Roman" w:eastAsia="Times New Roman" w:hAnsi="Times New Roman"/>
          <w:sz w:val="18"/>
          <w:szCs w:val="18"/>
          <w:b w:val="1"/>
          <w:bCs w:val="1"/>
          <w:u w:val="single" w:color="auto"/>
          <w:color w:val="auto"/>
        </w:rPr>
        <w:t>Internal Controls</w:t>
      </w:r>
      <w:r>
        <w:rPr>
          <w:rFonts w:ascii="Times New Roman" w:cs="Times New Roman" w:eastAsia="Times New Roman" w:hAnsi="Times New Roman"/>
          <w:sz w:val="18"/>
          <w:szCs w:val="18"/>
          <w:color w:val="auto"/>
        </w:rPr>
        <w:t>. The Borrower maintains a system of internal control over financial reporting. Such internal controls over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(a) provide reasonable assurance regarding the reliability of financial reporting and the preparation of financial statements for external purposes in accordance with GAAP and (b) as to Borrower are designed to ensure that all material information concerning Borrower and its Subsidiaries required to be disclosed by Borrower in the reports that it is required to file, submit or furnish under the Exchange Act is recorded, processed, summarized and reported on a timely basis to the individuals responsible for the preparation of such reports.</w:t>
      </w:r>
    </w:p>
    <w:p>
      <w:pPr>
        <w:spacing w:after="0" w:line="17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5.23</w:t>
      </w:r>
      <w:r>
        <w:rPr>
          <w:sz w:val="20"/>
          <w:szCs w:val="20"/>
          <w:color w:val="auto"/>
        </w:rPr>
        <w:tab/>
      </w:r>
      <w:r>
        <w:rPr>
          <w:rFonts w:ascii="Times New Roman" w:cs="Times New Roman" w:eastAsia="Times New Roman" w:hAnsi="Times New Roman"/>
          <w:sz w:val="17"/>
          <w:szCs w:val="17"/>
          <w:b w:val="1"/>
          <w:bCs w:val="1"/>
          <w:u w:val="single" w:color="auto"/>
          <w:color w:val="auto"/>
        </w:rPr>
        <w:t>Accounts and Notes Receivable; Accounts and Notes Payable.</w:t>
      </w:r>
    </w:p>
    <w:p>
      <w:pPr>
        <w:spacing w:after="0" w:line="229" w:lineRule="exact"/>
        <w:rPr>
          <w:sz w:val="20"/>
          <w:szCs w:val="20"/>
          <w:color w:val="auto"/>
        </w:rPr>
      </w:pPr>
    </w:p>
    <w:p>
      <w:pPr>
        <w:jc w:val="both"/>
        <w:ind w:firstLine="1371"/>
        <w:spacing w:after="0" w:line="261" w:lineRule="auto"/>
        <w:tabs>
          <w:tab w:leader="none" w:pos="22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5.23(a)</w:t>
      </w:r>
      <w:r>
        <w:rPr>
          <w:rFonts w:ascii="Times New Roman" w:cs="Times New Roman" w:eastAsia="Times New Roman" w:hAnsi="Times New Roman"/>
          <w:sz w:val="18"/>
          <w:szCs w:val="18"/>
          <w:color w:val="auto"/>
        </w:rPr>
        <w:t>, all the accounts receivable and notes receivable owing to the Borrower or any of its Subsidiaries as of the date hereof constitute valid and enforceable claims (without any previously exercised rights of set off or compromise) arising from bona fide transactions in the ordinary course of business, consistent with past practice, and, to the Knowledge of the Borrower, there are no known or, to the Knowledge of the Borrower, asserted claims, refusals to pay or other rights of set-off against any thereof.</w:t>
      </w:r>
    </w:p>
    <w:p>
      <w:pPr>
        <w:spacing w:after="0" w:line="179" w:lineRule="exact"/>
        <w:rPr>
          <w:rFonts w:ascii="Times New Roman" w:cs="Times New Roman" w:eastAsia="Times New Roman" w:hAnsi="Times New Roman"/>
          <w:sz w:val="18"/>
          <w:szCs w:val="18"/>
          <w:color w:val="auto"/>
        </w:rPr>
      </w:pPr>
    </w:p>
    <w:p>
      <w:pPr>
        <w:ind w:right="20" w:firstLine="1371"/>
        <w:spacing w:after="0" w:line="282" w:lineRule="auto"/>
        <w:tabs>
          <w:tab w:leader="none" w:pos="22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payable and notes payable by the Borrower or any of its Subsidiaries to third parties as of the date hereof arise from bona fide transactions in the ordinary course of business, consistent with past practice.</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5.24 </w:t>
      </w:r>
      <w:r>
        <w:rPr>
          <w:rFonts w:ascii="Times New Roman" w:cs="Times New Roman" w:eastAsia="Times New Roman" w:hAnsi="Times New Roman"/>
          <w:sz w:val="18"/>
          <w:szCs w:val="18"/>
          <w:b w:val="1"/>
          <w:bCs w:val="1"/>
          <w:u w:val="single" w:color="auto"/>
          <w:color w:val="auto"/>
        </w:rPr>
        <w:t>Inventory</w:t>
      </w:r>
      <w:r>
        <w:rPr>
          <w:rFonts w:ascii="Times New Roman" w:cs="Times New Roman" w:eastAsia="Times New Roman" w:hAnsi="Times New Roman"/>
          <w:sz w:val="18"/>
          <w:szCs w:val="18"/>
          <w:color w:val="auto"/>
        </w:rPr>
        <w:t>. All Inventory is (i) of good and merchantable quality (except for obsolete or discontinued items of Inventory which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adequately reserved for in accordance with GAAP, consistently applied) and (ii) adequate for the conduct of the business of the Borrower in the ordinary course as currently conducted.</w:t>
      </w:r>
    </w:p>
    <w:p>
      <w:pPr>
        <w:spacing w:after="0" w:line="1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5.25 </w:t>
      </w:r>
      <w:r>
        <w:rPr>
          <w:rFonts w:ascii="Times New Roman" w:cs="Times New Roman" w:eastAsia="Times New Roman" w:hAnsi="Times New Roman"/>
          <w:sz w:val="18"/>
          <w:szCs w:val="18"/>
          <w:b w:val="1"/>
          <w:bCs w:val="1"/>
          <w:u w:val="single" w:color="auto"/>
          <w:color w:val="auto"/>
        </w:rPr>
        <w:t>Issuance of the Note, the Underlying Preferred Shares and the Underlying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 the Underlying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the Underlying Common Shares are duly authorized and, when issued in accordance with the applicable Transaction Documents, will be duly and validly issued, fully paid and nonassessable, free and clear of all Liens imposed by the Borrower.</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5.27 </w:t>
      </w:r>
      <w:r>
        <w:rPr>
          <w:rFonts w:ascii="Times New Roman" w:cs="Times New Roman" w:eastAsia="Times New Roman" w:hAnsi="Times New Roman"/>
          <w:sz w:val="18"/>
          <w:szCs w:val="18"/>
          <w:b w:val="1"/>
          <w:bCs w:val="1"/>
          <w:u w:val="single" w:color="auto"/>
          <w:color w:val="auto"/>
        </w:rPr>
        <w:t>Labor Relations.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labor dispute exists or, to the knowledge of the Borrower, is imminent with respect to any of the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which could reasonably be expected to result in a Material Adverse Effect. None of the Borrower’s or its Subsidiaries’ employees is a member of a union that relates to such employee’s relationship with the Borrower or such Subsidiary, and neither the Borrower nor any of its Subsidiaries is a party to a collective bargaining agreement, and the Borrower and its Subsidiaries believe that their relationships with their employees are good. To the knowledge of the Borrower, no executive officer of the Borrower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Borrower or any of its Subsidiaries to any liability with respect to any of the foregoing matters. The Borrower and its Subsidiaries are in compliance with all U.S. federal, state, local and foreign laws and regulations relating to employment and employment practices, terms and conditions of employment and wages and hours.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5.28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The Borrower and the Subsidiaries have, or have rights to use, all patents, patent applications, trademarks,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 applications, service marks, trade names, trade secrets, inventions, copyrights, licenses and other intellectual property rights and similar rights necessary or required for use in connection with their respective businesses as described in the SEC Documents and which the failure to so have could have a Material Adverse Effect (collectively, the “</w:t>
      </w:r>
      <w:r>
        <w:rPr>
          <w:rFonts w:ascii="Times New Roman" w:cs="Times New Roman" w:eastAsia="Times New Roman" w:hAnsi="Times New Roman"/>
          <w:sz w:val="18"/>
          <w:szCs w:val="18"/>
          <w:b w:val="1"/>
          <w:bCs w:val="1"/>
          <w:u w:val="single" w:color="auto"/>
          <w:color w:val="auto"/>
        </w:rPr>
        <w:t>Intellectual Property Rights</w:t>
      </w:r>
      <w:r>
        <w:rPr>
          <w:rFonts w:ascii="Times New Roman" w:cs="Times New Roman" w:eastAsia="Times New Roman" w:hAnsi="Times New Roman"/>
          <w:sz w:val="18"/>
          <w:szCs w:val="18"/>
          <w:color w:val="auto"/>
        </w:rPr>
        <w:t>”). None of, and neither the Borrower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Borrower nor any Subsidiary has received, since the date of the latest audited financial statements included within the SEC Documents, a written notice of a claim or otherwise has any knowledge that the Intellectual Property Rights violate or infringe upon the rights of any Person, except as would not reasonably be expected to have a Material Adverse Effect. The Borrower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5.29 Insurance</w:t>
      </w:r>
      <w:r>
        <w:rPr>
          <w:rFonts w:ascii="Times New Roman" w:cs="Times New Roman" w:eastAsia="Times New Roman" w:hAnsi="Times New Roman"/>
          <w:sz w:val="18"/>
          <w:szCs w:val="18"/>
          <w:color w:val="auto"/>
        </w:rPr>
        <w:t>. The Borrower and the Subsidiaries are insured by insurers of recognized financial responsibility against such losses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risks and in such amounts as are prudent and customary in the businesses in which the Borrower and the Subsidiaries are engaged, including, but not limited to, directors and officers insurance coverage at least equal to $3,000,000. Neither the Borrower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5.30 </w:t>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5.30</w:t>
      </w:r>
      <w:r>
        <w:rPr>
          <w:rFonts w:ascii="Times New Roman" w:cs="Times New Roman" w:eastAsia="Times New Roman" w:hAnsi="Times New Roman"/>
          <w:sz w:val="18"/>
          <w:szCs w:val="18"/>
          <w:color w:val="auto"/>
        </w:rPr>
        <w:t>, no brokerage or finder’s fees or commissions are or will be payable by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Subsidiaries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5.31 </w:t>
      </w:r>
      <w:r>
        <w:rPr>
          <w:rFonts w:ascii="Times New Roman" w:cs="Times New Roman" w:eastAsia="Times New Roman" w:hAnsi="Times New Roman"/>
          <w:sz w:val="18"/>
          <w:szCs w:val="18"/>
          <w:b w:val="1"/>
          <w:bCs w:val="1"/>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Article 6, no registration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is required for the offer and sale of the Note, Underlying Preferred Shares or Underlying Common Shares by the Borrower as contemplated hereby. The issuance and sale of the Note, Underlying Preferred Shares and Underlying Common Shares hereunder does not contravene the rules and regulations of the Principal Trading Market.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5.32 </w:t>
      </w:r>
      <w:r>
        <w:rPr>
          <w:rFonts w:ascii="Times New Roman" w:cs="Times New Roman" w:eastAsia="Times New Roman" w:hAnsi="Times New Roman"/>
          <w:sz w:val="18"/>
          <w:szCs w:val="18"/>
          <w:b w:val="1"/>
          <w:bCs w:val="1"/>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Borrower has taken no action designed to, or which to its knowledge is likely to have the effect of, terminating the registration of the Common Stock under the Exchange Act nor has the Borrower received any notification that the Commission is contemplating terminating such registration. Except as disclosed in the SEC Documents, the Borrower has not, in the 12 months preceding the date hereof, received notice from any trading market on which the Common Stock is or has been listed or quoted to the effect that the Borrower is not in compliance with the listing or maintenance requirements of such Principal Trading Market. Except as set forth on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the Borrower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Borrower is current in payment of the fees to the Depository Trust Company (or such other established clearing corporation) in connection with such electronic transfer.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5.33 </w:t>
      </w:r>
      <w:r>
        <w:rPr>
          <w:rFonts w:ascii="Times New Roman" w:cs="Times New Roman" w:eastAsia="Times New Roman" w:hAnsi="Times New Roman"/>
          <w:sz w:val="18"/>
          <w:szCs w:val="18"/>
          <w:b w:val="1"/>
          <w:bCs w:val="1"/>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Article 6, neither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nor any of its Affiliates, nor any Person acting on its or their behalf has, directly or indirectly, made any offers or sales of any security or solicited any offers to buy any security, under circumstances that would cause this offering of the Note, Underlying Preferred Shares and Underlying Common Shares to be integrated with prior offerings by the Borrower for purposes of (i) the Securities Act which would require the registration of the Note, Underlying Preferred Shares or Underlying Common Shares under the Securities Act, or (ii) any applicable shareholder approval provisions of the Principal Trading Market.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5.34 </w:t>
      </w:r>
      <w:r>
        <w:rPr>
          <w:rFonts w:ascii="Times New Roman" w:cs="Times New Roman" w:eastAsia="Times New Roman" w:hAnsi="Times New Roman"/>
          <w:sz w:val="18"/>
          <w:szCs w:val="18"/>
          <w:b w:val="1"/>
          <w:bCs w:val="1"/>
          <w:u w:val="single" w:color="auto"/>
          <w:color w:val="auto"/>
        </w:rPr>
        <w:t>No Disqualification Events</w:t>
      </w:r>
      <w:r>
        <w:rPr>
          <w:rFonts w:ascii="Times New Roman" w:cs="Times New Roman" w:eastAsia="Times New Roman" w:hAnsi="Times New Roman"/>
          <w:sz w:val="18"/>
          <w:szCs w:val="18"/>
          <w:color w:val="auto"/>
        </w:rPr>
        <w:t>. None of the Borrower, any of its predecessors, any affiliated issuer, any director, executive officer,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Borrower participating in the offering hereunder, any beneficial owner of 20% or more of the Borrower’s outstanding voting equity securities, calculated on the basis of voting power, nor any promoter (as that term is defined in Rule 405 under the Securities Act) connected with the Borrower in any capacity at the time of sale (each, an “</w:t>
      </w:r>
      <w:r>
        <w:rPr>
          <w:rFonts w:ascii="Times New Roman" w:cs="Times New Roman" w:eastAsia="Times New Roman" w:hAnsi="Times New Roman"/>
          <w:sz w:val="18"/>
          <w:szCs w:val="18"/>
          <w:b w:val="1"/>
          <w:bCs w:val="1"/>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b w:val="1"/>
          <w:bCs w:val="1"/>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Borrower has exercised reasonable care to determine whether any Issuer Covered Person is subject to a Disqualification Event. The Borrower has complied, to the extent applicable, with its disclosure obligations under Rule 506(e), and has furnished to the Purchasers a copy of any disclosures provided thereunder.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Purchaser hereby represents and warrants as follows: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Authorization; No Contravention</w:t>
      </w:r>
      <w:r>
        <w:rPr>
          <w:rFonts w:ascii="Times New Roman" w:cs="Times New Roman" w:eastAsia="Times New Roman" w:hAnsi="Times New Roman"/>
          <w:sz w:val="18"/>
          <w:szCs w:val="18"/>
          <w:color w:val="auto"/>
        </w:rPr>
        <w:t>. The execution, delivery and performance by the Purchaser of this Agreement and the Note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Transactions: (a) is within its power and authority and has been duly authorized by all necessary action; (b) does not contravene the terms of its Charter Documents or any amendment thereof, and (c) will not, in any material respect, violate, conflict with or result in any breach or contravention of any of its Contractual Obligations, or any order or decree directly relating to it.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has been duly executed and delivered by the Purchaser and this Agreement constitutes its legal,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binding obligation, enforceable against it in accordance with its terms, except as enforceability may be limited by applicable bankruptcy, insolvency, or similar laws affecting the enforcement of creditors’ rights generally or by equitable principles relating to enforceability.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No Legal Bar</w:t>
      </w:r>
      <w:r>
        <w:rPr>
          <w:rFonts w:ascii="Times New Roman" w:cs="Times New Roman" w:eastAsia="Times New Roman" w:hAnsi="Times New Roman"/>
          <w:sz w:val="18"/>
          <w:szCs w:val="18"/>
          <w:color w:val="auto"/>
        </w:rPr>
        <w:t>. The execution, delivery, and performance of this Agreement by the Purchaser will not violate in any material respect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applicable to it in any material respect, assuming the accuracy and correctness of the representations and warranties made by the Borrower to the Purchaser in the Note and this Agreement.</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u w:val="single" w:color="auto"/>
          <w:color w:val="auto"/>
        </w:rPr>
        <w:t>Securities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71"/>
        <w:spacing w:after="0" w:line="266" w:lineRule="auto"/>
        <w:tabs>
          <w:tab w:leader="none" w:pos="22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and the shares of Capital Stock issuable upon conversion and exercise thereof are being or will be acquired by the Purchaser hereunder for its own account, not as a nominee or agent, and not with the view to, or for resale in connection with, any distribution thereof in any transaction which would be in violation of state or federal securities laws.</w:t>
      </w:r>
    </w:p>
    <w:p>
      <w:pPr>
        <w:spacing w:after="0" w:line="175" w:lineRule="exact"/>
        <w:rPr>
          <w:rFonts w:ascii="Times New Roman" w:cs="Times New Roman" w:eastAsia="Times New Roman" w:hAnsi="Times New Roman"/>
          <w:sz w:val="18"/>
          <w:szCs w:val="18"/>
          <w:color w:val="auto"/>
        </w:rPr>
      </w:pPr>
    </w:p>
    <w:p>
      <w:pPr>
        <w:ind w:right="20" w:firstLine="1371"/>
        <w:spacing w:after="0" w:line="282" w:lineRule="auto"/>
        <w:tabs>
          <w:tab w:leader="none" w:pos="22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sophisticated purchaser with respect to the purchase of the Note and is an “accredited investor” as defined in Rule 501(a) of Regulation D promulgated under the Securities Act.</w:t>
      </w:r>
    </w:p>
    <w:p>
      <w:pPr>
        <w:spacing w:after="0" w:line="161" w:lineRule="exact"/>
        <w:rPr>
          <w:rFonts w:ascii="Times New Roman" w:cs="Times New Roman" w:eastAsia="Times New Roman" w:hAnsi="Times New Roman"/>
          <w:sz w:val="18"/>
          <w:szCs w:val="18"/>
          <w:color w:val="auto"/>
        </w:rPr>
      </w:pPr>
    </w:p>
    <w:p>
      <w:pPr>
        <w:jc w:val="both"/>
        <w:ind w:firstLine="1371"/>
        <w:spacing w:after="0" w:line="254" w:lineRule="auto"/>
        <w:tabs>
          <w:tab w:leader="none" w:pos="22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(i) the Note and the shares of Capital Stock issuable upon conversion and exercise thereof constitute “restricted securities” under the Securities Act, (ii) the offer and sale of the Note hereunder is not registered under the Securities Act or under any “blue sky” laws in reliance upon certain exemptions from such registration and that the Borrower is relying on the representations made herein by the Purchaser in its determination of whether such specific exemptions are available, and (iii) the Note and the shares of Capital Stock issuable upon conversion and exercise thereof, may not be transferred except pursuant to an effective registration statement under the Securities Act, or under an exemption from such registration available under the Securities Act and under applicable “blue sky” laws or in a transaction exempt from such registration. The Purchaser is prepared and is able to bear the economic risk of an investment in the Note for an indefinite period of time. The Purchaser understands that any certificate representing the Note and the shares of Capital Stock that are issued to the Purchaser upon conversion or exercise thereof may bear, in the Borrower’s discretion, a restrictive legend substantially similar to the following:</w:t>
      </w:r>
    </w:p>
    <w:p>
      <w:pPr>
        <w:spacing w:after="0" w:line="186" w:lineRule="exact"/>
        <w:rPr>
          <w:sz w:val="20"/>
          <w:szCs w:val="20"/>
          <w:color w:val="auto"/>
        </w:rPr>
      </w:pPr>
    </w:p>
    <w:p>
      <w:pPr>
        <w:jc w:val="both"/>
        <w:ind w:left="660" w:right="660"/>
        <w:spacing w:after="0" w:line="252" w:lineRule="auto"/>
        <w:rPr>
          <w:sz w:val="20"/>
          <w:szCs w:val="20"/>
          <w:color w:val="auto"/>
        </w:rPr>
      </w:pPr>
      <w:r>
        <w:rPr>
          <w:rFonts w:ascii="Times New Roman" w:cs="Times New Roman" w:eastAsia="Times New Roman" w:hAnsi="Times New Roman"/>
          <w:sz w:val="18"/>
          <w:szCs w:val="18"/>
          <w:i w:val="1"/>
          <w:iCs w:val="1"/>
          <w:color w:val="auto"/>
        </w:rPr>
        <w:t>“NEITHER THIS NOTE NOR THE SECURITIES INTO WHICH THIS NOTE ARE CONVERTIBLE HAVE BEEN REGISTERED WITH THE SECURITIES AND EXCHANGE COMMISSION OR THE SECURITIES COMMISSION OF ANY STATE IN RELIANCE UPON AN EXEMPTION FROM REGISTRATION UNDER THE SECURITIES ACT OF 1933, AS AMENDED (THE “SECURITIES ACT”), AND, ACCORDINGLY, MAY NOT BE OFFERED, SOLD OR OTHERWISE TRANSFERRED EXCEPT PURSUANT TO AN EFFECTIVE REGISTRATION STATEMENT UNDER THE SECURITIES ACT OR PURSUANT TO AN AVAILABLE EXEMPTION FROM, OR IN A TRANSACTION NOT SUBJECT TO, THE REGISTRATION REQUIREMENTS OF THE SECURITIES ACT AND IN COMPLIANCE WITH APPLICABLE STATE SECURITIES OR BLUE SKY LAWS. NOTWITHSTANDING THE FOREGOING, THIS NOTE AND THE SECURITIES ISSUABLE UPON CONVERSION OF THIS NOTE MAY BE PLEDGED IN CONNECTION WITH A BONA FIDE MARGIN ACCOUNT OR OTHER LOAN OR FINANCING ARRANGEMENT SECURED BY THIS NOTE AND THE SECURITIES ISSUABLE UPON EXERCISE OF THIS NOTE.”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firstLine="1371"/>
        <w:spacing w:after="0" w:line="255" w:lineRule="auto"/>
        <w:tabs>
          <w:tab w:leader="none" w:pos="22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 has been furnished with or has had access to all material books and records of the Borrower and all of its material contracts, agreements and documents and (ii) has had an opportunity to ask questions of, and receive answers from, management and representatives of the Borrower and which representatives have made available to them such information regarding the Borrower and its Subsidiaries and their current respective businesses, operations, assets, finances, financial results, financial condition and prospects in order to make a fully informed decision to purchase and acquire the Note. The Purchaser has generally such knowledge and experience in business and financial matters, as to enable it to understand and evaluate the risks of an investment in the Note and form an investment decision with respect thereto. The Purchaser acknowledges that the Borrower has not given the Purchaser any investment advice, credit information or opinion as to whether the purchase of the Note is prudent.</w:t>
      </w:r>
    </w:p>
    <w:p>
      <w:pPr>
        <w:spacing w:after="0" w:line="188" w:lineRule="exact"/>
        <w:rPr>
          <w:rFonts w:ascii="Times New Roman" w:cs="Times New Roman" w:eastAsia="Times New Roman" w:hAnsi="Times New Roman"/>
          <w:sz w:val="18"/>
          <w:szCs w:val="18"/>
          <w:color w:val="auto"/>
        </w:rPr>
      </w:pPr>
    </w:p>
    <w:p>
      <w:pPr>
        <w:ind w:firstLine="1371"/>
        <w:spacing w:after="0" w:line="282" w:lineRule="auto"/>
        <w:tabs>
          <w:tab w:leader="none" w:pos="22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however, does not limit or modify the representations and warranties set forth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of this Agreement or in any other Transaction Document or the right of the Purchaser to rely thereon.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 OF THE PURCHASER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the payment in full in cash of all amounts outstanding under the Note or the Purchaser, or any assignee, no longer holds any Class B Preferred Stock, the Purchaser hereby covenants and agrees with the Borrower as follows: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Approval of Actions Taken in Connection With This Agreement</w:t>
      </w:r>
      <w:r>
        <w:rPr>
          <w:rFonts w:ascii="Times New Roman" w:cs="Times New Roman" w:eastAsia="Times New Roman" w:hAnsi="Times New Roman"/>
          <w:sz w:val="18"/>
          <w:szCs w:val="18"/>
          <w:color w:val="auto"/>
        </w:rPr>
        <w:t>. The Purchaser will review and approve in good faith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by the Borrower contemplated by this Agreement or the Note or otherwise agreed to by the Borrower and the Purchaser, including, without limitation, the following:</w:t>
      </w:r>
    </w:p>
    <w:p>
      <w:pPr>
        <w:spacing w:after="0" w:line="175" w:lineRule="exact"/>
        <w:rPr>
          <w:sz w:val="20"/>
          <w:szCs w:val="20"/>
          <w:color w:val="auto"/>
        </w:rPr>
      </w:pPr>
    </w:p>
    <w:p>
      <w:pPr>
        <w:ind w:left="2300" w:hanging="929"/>
        <w:spacing w:after="0"/>
        <w:tabs>
          <w:tab w:leader="none" w:pos="2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repurchase of the Warrants, which for the avoidance of doubt, Purchaser shall be allowed to participate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thereof;</w:t>
      </w:r>
    </w:p>
    <w:p>
      <w:pPr>
        <w:spacing w:after="0" w:line="206" w:lineRule="exact"/>
        <w:rPr>
          <w:rFonts w:ascii="Times New Roman" w:cs="Times New Roman" w:eastAsia="Times New Roman" w:hAnsi="Times New Roman"/>
          <w:sz w:val="18"/>
          <w:szCs w:val="18"/>
          <w:color w:val="auto"/>
        </w:rPr>
      </w:pPr>
    </w:p>
    <w:p>
      <w:pPr>
        <w:ind w:left="2160" w:hanging="789"/>
        <w:spacing w:after="0"/>
        <w:tabs>
          <w:tab w:leader="none" w:pos="2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Class A Preferred Stock;</w:t>
      </w:r>
    </w:p>
    <w:p>
      <w:pPr>
        <w:spacing w:after="0" w:line="225" w:lineRule="exact"/>
        <w:rPr>
          <w:rFonts w:ascii="Times New Roman" w:cs="Times New Roman" w:eastAsia="Times New Roman" w:hAnsi="Times New Roman"/>
          <w:sz w:val="18"/>
          <w:szCs w:val="18"/>
          <w:color w:val="auto"/>
        </w:rPr>
      </w:pPr>
    </w:p>
    <w:p>
      <w:pPr>
        <w:ind w:left="2200" w:hanging="829"/>
        <w:spacing w:after="0"/>
        <w:tabs>
          <w:tab w:leader="none" w:pos="2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the Class A Preferred Stock; and</w:t>
      </w:r>
    </w:p>
    <w:p>
      <w:pPr>
        <w:spacing w:after="0" w:line="225" w:lineRule="exact"/>
        <w:rPr>
          <w:rFonts w:ascii="Times New Roman" w:cs="Times New Roman" w:eastAsia="Times New Roman" w:hAnsi="Times New Roman"/>
          <w:sz w:val="18"/>
          <w:szCs w:val="18"/>
          <w:color w:val="auto"/>
        </w:rPr>
      </w:pPr>
    </w:p>
    <w:p>
      <w:pPr>
        <w:ind w:left="2220" w:hanging="849"/>
        <w:spacing w:after="0"/>
        <w:tabs>
          <w:tab w:leader="none" w:pos="2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necessary for the Borrower to comply with its obligations under this Agreement or the Note.</w:t>
      </w:r>
    </w:p>
    <w:p>
      <w:pPr>
        <w:spacing w:after="0" w:line="22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u w:val="single" w:color="auto"/>
          <w:color w:val="auto"/>
        </w:rPr>
        <w:t>Asset Sale</w:t>
      </w:r>
      <w:r>
        <w:rPr>
          <w:rFonts w:ascii="Times New Roman" w:cs="Times New Roman" w:eastAsia="Times New Roman" w:hAnsi="Times New Roman"/>
          <w:sz w:val="18"/>
          <w:szCs w:val="18"/>
          <w:color w:val="auto"/>
        </w:rPr>
        <w:t>. The Purchaser hereby confirms that the following actions by the Borrower require only the confirmation of the majority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and agrees not to raise any objections to the following actions being taken solely by a majority of the Board:</w:t>
      </w:r>
    </w:p>
    <w:p>
      <w:pPr>
        <w:spacing w:after="0" w:line="207" w:lineRule="exact"/>
        <w:rPr>
          <w:sz w:val="20"/>
          <w:szCs w:val="20"/>
          <w:color w:val="auto"/>
        </w:rPr>
      </w:pPr>
    </w:p>
    <w:p>
      <w:pPr>
        <w:ind w:right="20" w:firstLine="1371"/>
        <w:spacing w:after="0" w:line="282" w:lineRule="auto"/>
        <w:tabs>
          <w:tab w:leader="none" w:pos="21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any Asset Sale; (provided that if the counterparty in any such an Asset Sale is an Affiliate of any member of the Board, only independent directors shall participate in the applicable vote of the Board); and</w:t>
      </w:r>
    </w:p>
    <w:p>
      <w:pPr>
        <w:spacing w:after="0" w:line="161" w:lineRule="exact"/>
        <w:rPr>
          <w:rFonts w:ascii="Times New Roman" w:cs="Times New Roman" w:eastAsia="Times New Roman" w:hAnsi="Times New Roman"/>
          <w:sz w:val="18"/>
          <w:szCs w:val="18"/>
          <w:color w:val="auto"/>
        </w:rPr>
      </w:pPr>
    </w:p>
    <w:p>
      <w:pPr>
        <w:ind w:firstLine="1371"/>
        <w:spacing w:after="0" w:line="282" w:lineRule="auto"/>
        <w:tabs>
          <w:tab w:leader="none" w:pos="21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necessary in connection with such Asset Sales, including, without limitation, the formation of any Subsidiaries or the allocation of assets among any Subsidiaries.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 OF THE BORROWER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the payment in full in cash of all amounts outstanding under the Note or the Purchaser or any assignee no longer holds any Class B Preferred Stock, the Borrower hereby covenants and agrees with the Purchaser as follows: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Creation of Preferred Stock</w:t>
      </w:r>
      <w:r>
        <w:rPr>
          <w:rFonts w:ascii="Times New Roman" w:cs="Times New Roman" w:eastAsia="Times New Roman" w:hAnsi="Times New Roman"/>
          <w:sz w:val="18"/>
          <w:szCs w:val="18"/>
          <w:color w:val="auto"/>
        </w:rPr>
        <w:t>. The Board has authorized the issuance of blank-check preferred stock of the Borrowers, and will approve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cause to be filed with the Delaware Department of State certificates of designation for class A preferred stock of the Borrower (“</w:t>
      </w:r>
      <w:r>
        <w:rPr>
          <w:rFonts w:ascii="Times New Roman" w:cs="Times New Roman" w:eastAsia="Times New Roman" w:hAnsi="Times New Roman"/>
          <w:sz w:val="18"/>
          <w:szCs w:val="18"/>
          <w:b w:val="1"/>
          <w:bCs w:val="1"/>
          <w:color w:val="auto"/>
        </w:rPr>
        <w:t>Class A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 class B preferred stock of the Borrower (“</w:t>
      </w:r>
      <w:r>
        <w:rPr>
          <w:rFonts w:ascii="Times New Roman" w:cs="Times New Roman" w:eastAsia="Times New Roman" w:hAnsi="Times New Roman"/>
          <w:sz w:val="18"/>
          <w:szCs w:val="18"/>
          <w:b w:val="1"/>
          <w:bCs w:val="1"/>
          <w:color w:val="auto"/>
        </w:rPr>
        <w:t>Class B Preferred Stock</w:t>
      </w:r>
      <w:r>
        <w:rPr>
          <w:rFonts w:ascii="Times New Roman" w:cs="Times New Roman" w:eastAsia="Times New Roman" w:hAnsi="Times New Roman"/>
          <w:sz w:val="18"/>
          <w:szCs w:val="18"/>
          <w:color w:val="auto"/>
        </w:rPr>
        <w:t>”), forms of which are attached hereto as</w:t>
      </w:r>
      <w:r>
        <w:rPr>
          <w:rFonts w:ascii="Times New Roman" w:cs="Times New Roman" w:eastAsia="Times New Roman" w:hAnsi="Times New Roman"/>
          <w:sz w:val="18"/>
          <w:szCs w:val="18"/>
          <w:b w:val="1"/>
          <w:bCs w:val="1"/>
          <w:color w:val="auto"/>
        </w:rPr>
        <w:t xml:space="preserve"> Exhibit B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Exhibit C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Certificates of Designation</w:t>
      </w:r>
      <w:r>
        <w:rPr>
          <w:rFonts w:ascii="Times New Roman" w:cs="Times New Roman" w:eastAsia="Times New Roman" w:hAnsi="Times New Roman"/>
          <w:sz w:val="18"/>
          <w:szCs w:val="18"/>
          <w:color w:val="auto"/>
        </w:rPr>
        <w:t>”), respectively. Class A Preferred Stock will be issued to holders of record of the outstanding shares of Common Stock and outstanding Common Stock Equivalents entitled to any dividends paid in respect of the Common Stock, if any, not later than the business day prior to the Conversion Date.</w:t>
      </w:r>
    </w:p>
    <w:p>
      <w:pPr>
        <w:spacing w:after="0" w:line="182"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Class A Preferred Stock will be redeemable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on a pro rata basis for the Net Proceeds within 180 days of the Asset Sale. “</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shall mean 100% of the gross proceeds of the Asset Sales less all transaction expenses, liabilities and obligations relating to the Asset Sale, including but not limited to payments, fees and/or severance packages to or related to bankers, consultants, advisors, employees, executives, leases and other property related obligations. Net Proceeds shall include a further deduction for any obligations, expenses, payables, accrued liabilities of any kind (contractual or otherwise) of the Borrower, or any of its Subsidiaries, which remain as liabilities of the Borrower or any of its Subsidiaries and that are not otherwise sold as part of the Asset Sales, other than payments or expenses required to be paid in conjunction with the reporting obligations and maintenance of the Borrower as a listed reporting issuer. . An “</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means the sale of the Borrower’s operating business and/or a substantial portion of its assets, including through a sale of its Intellectual Property and/or Capital Stock of any Subsidiary formed to hold existing assets. For the avoidance of doubt, the Borrower may sell some or all of its assets separately from its sale of other assets, and each such sale shall constitute an “Asset Sale” hereunder. An Asset Sale shall also include any transaction or series of related transactions the primary purpose of which is the disposition of ClearOne Holding, LLC (“</w:t>
      </w:r>
      <w:r>
        <w:rPr>
          <w:rFonts w:ascii="Times New Roman" w:cs="Times New Roman" w:eastAsia="Times New Roman" w:hAnsi="Times New Roman"/>
          <w:sz w:val="18"/>
          <w:szCs w:val="18"/>
          <w:b w:val="1"/>
          <w:bCs w:val="1"/>
          <w:color w:val="auto"/>
        </w:rPr>
        <w:t>ClearOne Holding</w:t>
      </w:r>
      <w:r>
        <w:rPr>
          <w:rFonts w:ascii="Times New Roman" w:cs="Times New Roman" w:eastAsia="Times New Roman" w:hAnsi="Times New Roman"/>
          <w:sz w:val="18"/>
          <w:szCs w:val="18"/>
          <w:color w:val="auto"/>
        </w:rPr>
        <w:t>”) or one of its subsidiaries as described above or their assets.</w:t>
      </w:r>
    </w:p>
    <w:p>
      <w:pPr>
        <w:spacing w:after="0" w:line="191" w:lineRule="exact"/>
        <w:rPr>
          <w:sz w:val="20"/>
          <w:szCs w:val="20"/>
          <w:color w:val="auto"/>
        </w:rPr>
      </w:pPr>
    </w:p>
    <w:p>
      <w:pPr>
        <w:jc w:val="both"/>
        <w:ind w:firstLine="1304"/>
        <w:spacing w:after="0" w:line="258" w:lineRule="auto"/>
        <w:tabs>
          <w:tab w:leader="none" w:pos="18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Redemption of Class A Preferred Stock upon the completion of the Asset Sales, the Class B Preferred Stock shall be senior to all existing and future classes of preferred stock and to all existing and future Indebtedness of the Borrower. The Class A Preferred Stock shall be senior to all existing and future classes of preferred stock and to all Indebtedness of the Borrower, other than the Class B Preferred Stock. For the avoidance of doubt, 100% of the Net Proceeds of the Asset Sales shall be distributed solely to holders of Class A Preferred Stock on a pro rata basis as consideration for the Redemption.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0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dividends on Class B Preferred Stock will be paid prior to any dividends on any other class of Capital Stock of the Borrower. The Class B Preferred Stock will participate in any dividends paid to all other classes of Capital Stock of the Borrower on a pro rata basis. No dividends will be paid to any other class of Capital Stock of the Borrower without majority approval of the holders of Class B Preferred Stock. For the sake of clarity, (i) any redemption of Class A Preferred Stock, (ii) any distribution or dividend of Class A Preferred Stock to the holders of Common Stock, and (iii) any distribution or dividend with respect to Class A Preferred Stock from the assets of ClearOne Holding or another subsidiary of the Borrower formed to hold existing assets or the proceeds of the liquidation or sale of the equity securities of ClearOne Holding, or such other subsidiary, shall not be considered a dividend or dividends for purposes of this Section 8.1 or Section 9.1(c).</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Common Stock and holders of Common Stock Equivalents entitled to any dividends paid in respect of the Common Stock, if any, as of a date determined by the Borrower on or before July 11, 2025 shall be entitled to receive Class A Preferred Stock, and such distribution or dividend of Class A Preferred Stock shall be made on or before July 18, 2025.</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Preferred Stock will vote together with the Common Stock, and not as a separate class except as specifically provided herein or as otherwise required by law. Holders of the Class B Preferred Stock will be entitled to one vote for each share of Class B Preferred Stock.</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Board Rights</w:t>
      </w:r>
      <w:r>
        <w:rPr>
          <w:rFonts w:ascii="Times New Roman" w:cs="Times New Roman" w:eastAsia="Times New Roman" w:hAnsi="Times New Roman"/>
          <w:sz w:val="18"/>
          <w:szCs w:val="18"/>
          <w:color w:val="auto"/>
        </w:rPr>
        <w:t>. For so long as the Note remains outstanding, or upon conversion of the Note, for so long as the Underlying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issued and outstanding and beneficially owned by the Purchaser, the Purchaser shall have the right to nominate two persons to the Board (the “</w:t>
      </w:r>
      <w:r>
        <w:rPr>
          <w:rFonts w:ascii="Times New Roman" w:cs="Times New Roman" w:eastAsia="Times New Roman" w:hAnsi="Times New Roman"/>
          <w:sz w:val="18"/>
          <w:szCs w:val="18"/>
          <w:b w:val="1"/>
          <w:bCs w:val="1"/>
          <w:color w:val="auto"/>
        </w:rPr>
        <w:t>Purchaser Nominees</w:t>
      </w:r>
      <w:r>
        <w:rPr>
          <w:rFonts w:ascii="Times New Roman" w:cs="Times New Roman" w:eastAsia="Times New Roman" w:hAnsi="Times New Roman"/>
          <w:sz w:val="18"/>
          <w:szCs w:val="18"/>
          <w:color w:val="auto"/>
        </w:rPr>
        <w:t>”), at least one of which must be an independent director within the meaning of Rule 10A-3 of the Exchange Act and the Principal Trading Market rules, and the Borrower agrees to appoint the Purchaser Nominees to the Board and to recommend that stockholders of the Borrower vote in favor of the Purchaser Nominees at any annual or special election of stockholders at which directors shall be elected.</w:t>
      </w:r>
    </w:p>
    <w:p>
      <w:pPr>
        <w:spacing w:after="0" w:line="17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u w:val="single" w:color="auto"/>
          <w:color w:val="auto"/>
        </w:rPr>
        <w:t>Management Meetings</w:t>
      </w:r>
      <w:r>
        <w:rPr>
          <w:rFonts w:ascii="Times New Roman" w:cs="Times New Roman" w:eastAsia="Times New Roman" w:hAnsi="Times New Roman"/>
          <w:sz w:val="18"/>
          <w:szCs w:val="18"/>
          <w:color w:val="auto"/>
        </w:rPr>
        <w:t>. Upon the request of Purchaser, the Borrower will convene management meetings at least four times per Fiscal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u w:val="single" w:color="auto"/>
          <w:color w:val="auto"/>
        </w:rPr>
        <w:t>The Delivery of Financial and Other Information</w:t>
      </w:r>
      <w:r>
        <w:rPr>
          <w:rFonts w:ascii="Times New Roman" w:cs="Times New Roman" w:eastAsia="Times New Roman" w:hAnsi="Times New Roman"/>
          <w:sz w:val="18"/>
          <w:szCs w:val="18"/>
          <w:color w:val="auto"/>
        </w:rPr>
        <w:t>. The Borrower will maintain a system of accounting established and administered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GAAP (including reflecting in its financial statements adequate accruals and appropriations to reserves). In addition, the Borrower shall deliver or cause to be delivered to the Purchaser the following:</w:t>
      </w:r>
    </w:p>
    <w:p>
      <w:pPr>
        <w:spacing w:after="0" w:line="175" w:lineRule="exact"/>
        <w:rPr>
          <w:sz w:val="20"/>
          <w:szCs w:val="20"/>
          <w:color w:val="auto"/>
        </w:rPr>
      </w:pPr>
    </w:p>
    <w:p>
      <w:pPr>
        <w:jc w:val="both"/>
        <w:ind w:firstLine="1304"/>
        <w:spacing w:after="0" w:line="254" w:lineRule="auto"/>
        <w:tabs>
          <w:tab w:leader="none" w:pos="21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ninety (90) days after the close of each Fiscal Year, an audit report certified by an independent registered public accounting firm or such other independent certified public accountants that are registered and qualified with the Public Company Accounting Oversight Board and selected by the Borrower, prepared in accordance with GAAP, and the related consolidated and consolidating statements of operations, changes in shareholders’ equity and cash flows for such Fiscal Year, all such financial statements to be prepared in accordance with GAAP and accompanied by (i) any management letter prepared by said accountants, and (ii) a management summary, discussion, and analysis prepared by an authorized officer of the Borrower setting forth in narrative form all significant operational and financial events and activities affecting the Borrower and its Subsidiaries during such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management summary, discussion and analysis is included in any Annual Report on Form 10-K, such management summary, discussion and analysis included therein shall suffice for purposes of this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close of each Fiscal Quarter an unaudited consolidated and consolidating balance sheet of the Borrower as of the end of such Fiscal Quarter and the related consolidated and consolidating statements of operations, changes in shareholders’ equity and cash flows for such Fiscal Quarter and for the portion of the Fiscal Year ended at the end of such Fiscal Quarter, prepared in accordance with GAAP and setting forth in each case in comparative form, the figures for (i) the corresponding Fiscal Quarter and the corresponding portion of the previous Fiscal Year (as applicable), and (ii) the immediately preceding Fiscal Quarter.</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21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(30) prior to the end of each Fiscal Year, a comprehensive operating budget forecasting the Borrower’s revenues, expenses and cash position on a month to month basis for the upcoming Fiscal Year.</w:t>
      </w:r>
    </w:p>
    <w:p>
      <w:pPr>
        <w:spacing w:after="0" w:line="161"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following the end of each Fiscal Quarter, an up-to-date capitalization table of the Borrower.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filing, copies of the annual federal and state income Tax Returns (and any Tax Returns for the purposes of any foreign Taxes on income, profits or gains, or losses) of the Borrower for the immediately preceding year.</w:t>
      </w:r>
    </w:p>
    <w:p>
      <w:pPr>
        <w:spacing w:after="0" w:line="1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b w:val="1"/>
          <w:bCs w:val="1"/>
          <w:u w:val="single" w:color="auto"/>
          <w:color w:val="auto"/>
        </w:rPr>
        <w:t>Use of Note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00" w:hanging="596"/>
        <w:spacing w:after="0"/>
        <w:tabs>
          <w:tab w:leader="none" w:pos="1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deposit the proceeds of the sale of the Note hereunder (the “</w:t>
      </w:r>
      <w:r>
        <w:rPr>
          <w:rFonts w:ascii="Times New Roman" w:cs="Times New Roman" w:eastAsia="Times New Roman" w:hAnsi="Times New Roman"/>
          <w:sz w:val="18"/>
          <w:szCs w:val="18"/>
          <w:b w:val="1"/>
          <w:bCs w:val="1"/>
          <w:color w:val="auto"/>
        </w:rPr>
        <w:t>Note Proceeds</w:t>
      </w:r>
      <w:r>
        <w:rPr>
          <w:rFonts w:ascii="Times New Roman" w:cs="Times New Roman" w:eastAsia="Times New Roman" w:hAnsi="Times New Roman"/>
          <w:sz w:val="18"/>
          <w:szCs w:val="18"/>
          <w:color w:val="auto"/>
        </w:rPr>
        <w:t>”) into a segregated bank account</w:t>
      </w:r>
    </w:p>
    <w:p>
      <w:pPr>
        <w:spacing w:after="0" w:line="3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separate from the Borrower’s regular operating account, and (ii) to which the Purchaser has viewing access.</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 Proceeds shall only be used in accordance with the disbursement schedule set forth on </w:t>
      </w:r>
      <w:r>
        <w:rPr>
          <w:rFonts w:ascii="Times New Roman" w:cs="Times New Roman" w:eastAsia="Times New Roman" w:hAnsi="Times New Roman"/>
          <w:sz w:val="18"/>
          <w:szCs w:val="18"/>
          <w:u w:val="single" w:color="auto"/>
          <w:color w:val="auto"/>
        </w:rPr>
        <w:t>Schedule 8.5</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Disbursement Schedule</w:t>
      </w:r>
      <w:r>
        <w:rPr>
          <w:rFonts w:ascii="Times New Roman" w:cs="Times New Roman" w:eastAsia="Times New Roman" w:hAnsi="Times New Roman"/>
          <w:sz w:val="18"/>
          <w:szCs w:val="18"/>
          <w:color w:val="auto"/>
        </w:rPr>
        <w:t>”). The Borrower shall provide written notice to the Purchaser prior to any use or disbursement of the Note Proceeds in accordance with the Disbursement Schedule. Any use of the Note Proceeds that is not in accordance with the Disbursement Schedule must be approved in advance by the Purchaser in writing.</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8.6 </w:t>
      </w:r>
      <w:r>
        <w:rPr>
          <w:rFonts w:ascii="Times New Roman" w:cs="Times New Roman" w:eastAsia="Times New Roman" w:hAnsi="Times New Roman"/>
          <w:sz w:val="18"/>
          <w:szCs w:val="18"/>
          <w:b w:val="1"/>
          <w:bCs w:val="1"/>
          <w:u w:val="single" w:color="auto"/>
          <w:color w:val="auto"/>
        </w:rPr>
        <w:t>Access to Facilities</w:t>
      </w:r>
      <w:r>
        <w:rPr>
          <w:rFonts w:ascii="Times New Roman" w:cs="Times New Roman" w:eastAsia="Times New Roman" w:hAnsi="Times New Roman"/>
          <w:sz w:val="18"/>
          <w:szCs w:val="18"/>
          <w:color w:val="auto"/>
        </w:rPr>
        <w:t>. The Purchaser will have access to the facilities and personnel of the Borrower during normal business hours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at least forty-eight (48) hours advance notice.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8.7 </w:t>
      </w:r>
      <w:r>
        <w:rPr>
          <w:rFonts w:ascii="Times New Roman" w:cs="Times New Roman" w:eastAsia="Times New Roman" w:hAnsi="Times New Roman"/>
          <w:sz w:val="18"/>
          <w:szCs w:val="18"/>
          <w:b w:val="1"/>
          <w:bCs w:val="1"/>
          <w:u w:val="single" w:color="auto"/>
          <w:color w:val="auto"/>
        </w:rPr>
        <w:t>Warrant Exchange</w:t>
      </w:r>
      <w:r>
        <w:rPr>
          <w:rFonts w:ascii="Times New Roman" w:cs="Times New Roman" w:eastAsia="Times New Roman" w:hAnsi="Times New Roman"/>
          <w:sz w:val="18"/>
          <w:szCs w:val="18"/>
          <w:color w:val="auto"/>
        </w:rPr>
        <w:t>. The Borrower agrees to use its reasonable best efforts to repurchase the Warrants, solely using funds from the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and will negotiate with any holders of such Warrants accordingly, with such repurchase to be consummated as soon as practicable following the Closing.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8.8 </w:t>
      </w:r>
      <w:r>
        <w:rPr>
          <w:rFonts w:ascii="Times New Roman" w:cs="Times New Roman" w:eastAsia="Times New Roman" w:hAnsi="Times New Roman"/>
          <w:sz w:val="18"/>
          <w:szCs w:val="18"/>
          <w:b w:val="1"/>
          <w:bCs w:val="1"/>
          <w:u w:val="single" w:color="auto"/>
          <w:color w:val="auto"/>
        </w:rPr>
        <w:t>Right of First Refusal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issuance by the Borrower of Common Stock, any other Capital Stock or Common Stock Equivalents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Indebtedness or other equity or debt or hybrid securities including any preferred Capital Stock, Equity Line of Credit and convertible Indebtedness, whether for cash consideration or a combination of units thereof, (the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in exchange for capital contributions (a “</w:t>
      </w:r>
      <w:r>
        <w:rPr>
          <w:rFonts w:ascii="Times New Roman" w:cs="Times New Roman" w:eastAsia="Times New Roman" w:hAnsi="Times New Roman"/>
          <w:sz w:val="18"/>
          <w:szCs w:val="18"/>
          <w:b w:val="1"/>
          <w:bCs w:val="1"/>
          <w:color w:val="auto"/>
        </w:rPr>
        <w:t>Proposed Issuance</w:t>
      </w:r>
      <w:r>
        <w:rPr>
          <w:rFonts w:ascii="Times New Roman" w:cs="Times New Roman" w:eastAsia="Times New Roman" w:hAnsi="Times New Roman"/>
          <w:sz w:val="18"/>
          <w:szCs w:val="18"/>
          <w:color w:val="auto"/>
        </w:rPr>
        <w:t>”), the Borrower will first offer such New Securities to the Purchaser, by providing the Purchaser with a written notice, describing the price and the general terms upon which the Borrower proposes to make such Proposed Issuance (the “</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xml:space="preserve">”). The Purchaser shall have fifteen (15) days from the date such notice is provided in accordance with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to agree, by giving written notice to the Borrower, to purchase all, but not less than all, of such New Securities for the price and upon the terms applicable to the Proposed Issuance. If the Purchaser fails to deliver such notice within such fifteen</w:t>
      </w:r>
    </w:p>
    <w:p>
      <w:pPr>
        <w:spacing w:after="0" w:line="2" w:lineRule="exact"/>
        <w:rPr>
          <w:sz w:val="20"/>
          <w:szCs w:val="20"/>
          <w:color w:val="auto"/>
        </w:rPr>
      </w:pPr>
    </w:p>
    <w:p>
      <w:pPr>
        <w:jc w:val="both"/>
        <w:ind w:firstLine="8"/>
        <w:spacing w:after="0" w:line="253" w:lineRule="auto"/>
        <w:tabs>
          <w:tab w:leader="none" w:pos="3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 period, it shall be deemed not to have exercised its participation right under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with respect to such Proposed Issuance and the Borrower may, during the one (1) month period following the expiration of such fifteen (15) day period, offer the Proposed Issuance to other Persons at a price not less than, and upon terms no more favorable to the offeree than those specified in, the Issuance Notice. For the avoidance of doubt, the issuance of the Class A Preferred Stock and the Class B Preferred Stock as contemplated by the Transaction Documents, on the Conversion Date shall not be deemed to be a Proposed Issuance.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8.9 </w:t>
      </w:r>
      <w:r>
        <w:rPr>
          <w:rFonts w:ascii="Calibri" w:cs="Calibri" w:eastAsia="Calibri" w:hAnsi="Calibri"/>
          <w:sz w:val="18"/>
          <w:szCs w:val="18"/>
          <w:b w:val="1"/>
          <w:bCs w:val="1"/>
          <w:color w:val="auto"/>
        </w:rPr>
        <w:t>No Other Oferings.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as long as any Note or Class B Preferred Stock remains outstanding, except with the consent of the Purchasers,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Borrower shall not, without the consent of the Purchaser, directly or indirectly, issue, offer, sell, grant any option or right to purchase, or otherwise dispose of (or announce any issuance, offer, Sale, grant of any option or right to purchase or other disposition of) any Indebtedness, equity-linked lined of credit, factoring or other financing arrangement or Security (including any “equity security” (as that term is defined under Rule 405 promulgated under the Securities Act)), or otherwise amend, modify, waive or alter any terms of conditions of any Security outstanding as of the date hereof to decrease the exercise, conversion and/or exchange price, as applicable, thereunder or otherwise increase the aggregate number of shares of Common Stock issuable in connection therewith. Notwithstanding the foregoing,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not restrict, or otherwise apply with respect to, any transactions relating to any Asset Sale or any Redemption.</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8.10 Additional Financing</w:t>
      </w:r>
      <w:r>
        <w:rPr>
          <w:rFonts w:ascii="Times New Roman" w:cs="Times New Roman" w:eastAsia="Times New Roman" w:hAnsi="Times New Roman"/>
          <w:sz w:val="18"/>
          <w:szCs w:val="18"/>
          <w:color w:val="auto"/>
        </w:rPr>
        <w:t>: After the Closing, the Purchaser may, at its sole discretion, purchase up to that number of additional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appropriate adjustment in the event of any stock dividend, stock split, combination or similar recapitalization affecting such shares or the Common Stock) of Class B Preferred Stock for an aggregate purchase price of incremental amounts up to an aggregate total of $2,000,000 on the same terms as agreed upon in this Transaction (the “</w:t>
      </w:r>
      <w:r>
        <w:rPr>
          <w:rFonts w:ascii="Times New Roman" w:cs="Times New Roman" w:eastAsia="Times New Roman" w:hAnsi="Times New Roman"/>
          <w:sz w:val="18"/>
          <w:szCs w:val="18"/>
          <w:b w:val="1"/>
          <w:bCs w:val="1"/>
          <w:color w:val="auto"/>
        </w:rPr>
        <w:t>Subsequent Purchase</w:t>
      </w:r>
      <w:r>
        <w:rPr>
          <w:rFonts w:ascii="Times New Roman" w:cs="Times New Roman" w:eastAsia="Times New Roman" w:hAnsi="Times New Roman"/>
          <w:sz w:val="18"/>
          <w:szCs w:val="18"/>
          <w:color w:val="auto"/>
        </w:rPr>
        <w:t>”). For the avoidance of doubt, the number of Class B Preferred Stock issuable in any Subsequent Purchase shall equal the aggregate purchase price divided by 1,000 (subject to appropriate adjustment in the event of any stock dividend, stock split, combination or similar recapitalization affecting such shares or the Common Stock). Notwithstanding the foregoing, to the extent that any incremental amount of the Subsequent Purchase constitutes a change of control, or otherwise requires the approval of the holders of Common Stock, under the rules of the Principal Trading Market, the Subsequent Purchase shall also require the approval of the Board and the holders of Common Stock. The Borrower acknowledges and agrees that the Purchaser has not made any representation, undertaking, commitment or agreement to provide or assist the Borrower in obtaining any financing, investment or other assistance, other than the purchase of the Note as set forth herein and subject to the conditions set forth herein. In addition, the Borrower acknowledges and agrees that (i) no statements, whether written or oral, made by the Purchaser or its representatives on or after the date of this Agreement shall create an obligation, commitment or agreement to provide or assist the Borrower in obtaining any financing or investment,</w:t>
      </w:r>
    </w:p>
    <w:p>
      <w:pPr>
        <w:spacing w:after="0" w:line="6" w:lineRule="exact"/>
        <w:rPr>
          <w:sz w:val="20"/>
          <w:szCs w:val="20"/>
          <w:color w:val="auto"/>
        </w:rPr>
      </w:pPr>
    </w:p>
    <w:p>
      <w:pPr>
        <w:jc w:val="both"/>
        <w:ind w:firstLine="8"/>
        <w:spacing w:after="0" w:line="249"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rely on any such statement by the Purchaser or its representatives, and (iii) an obligation, commitment or agreement to provide or assist the Borrower in obtaining any financing or investment may only be created by a written agreement, signed by the Purchaser and the Borrower, setting forth the terms and conditions of such financing or investment and stating that the Parties intend for such writing to be a binding obligation or agreement. The Purchaser shall have the right, in its sole and absolute discretion, to refuse or decline to participate in any other financing of or investment in the Borrower, and shall have no obligation to assist or cooperate with the Borrower in obtaining any financing, investment or other assistance.</w:t>
      </w:r>
    </w:p>
    <w:p>
      <w:pPr>
        <w:spacing w:after="0" w:line="18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8.11</w:t>
      </w:r>
      <w:r>
        <w:rPr>
          <w:sz w:val="20"/>
          <w:szCs w:val="20"/>
          <w:color w:val="auto"/>
        </w:rPr>
        <w:tab/>
      </w:r>
      <w:r>
        <w:rPr>
          <w:rFonts w:ascii="Times New Roman" w:cs="Times New Roman" w:eastAsia="Times New Roman" w:hAnsi="Times New Roman"/>
          <w:sz w:val="17"/>
          <w:szCs w:val="17"/>
          <w:b w:val="1"/>
          <w:bCs w:val="1"/>
          <w:u w:val="single" w:color="auto"/>
          <w:color w:val="auto"/>
        </w:rPr>
        <w:t>Taxes and Claims</w:t>
      </w:r>
      <w:r>
        <w:rPr>
          <w:rFonts w:ascii="Calibri" w:cs="Calibri" w:eastAsia="Calibri" w:hAnsi="Calibri"/>
          <w:sz w:val="17"/>
          <w:szCs w:val="17"/>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Borrower will:</w:t>
      </w:r>
    </w:p>
    <w:p>
      <w:pPr>
        <w:spacing w:after="0" w:line="242" w:lineRule="exact"/>
        <w:rPr>
          <w:sz w:val="20"/>
          <w:szCs w:val="20"/>
          <w:color w:val="auto"/>
        </w:rPr>
      </w:pPr>
    </w:p>
    <w:p>
      <w:pPr>
        <w:jc w:val="both"/>
        <w:ind w:firstLine="1304"/>
        <w:spacing w:after="0" w:line="256" w:lineRule="auto"/>
        <w:tabs>
          <w:tab w:leader="none" w:pos="22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complete and correct United States federal and state income and applicable and material foreign, state and local Tax Returns required by law, in each case with due regard for any extension of time within which to file such Tax Return, and pay when due all Taxes, except those which are being contested in good faith by appropriate proceedings and with respect to which adequate reserves have been set aside in accordance with GAAP in the Borrower’s most recent audited financial statements, which deferment of payment is permissible so long as no Lien, other than a Permitted Lien has been entered and the Borrower’s and its Subsidiaries’ title to, and its/their right to use, its/their Properties are not materially adversely affected thereby; and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both"/>
        <w:ind w:firstLine="1304"/>
        <w:spacing w:after="0" w:line="261" w:lineRule="auto"/>
        <w:tabs>
          <w:tab w:leader="none" w:pos="22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and perform (i) all obligations under this Agreement or any other Transaction Document, and (ii) except where failure to do so would not reasonably be expected to result in a Default hereunder or have a Material Adverse Effect, all other Indebtedness, obligations and liabilities in accordance with customary trade practices;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contest any item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in good faith so long as adequate reserves are maintained with respect thereto in accordance with GAAP in Borrower’s most recent audited financial statements.</w:t>
      </w:r>
    </w:p>
    <w:p>
      <w:pPr>
        <w:spacing w:after="0" w:line="17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8.12</w:t>
      </w:r>
      <w:r>
        <w:rPr>
          <w:sz w:val="20"/>
          <w:szCs w:val="20"/>
          <w:color w:val="auto"/>
        </w:rPr>
        <w:tab/>
      </w:r>
      <w:r>
        <w:rPr>
          <w:rFonts w:ascii="Times New Roman" w:cs="Times New Roman" w:eastAsia="Times New Roman" w:hAnsi="Times New Roman"/>
          <w:sz w:val="18"/>
          <w:szCs w:val="18"/>
          <w:b w:val="1"/>
          <w:bCs w:val="1"/>
          <w:u w:val="single" w:color="auto"/>
          <w:color w:val="auto"/>
        </w:rPr>
        <w:t>Insurance</w:t>
      </w:r>
      <w:r>
        <w:rPr>
          <w:rFonts w:ascii="Calibri" w:cs="Calibri" w:eastAsia="Calibri" w:hAnsi="Calibri"/>
          <w:sz w:val="18"/>
          <w:szCs w:val="18"/>
          <w:color w:val="auto"/>
        </w:rPr>
        <w:t>.</w:t>
      </w:r>
    </w:p>
    <w:p>
      <w:pPr>
        <w:spacing w:after="0" w:line="230" w:lineRule="exact"/>
        <w:rPr>
          <w:sz w:val="20"/>
          <w:szCs w:val="20"/>
          <w:color w:val="auto"/>
        </w:rPr>
      </w:pPr>
    </w:p>
    <w:p>
      <w:pPr>
        <w:jc w:val="both"/>
        <w:ind w:firstLine="1304"/>
        <w:spacing w:after="0" w:line="261" w:lineRule="auto"/>
        <w:tabs>
          <w:tab w:leader="none" w:pos="217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of its Subsidiaries to, maintain with reputable insurance companies insurance in such amounts and covering such risks as is otherwise consistent with sound business practice, including, without limitation, (i) property and casualty insurance on all of its Property, and (ii) general liability insurance, workers compensation insurance, business interruption insurance, and directors and officers liability insurance.</w:t>
      </w:r>
    </w:p>
    <w:p>
      <w:pPr>
        <w:spacing w:after="0" w:line="17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8"/>
          <w:szCs w:val="18"/>
          <w:b w:val="1"/>
          <w:bCs w:val="1"/>
          <w:u w:val="single" w:color="auto"/>
          <w:color w:val="auto"/>
        </w:rPr>
        <w:t>Compliance with Laws</w:t>
      </w:r>
      <w:r>
        <w:rPr>
          <w:rFonts w:ascii="Calibri" w:cs="Calibri" w:eastAsia="Calibri" w:hAnsi="Calibri"/>
          <w:sz w:val="18"/>
          <w:szCs w:val="18"/>
          <w:color w:val="auto"/>
        </w:rPr>
        <w:t>.</w:t>
      </w:r>
    </w:p>
    <w:p>
      <w:pPr>
        <w:spacing w:after="0" w:line="230" w:lineRule="exact"/>
        <w:rPr>
          <w:sz w:val="20"/>
          <w:szCs w:val="20"/>
          <w:color w:val="auto"/>
        </w:rPr>
      </w:pPr>
    </w:p>
    <w:p>
      <w:pPr>
        <w:jc w:val="both"/>
        <w:ind w:firstLine="1304"/>
        <w:spacing w:after="0" w:line="266" w:lineRule="auto"/>
        <w:tabs>
          <w:tab w:leader="none" w:pos="2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comply with any and all Requirements of Law to which it may be subject including, without limitation, all Environmental Laws, and obtain any and all Licenses necessary to the ownership of its Property or to the conduct of its businesses, except where the failure to so comply could not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file or furnish, on a timely basis in accordance with the applicable requirements of the Securities Act or the Exchange Act (as the case may be), all statements (including without limitation, financial statements), reports, schedules, forms and other documents (other than any immaterial Form 3, 4, 5 or 8-K filings or any filings relating solely to benefit plans), required to be filed or furnished with or to the SEC.</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will, and will cause each of its Subsidiaries to, take any action reasonably requested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in order to effectuate the purposes and terms contained in this Agreement or the Note.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8.15 </w:t>
      </w:r>
      <w:r>
        <w:rPr>
          <w:rFonts w:ascii="Times New Roman" w:cs="Times New Roman" w:eastAsia="Times New Roman" w:hAnsi="Times New Roman"/>
          <w:sz w:val="18"/>
          <w:szCs w:val="18"/>
          <w:b w:val="1"/>
          <w:bCs w:val="1"/>
          <w:u w:val="single" w:color="auto"/>
          <w:color w:val="auto"/>
        </w:rPr>
        <w:t>Replacement of Note</w:t>
      </w:r>
      <w:r>
        <w:rPr>
          <w:rFonts w:ascii="Times New Roman" w:cs="Times New Roman" w:eastAsia="Times New Roman" w:hAnsi="Times New Roman"/>
          <w:sz w:val="18"/>
          <w:szCs w:val="18"/>
          <w:color w:val="auto"/>
        </w:rPr>
        <w:t>. Upon receipt of evidence reasonably satisfactory to the Borrower of the loss, theft, destruction or mutilation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Note, and, in the case of any such loss, theft or destruction, upon delivery of an indemnity agreement in form and substance reasonably satisfactory to the Borrower, or, in the case of any such mutilation, upon surrender and cancellation of the Note, as the case may be, the Borrower will issue a new Note of like tenor, in lieu of such lost, stolen, destroyed or mutilated Note.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8.16 </w:t>
      </w:r>
      <w:r>
        <w:rPr>
          <w:rFonts w:ascii="Times New Roman" w:cs="Times New Roman" w:eastAsia="Times New Roman" w:hAnsi="Times New Roman"/>
          <w:sz w:val="18"/>
          <w:szCs w:val="18"/>
          <w:b w:val="1"/>
          <w:bCs w:val="1"/>
          <w:u w:val="single" w:color="auto"/>
          <w:color w:val="auto"/>
        </w:rPr>
        <w:t>Form D; Blue Sky Filings</w:t>
      </w:r>
      <w:r>
        <w:rPr>
          <w:rFonts w:ascii="Times New Roman" w:cs="Times New Roman" w:eastAsia="Times New Roman" w:hAnsi="Times New Roman"/>
          <w:sz w:val="18"/>
          <w:szCs w:val="18"/>
          <w:color w:val="auto"/>
        </w:rPr>
        <w:t>. The Borrower agrees to timely file a Form D with respect to the Note, Underlying Preferred Shares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Underlying Common Shares as required under Regulation D promulgated under the Securities Act and to provide a copy thereof, promptly upon request of the Purchaser. The Borrower shall take such action as the Borrower shall reasonably determine is necessary in order to obtain an exemption for, or to qualify the Note, Underlying Preferred Shares and Underlying Common Shares for sale to the Purchaser under applicable securities or “Blue Sky” laws of the states of the United States, and shall provide evidence of such actions promptly upon request of the Purchaser.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Until the payment in full in cash of all amounts outstanding under the Note or the Purchaser or any assignee no longer holds any Class B Preferred Stock, the Borrower hereby covenants and agrees with the Purchaser, as follows: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Consent of Class B Preferred Stock</w:t>
      </w:r>
      <w:r>
        <w:rPr>
          <w:rFonts w:ascii="Times New Roman" w:cs="Times New Roman" w:eastAsia="Times New Roman" w:hAnsi="Times New Roman"/>
          <w:sz w:val="18"/>
          <w:szCs w:val="18"/>
          <w:color w:val="auto"/>
        </w:rPr>
        <w:t>: Unless the Borrower obtains the prior written consent of the holders of at least 75%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and outstanding Class B Preferred Stock and the Purchaser, the Borrower shall not:</w:t>
      </w:r>
    </w:p>
    <w:p>
      <w:pPr>
        <w:spacing w:after="0" w:line="159" w:lineRule="exact"/>
        <w:rPr>
          <w:sz w:val="20"/>
          <w:szCs w:val="20"/>
          <w:color w:val="auto"/>
        </w:rPr>
      </w:pPr>
    </w:p>
    <w:p>
      <w:pPr>
        <w:ind w:left="2320" w:hanging="1016"/>
        <w:spacing w:after="0"/>
        <w:tabs>
          <w:tab w:leader="none" w:pos="2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Fundamentally change the nature of its business as it is presently conducted.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3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or Repurchase of Capital Stock</w:t>
      </w:r>
      <w:r>
        <w:rPr>
          <w:rFonts w:ascii="Times New Roman" w:cs="Times New Roman" w:eastAsia="Times New Roman" w:hAnsi="Times New Roman"/>
          <w:sz w:val="18"/>
          <w:szCs w:val="18"/>
          <w:color w:val="auto"/>
        </w:rPr>
        <w:t>. Repurchase or redeem any Capital Stock of the Borrower, other than the redemption of Class A Preferred Stock upon completion of an Asset Sale.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3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Declare or make any dividends to holders of Capital Stock of the Borrower, other than dividends to the holders of Class A Preferred Stock in connection with an Asset Sale.</w:t>
      </w:r>
    </w:p>
    <w:p>
      <w:pPr>
        <w:spacing w:after="0" w:line="161" w:lineRule="exact"/>
        <w:rPr>
          <w:rFonts w:ascii="Times New Roman" w:cs="Times New Roman" w:eastAsia="Times New Roman" w:hAnsi="Times New Roman"/>
          <w:sz w:val="18"/>
          <w:szCs w:val="18"/>
          <w:color w:val="auto"/>
        </w:rPr>
      </w:pPr>
    </w:p>
    <w:p>
      <w:pPr>
        <w:ind w:left="2320" w:hanging="1016"/>
        <w:spacing w:after="0"/>
        <w:tabs>
          <w:tab w:leader="none" w:pos="2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Create, assume or issue any Indebtedness, except for Indebtedness incurred in connection with ordinary trade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3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Charter Documents</w:t>
      </w:r>
      <w:r>
        <w:rPr>
          <w:rFonts w:ascii="Times New Roman" w:cs="Times New Roman" w:eastAsia="Times New Roman" w:hAnsi="Times New Roman"/>
          <w:sz w:val="18"/>
          <w:szCs w:val="18"/>
          <w:color w:val="auto"/>
        </w:rPr>
        <w:t>. Amend the Borrower’s Charter Documents in a materially adverse manner to the rights of the holders of the Class B Preferred Stock.</w:t>
      </w:r>
    </w:p>
    <w:p>
      <w:pPr>
        <w:spacing w:after="0" w:line="200" w:lineRule="exact"/>
        <w:rPr>
          <w:rFonts w:ascii="Times New Roman" w:cs="Times New Roman" w:eastAsia="Times New Roman" w:hAnsi="Times New Roman"/>
          <w:sz w:val="18"/>
          <w:szCs w:val="18"/>
          <w:color w:val="auto"/>
        </w:rPr>
      </w:pPr>
    </w:p>
    <w:p>
      <w:pPr>
        <w:spacing w:after="0" w:line="3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xml:space="preserve">. Create, authorize, issue, or reclassify (i) any Capital Stock of the Borrower that is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Class B Preferred Stock, or (ii) any new class or series of Capital Stock or any other security convertible into or exercisable for any equity security (by reclassification, amendment or alteration of any existing security, or otherwise), having rights, preferences or privileges senior to the Class B Preferred Stock.</w:t>
      </w:r>
    </w:p>
    <w:p>
      <w:pPr>
        <w:spacing w:after="0" w:line="181" w:lineRule="exact"/>
        <w:rPr>
          <w:rFonts w:ascii="Times New Roman" w:cs="Times New Roman" w:eastAsia="Times New Roman" w:hAnsi="Times New Roman"/>
          <w:sz w:val="18"/>
          <w:szCs w:val="18"/>
          <w:color w:val="auto"/>
        </w:rPr>
      </w:pPr>
    </w:p>
    <w:p>
      <w:pPr>
        <w:ind w:left="2320" w:hanging="1016"/>
        <w:spacing w:after="0"/>
        <w:tabs>
          <w:tab w:leader="none" w:pos="2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Size of the Board</w:t>
      </w:r>
      <w:r>
        <w:rPr>
          <w:rFonts w:ascii="Times New Roman" w:cs="Times New Roman" w:eastAsia="Times New Roman" w:hAnsi="Times New Roman"/>
          <w:sz w:val="18"/>
          <w:szCs w:val="18"/>
          <w:color w:val="auto"/>
        </w:rPr>
        <w:t>. Increase or decrease the size of the Board.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3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(i) Enter into any agreement to issue or announce the issuance or proposed issuance of any shares of Common Stock of the Borrower or Common Stock Equivalents, or (ii) file any registration statement or amendment or supplement thereto.</w:t>
      </w:r>
    </w:p>
    <w:p>
      <w:pPr>
        <w:spacing w:after="0" w:line="157"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Sell, assign, License, lease, convey, exchange, transfer or otherwise dispose of its Property (each, a “</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w:t>
      </w:r>
    </w:p>
    <w:p>
      <w:pPr>
        <w:spacing w:after="0" w:line="206" w:lineRule="exact"/>
        <w:rPr>
          <w:rFonts w:ascii="Times New Roman" w:cs="Times New Roman" w:eastAsia="Times New Roman" w:hAnsi="Times New Roman"/>
          <w:sz w:val="18"/>
          <w:szCs w:val="18"/>
          <w:color w:val="auto"/>
        </w:rPr>
      </w:pPr>
    </w:p>
    <w:p>
      <w:pPr>
        <w:ind w:left="3240" w:hanging="1000"/>
        <w:spacing w:after="0"/>
        <w:tabs>
          <w:tab w:leader="none" w:pos="32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Sale, the proceeds of which are distributed as part of the redemption of the Class A Preferred Stock;</w:t>
      </w:r>
    </w:p>
    <w:p>
      <w:pPr>
        <w:spacing w:after="0" w:line="225" w:lineRule="exact"/>
        <w:rPr>
          <w:rFonts w:ascii="Times New Roman" w:cs="Times New Roman" w:eastAsia="Times New Roman" w:hAnsi="Times New Roman"/>
          <w:sz w:val="18"/>
          <w:szCs w:val="18"/>
          <w:color w:val="auto"/>
        </w:rPr>
      </w:pPr>
    </w:p>
    <w:p>
      <w:pPr>
        <w:ind w:left="3260" w:hanging="1020"/>
        <w:spacing w:after="0"/>
        <w:tabs>
          <w:tab w:leader="none" w:pos="3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ordinary course of business;</w:t>
      </w:r>
    </w:p>
    <w:p>
      <w:pPr>
        <w:spacing w:after="0" w:line="225" w:lineRule="exact"/>
        <w:rPr>
          <w:rFonts w:ascii="Times New Roman" w:cs="Times New Roman" w:eastAsia="Times New Roman" w:hAnsi="Times New Roman"/>
          <w:sz w:val="18"/>
          <w:szCs w:val="18"/>
          <w:color w:val="auto"/>
        </w:rPr>
      </w:pPr>
    </w:p>
    <w:p>
      <w:pPr>
        <w:ind w:left="3300" w:hanging="1060"/>
        <w:spacing w:after="0"/>
        <w:tabs>
          <w:tab w:leader="none" w:pos="3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settlements and write-offs of accounts receivable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2240"/>
        <w:spacing w:after="0" w:line="261" w:lineRule="auto"/>
        <w:tabs>
          <w:tab w:leader="none" w:pos="328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the extent that (i) such Property is exchanged for credit against the purchase price of similar replacement property or (ii) the proceeds of such Disposition are reasonably promptly applied to the purchase price of such replacement property and, in each case, so long as the Purchaser has a Lien with respect to such replacement property with the same priority as the Lien of Purchaser with respect to the Property disposed of; or</w:t>
      </w:r>
    </w:p>
    <w:p>
      <w:pPr>
        <w:spacing w:after="0" w:line="179" w:lineRule="exact"/>
        <w:rPr>
          <w:rFonts w:ascii="Times New Roman" w:cs="Times New Roman" w:eastAsia="Times New Roman" w:hAnsi="Times New Roman"/>
          <w:sz w:val="18"/>
          <w:szCs w:val="18"/>
          <w:color w:val="auto"/>
        </w:rPr>
      </w:pPr>
    </w:p>
    <w:p>
      <w:pPr>
        <w:ind w:left="3220" w:hanging="980"/>
        <w:spacing w:after="0"/>
        <w:tabs>
          <w:tab w:leader="none" w:pos="3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which constitute, or which are subject to, a Casualty Event.</w:t>
      </w:r>
    </w:p>
    <w:p>
      <w:pPr>
        <w:spacing w:after="0" w:line="21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Enter into any material transaction or arrangement (including, without limitation, the purchase or sale of any Property or service) with, or make any payment or transfer to, any Affiliate, except for (a) transactions permitted by this Agreement, and (b) transactions in the ordinary course of business and pursuant to the reasonable requirements of the Borrower’s or such Affiliate’s operating business and upon fair and reasonable terms and that are no less favorable to the Borrower or such Affiliate than would be obtained in a comparable arm’s-length transaction with a Person that is not an Affiliate.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occur hereunder upon:</w:t>
      </w:r>
    </w:p>
    <w:p>
      <w:pPr>
        <w:spacing w:after="0" w:line="229" w:lineRule="exact"/>
        <w:rPr>
          <w:sz w:val="20"/>
          <w:szCs w:val="20"/>
          <w:color w:val="auto"/>
        </w:rPr>
      </w:pPr>
    </w:p>
    <w:p>
      <w:pPr>
        <w:ind w:left="2280" w:hanging="832"/>
        <w:spacing w:after="0"/>
        <w:tabs>
          <w:tab w:leader="none" w:pos="2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Borrower to pay the Liquidation Preference when due.</w:t>
      </w:r>
    </w:p>
    <w:p>
      <w:pPr>
        <w:spacing w:after="0" w:line="225" w:lineRule="exact"/>
        <w:rPr>
          <w:rFonts w:ascii="Times New Roman" w:cs="Times New Roman" w:eastAsia="Times New Roman" w:hAnsi="Times New Roman"/>
          <w:sz w:val="18"/>
          <w:szCs w:val="18"/>
          <w:color w:val="auto"/>
        </w:rPr>
      </w:pPr>
    </w:p>
    <w:p>
      <w:pPr>
        <w:ind w:right="20" w:firstLine="1448"/>
        <w:spacing w:after="0" w:line="282" w:lineRule="auto"/>
        <w:tabs>
          <w:tab w:leader="none" w:pos="22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Borrower to the Purchaser in either this Agreement or any other Transaction Document shall be materially false when made.</w:t>
      </w:r>
    </w:p>
    <w:p>
      <w:pPr>
        <w:spacing w:after="0" w:line="161" w:lineRule="exact"/>
        <w:rPr>
          <w:rFonts w:ascii="Times New Roman" w:cs="Times New Roman" w:eastAsia="Times New Roman" w:hAnsi="Times New Roman"/>
          <w:sz w:val="18"/>
          <w:szCs w:val="18"/>
          <w:color w:val="auto"/>
        </w:rPr>
      </w:pPr>
    </w:p>
    <w:p>
      <w:pPr>
        <w:ind w:firstLine="1448"/>
        <w:spacing w:after="0" w:line="282" w:lineRule="auto"/>
        <w:tabs>
          <w:tab w:leader="none" w:pos="2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of the Borrower or any of its Subsidiaries to comply with any term, covenant, or provision contained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Agreement, and such failure is not cured within thirty (30) days of receipt of written notice from the Purchaser of such failure.</w:t>
      </w:r>
    </w:p>
    <w:p>
      <w:pPr>
        <w:spacing w:after="0" w:line="161" w:lineRule="exact"/>
        <w:rPr>
          <w:rFonts w:ascii="Times New Roman" w:cs="Times New Roman" w:eastAsia="Times New Roman" w:hAnsi="Times New Roman"/>
          <w:sz w:val="18"/>
          <w:szCs w:val="18"/>
          <w:color w:val="auto"/>
        </w:rPr>
      </w:pPr>
    </w:p>
    <w:p>
      <w:pPr>
        <w:jc w:val="both"/>
        <w:ind w:firstLine="1448"/>
        <w:spacing w:after="0" w:line="256" w:lineRule="auto"/>
        <w:tabs>
          <w:tab w:leader="none" w:pos="22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Failure of the Borrower or any of its Subsidiaries to pay when due or within any applicable grace period therefor any payments under any Indebtedness; (ii) the default by the Borrower in the performance (beyond the applicable grace period with respect thereto, if any) of any other term, provision or condition contained in any agreement, contract or instrument under which any such Indebtedness was created or is governed, the effect of which default is to cause, or to permit the holder or holders of such other Indebtedness to cause, such Indebtedness to become due prior to its stated maturity; or (iii) any other event shall occur or condition exist, the effect of which event or condition is to cause, or to permit the holder or holders of any Indebtedness to cause, such Indebtedness to become due prior to its stated maturity.</w:t>
      </w:r>
    </w:p>
    <w:p>
      <w:pPr>
        <w:spacing w:after="0" w:line="187" w:lineRule="exact"/>
        <w:rPr>
          <w:rFonts w:ascii="Times New Roman" w:cs="Times New Roman" w:eastAsia="Times New Roman" w:hAnsi="Times New Roman"/>
          <w:sz w:val="18"/>
          <w:szCs w:val="18"/>
          <w:color w:val="auto"/>
        </w:rPr>
      </w:pPr>
    </w:p>
    <w:p>
      <w:pPr>
        <w:jc w:val="both"/>
        <w:ind w:firstLine="1448"/>
        <w:spacing w:after="0" w:line="256" w:lineRule="auto"/>
        <w:tabs>
          <w:tab w:leader="none" w:pos="2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application, approval or consent of the Borrower, (i) a receiver, trustee, examiner, liquidator, administrator, or similar official shall be appointed for the Borrower or (ii) any proceeding seeking an order for relief under any federal, state or foreign bankruptcy, insolvency, receivership, administration, liquidation or similar law as now or hereafter in effect seeking to adjudicate the Borrower a bankrupt or insolvent, or seeking dissolution, winding up, liquidation, reorganization, arrangement, adjustment or composition of it or its debts under any such law relating to bankruptcy, insolvency or reorganization or relief of debtors is instituted against the Borrower, and, in each case, such appointment continues undischarged or such proceeding continues undismissed or unstayed for a period of sixty (60) consecutive days.</w:t>
      </w:r>
    </w:p>
    <w:p>
      <w:pPr>
        <w:spacing w:after="0" w:line="187" w:lineRule="exact"/>
        <w:rPr>
          <w:rFonts w:ascii="Times New Roman" w:cs="Times New Roman" w:eastAsia="Times New Roman" w:hAnsi="Times New Roman"/>
          <w:sz w:val="18"/>
          <w:szCs w:val="18"/>
          <w:color w:val="auto"/>
        </w:rPr>
      </w:pPr>
    </w:p>
    <w:p>
      <w:pPr>
        <w:ind w:firstLine="1448"/>
        <w:spacing w:after="0" w:line="282" w:lineRule="auto"/>
        <w:tabs>
          <w:tab w:leader="none" w:pos="22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or this Agreement, at any time after the Closing Date, and for any reason other than as expressly permitted thereunder, ceases to be in full force and effect.</w:t>
      </w:r>
    </w:p>
    <w:p>
      <w:pPr>
        <w:spacing w:after="0" w:line="161" w:lineRule="exact"/>
        <w:rPr>
          <w:rFonts w:ascii="Times New Roman" w:cs="Times New Roman" w:eastAsia="Times New Roman" w:hAnsi="Times New Roman"/>
          <w:sz w:val="18"/>
          <w:szCs w:val="18"/>
          <w:color w:val="auto"/>
        </w:rPr>
      </w:pPr>
    </w:p>
    <w:p>
      <w:pPr>
        <w:ind w:firstLine="1448"/>
        <w:spacing w:after="0" w:line="282" w:lineRule="auto"/>
        <w:tabs>
          <w:tab w:leader="none" w:pos="22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Borrower to file the Class A Certificate of Designation and Class B Certificate of Designation within four (4) Business Days after the date of this Agreement.</w:t>
      </w:r>
    </w:p>
    <w:p>
      <w:pPr>
        <w:spacing w:after="0" w:line="161" w:lineRule="exact"/>
        <w:rPr>
          <w:rFonts w:ascii="Times New Roman" w:cs="Times New Roman" w:eastAsia="Times New Roman" w:hAnsi="Times New Roman"/>
          <w:sz w:val="18"/>
          <w:szCs w:val="18"/>
          <w:color w:val="auto"/>
        </w:rPr>
      </w:pPr>
    </w:p>
    <w:p>
      <w:pPr>
        <w:ind w:firstLine="1448"/>
        <w:spacing w:after="0" w:line="282" w:lineRule="auto"/>
        <w:tabs>
          <w:tab w:leader="none" w:pos="22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Borrower to issue the Underlying Preferred Shares or Underlying Common Shares in accordance with the terms of the Note and Class B Certificate of Designation, as applicable.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Recourse</w:t>
      </w:r>
      <w:r>
        <w:rPr>
          <w:rFonts w:ascii="Times New Roman" w:cs="Times New Roman" w:eastAsia="Times New Roman" w:hAnsi="Times New Roman"/>
          <w:sz w:val="18"/>
          <w:szCs w:val="18"/>
          <w:color w:val="auto"/>
        </w:rPr>
        <w:t>. If an Event of Default occurs and continues for at least thirty (30) days following receipt of written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of such Event of Default, then, at the Purchaser’s election (by delivery of written notice of such election), Purchaser may: (i) declare that the outstanding principal of and interest on the Note shall become immediately due and payable (if not already converted into Class B Preferred Stock), without presentment, demand, protest or notice of any kind, all of which are expressly waived, (ii) declare all or any portion of the unpaid Liquidation Preference immediately due and payable, or (iii) replace and/or designate additional members of the Board such that a majority of the Board is appointed by the Purchaser.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Survival of Representations and Warranties</w:t>
      </w:r>
      <w:r>
        <w:rPr>
          <w:rFonts w:ascii="Times New Roman" w:cs="Times New Roman" w:eastAsia="Times New Roman" w:hAnsi="Times New Roman"/>
          <w:sz w:val="18"/>
          <w:szCs w:val="18"/>
          <w:color w:val="auto"/>
        </w:rPr>
        <w:t>. All of the representations and warranties made herein shall survive the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this Agreement, any investigation by or on behalf of the Purchaser, acceptance of the Note and payment therefor, issuance of the Underlying Preferred Shares or termination of this Agreement.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and other communications provided for or permitted hereunder shall be made in writing and shall be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first-class mail, return receipt requested, or email (with receipt confirmed), courier service or personal delivery:</w:t>
      </w:r>
    </w:p>
    <w:p>
      <w:pPr>
        <w:spacing w:after="0" w:line="159" w:lineRule="exact"/>
        <w:rPr>
          <w:sz w:val="20"/>
          <w:szCs w:val="20"/>
          <w:color w:val="auto"/>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Purchaser:</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Finance Ltd.</w:t>
      </w:r>
    </w:p>
    <w:p>
      <w:pPr>
        <w:spacing w:after="0" w:line="27" w:lineRule="exact"/>
        <w:rPr>
          <w:rFonts w:ascii="Times New Roman" w:cs="Times New Roman" w:eastAsia="Times New Roman" w:hAnsi="Times New Roman"/>
          <w:sz w:val="18"/>
          <w:szCs w:val="18"/>
          <w:color w:val="auto"/>
        </w:rPr>
      </w:pPr>
    </w:p>
    <w:p>
      <w:pPr>
        <w:ind w:left="1960" w:right="65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 Newport Center Drive, Suite 650 Newport Beach, CA 92660</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ahromyk@firstfinance.com</w:t>
      </w:r>
    </w:p>
    <w:p>
      <w:pPr>
        <w:spacing w:after="0" w:line="20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Sichenzia Ross Ference Carmel LLP</w:t>
      </w:r>
    </w:p>
    <w:p>
      <w:pPr>
        <w:spacing w:after="0" w:line="27" w:lineRule="exact"/>
        <w:rPr>
          <w:rFonts w:ascii="Times New Roman" w:cs="Times New Roman" w:eastAsia="Times New Roman" w:hAnsi="Times New Roman"/>
          <w:sz w:val="18"/>
          <w:szCs w:val="18"/>
          <w:color w:val="auto"/>
        </w:rPr>
      </w:pPr>
    </w:p>
    <w:p>
      <w:pPr>
        <w:ind w:left="1960" w:right="6320"/>
        <w:spacing w:after="0" w:line="1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1185 Avenue of the Americas, 31</w:t>
      </w:r>
      <w:r>
        <w:rPr>
          <w:rFonts w:ascii="Times New Roman" w:cs="Times New Roman" w:eastAsia="Times New Roman" w:hAnsi="Times New Roman"/>
          <w:sz w:val="35"/>
          <w:szCs w:val="35"/>
          <w:color w:val="auto"/>
          <w:vertAlign w:val="superscript"/>
        </w:rPr>
        <w:t>st</w:t>
      </w:r>
      <w:r>
        <w:rPr>
          <w:rFonts w:ascii="Times New Roman" w:cs="Times New Roman" w:eastAsia="Times New Roman" w:hAnsi="Times New Roman"/>
          <w:sz w:val="18"/>
          <w:szCs w:val="18"/>
          <w:color w:val="auto"/>
        </w:rPr>
        <w:t xml:space="preserve"> Floor New York, NY 10036</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mross@srfc.law</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(212) 930 9700</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Marc Ross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or any Subsidiary:</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ClearOne, Inc.</w:t>
      </w:r>
    </w:p>
    <w:p>
      <w:pPr>
        <w:spacing w:after="0" w:line="27" w:lineRule="exact"/>
        <w:rPr>
          <w:rFonts w:ascii="Times New Roman" w:cs="Times New Roman" w:eastAsia="Times New Roman" w:hAnsi="Times New Roman"/>
          <w:sz w:val="18"/>
          <w:szCs w:val="18"/>
          <w:color w:val="auto"/>
        </w:rPr>
      </w:pPr>
    </w:p>
    <w:p>
      <w:pPr>
        <w:ind w:left="1960" w:right="69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5225 Wiley Post Way, Suite 500 Salt Lake City, Utah 84116</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Derek.Graham@clearone.com</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(801) 303-3425</w:t>
      </w:r>
    </w:p>
    <w:p>
      <w:pPr>
        <w:spacing w:after="0" w:line="9" w:lineRule="exact"/>
        <w:rPr>
          <w:rFonts w:ascii="Times New Roman" w:cs="Times New Roman" w:eastAsia="Times New Roman" w:hAnsi="Times New Roman"/>
          <w:sz w:val="18"/>
          <w:szCs w:val="18"/>
          <w:color w:val="auto"/>
        </w:rPr>
      </w:pPr>
    </w:p>
    <w:p>
      <w:pPr>
        <w:ind w:left="1960" w:right="5440"/>
        <w:spacing w:after="0" w:line="5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Attention: Derek L. Graham, Chief Executive Officer With a copy (which shall not constitute notice) to:</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Seyfarth Shaw</w:t>
      </w:r>
    </w:p>
    <w:p>
      <w:pPr>
        <w:spacing w:after="0" w:line="27" w:lineRule="exact"/>
        <w:rPr>
          <w:rFonts w:ascii="Times New Roman" w:cs="Times New Roman" w:eastAsia="Times New Roman" w:hAnsi="Times New Roman"/>
          <w:sz w:val="18"/>
          <w:szCs w:val="18"/>
          <w:color w:val="auto"/>
        </w:rPr>
      </w:pPr>
    </w:p>
    <w:p>
      <w:pPr>
        <w:ind w:left="1960" w:right="71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Milam Street, Suite 1400 Houston, TX 77002</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mcoffin@seyfarth.com</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(713) 225-1337</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Mark Coffin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if personally delivered, when delivered by hand; if mailed, five (5) Business Days after being deposited in the mail, postage prepaid; if delivered by courier, one (1) Business Day after being deposited with a reputable overnight courier, with charges prepaid; or if emailed, when receipt is acknowledged.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u w:val="single" w:color="auto"/>
          <w:color w:val="auto"/>
        </w:rPr>
        <w:t>Successors and Assigns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18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successors and permitted assigns of the parties hereto. Subject to applicable securities laws, the Purchaser may at any time transfer the Note, Class B Preferred Stock or underlying Common Stock held by it in whole or in part and may assign its rights under the Transaction Documents to one or more assignees without requiring the consent of any other Person. In addition, the Purchaser may, upon notice to the Borrower, sell participations to any Person in all or a portion of the Purchaser’s rights and/or obligations under this Agreement or any other Transaction Document. Neither the Borrower nor any Subsidiary may assign any of its rights, or delegate any of its obligations, under any Transaction Document without the prior written consent of the Purchaser, and any such purported assignment by the Borrower or any such Subsidiary without the written consent of the Purchaser shall be void and of no effect. No Person other than the parties hereto and its successors and permitted assigns is intended to be a beneficiary of this Agreement or any other Transaction Document.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at one of its offices in the United States a copy of each assignment agreement delivered to it and a register for the recordation of the names and addresses of the Purchaser, and the commitments of, and principal amounts (and stated interest) of the Note owing to, the Purchaser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 and the Purchaser shall treat each Person whose name is recorded in the Register pursuant to the terms hereof as a Purchaser hereunder for all purposes of this Agreement. The Register shall be available for inspection by the Borrower and the Purchaser, at any reasonable time and from time to time upon reasonable prior notice.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acting solely for this purpose as a non-fiduciary agent of the Borrower, shall maintain a register on which it enters the name and address of each participant and the principal amounts (and stated interest) of each participant’s interest in the Note or this Agreement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Purchaser shall have any obligation to disclose all or any portion of the Participant Register (including the identity of any participant or any information relating to a participant’s interest in any commitments, loans, letters of credit or its other obligations under the Note or this Agreement) to any third party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Purchaser shall treat each Person whose name is recorded in the Participant Register as the owner of such participation for all purposes of this Agreement notwithstanding any notice to the contrary.</w:t>
      </w:r>
    </w:p>
    <w:p>
      <w:pPr>
        <w:spacing w:after="0" w:line="18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b w:val="1"/>
          <w:bCs w:val="1"/>
          <w:u w:val="single" w:color="auto"/>
          <w:color w:val="auto"/>
        </w:rPr>
        <w:t>Amendment and Waiver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18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of the parties hereto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in this Agreement are cumulative and are not exclusive of any remedies that may be available to the parties hereto at law, in equity or otherwise.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supplement or modification of or to any provision of this Agreement or the Note and any consent to any departure by any party from the terms of any provision of this Agreement or the Note, shall be effective (i) only if it is made or given in writing and signed by the Borrower and the Purchaser and (ii) only in the specific instance and for the specific purpose for which made or given.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notice is specifically required by this Agreement, no notice to or demand on the Borrower or any of its Subsidiaries in any case shall entitle the Borrower or any of its Subsidiaries to any other or further notice or demand in similar or other circumstances.</w:t>
      </w:r>
    </w:p>
    <w:p>
      <w:pPr>
        <w:spacing w:after="0" w:line="14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b w:val="1"/>
          <w:bCs w:val="1"/>
          <w:u w:val="single" w:color="auto"/>
          <w:color w:val="auto"/>
        </w:rPr>
        <w:t>Signatures; Counterparts</w:t>
      </w:r>
      <w:r>
        <w:rPr>
          <w:rFonts w:ascii="Times New Roman" w:cs="Times New Roman" w:eastAsia="Times New Roman" w:hAnsi="Times New Roman"/>
          <w:sz w:val="18"/>
          <w:szCs w:val="18"/>
          <w:color w:val="auto"/>
        </w:rPr>
        <w:t>. Facsimile and electronic transmissions of any executed original document and/or retransmission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facsimile or electronic transmission shall be deemed to be the same as the delivery of an executed original. At the request of any party hereto, the other parties hereto shall confirm facsimile transmissions by executing duplicate original documents and delivering the same to the requesting party or parties.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CONSTRUED IN ACCORDANCE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ENFORCED UNDER, THE LAWS OF THE STATE OF NEW YORK, WITHOUT REGARD TO THE PRINCIPLES OF CONFLICTS OF LAW OF SUCH STATE THAT WOULD REQUIRE THE APPLICATION OF THE LAW OF ANOTHER JURISDICTION.</w:t>
      </w:r>
    </w:p>
    <w:p>
      <w:pPr>
        <w:spacing w:after="0" w:line="171"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7"/>
          <w:szCs w:val="17"/>
          <w:b w:val="1"/>
          <w:bCs w:val="1"/>
          <w:u w:val="single" w:color="auto"/>
          <w:color w:val="auto"/>
        </w:rPr>
        <w:t>JURISDICTION, JURY TRIAL WAIVER, ETC.</w:t>
      </w:r>
    </w:p>
    <w:p>
      <w:pPr>
        <w:spacing w:after="0" w:line="229" w:lineRule="exact"/>
        <w:rPr>
          <w:sz w:val="20"/>
          <w:szCs w:val="20"/>
          <w:color w:val="auto"/>
        </w:rPr>
      </w:pPr>
    </w:p>
    <w:p>
      <w:pPr>
        <w:jc w:val="both"/>
        <w:ind w:firstLine="1304"/>
        <w:spacing w:after="0" w:line="253" w:lineRule="auto"/>
        <w:tabs>
          <w:tab w:leader="none" w:pos="25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HEREBY IRREVOCABLY AGREES THAT ANY LEGAL ACTION OR PROCEEDING ARISING OUT OF OR RELATING TO THIS AGREEMENT, THE NOTE OR ANY AGREEMENTS OR TRANSACTIONS CONTEMPLATED HEREBY OR THEREBY MAY BE BROUGHT IN THE STATE AND FEDERAL COURTS SITTING IN THE CITY OF NEW YORK, BOROUGH OF MANHATTAN, OR ANY APPELLATE COURT FROM ANY THEREOF, AND HEREBY EXPRESSLY SUBMITS TO THE PERSONAL JURISDICTION AND VENUE OF SUCH COURTS FOR THE PURPOSES THEREOF AND EXPRESSLY WAIVES ANY CLAIM OF IMPROPER VENUE AND ANY CLAIM THAT ANY SUCH COURT IS AN INCONVENIENT FORUM. EACH PARTY HEREBY IRREVOCABLY CONSENTS TO THE SERVICE OF PROCESS OF ANY OF THE AFOREMENTIONED COURTS IN ANY SUCH SUIT, ACTION OR PROCEEDING BY THE MAILING OF COPIES THEREOF BY A GENERALLY RECOGNIZED OVERNIGHT COURIER OR REGISTERED OR CERTIFIED MAIL, POSTAGE PREPAID, TO ITS ADDRESS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SUCH SERVICE TO BECOME EFFECTIVE 10 DAYS AFTER SUCH MAILING. NOTWITHSTANDING ANYTHING TO THE CONTRARY SET FORTH HEREIN, NOTHING IN THIS AGREEMENT SHALL LIMIT THE RIGHT OF THE PURCHASER TO BRING ANY ACTION ARISING OUT OF OR RELATING TO THIS AGREEMENT, THE NOTE OR THE TRANSACTIONS CONTEMPLATED HEREBY OR THEREBY IN ANY JURISDICTION IN WHICH ANY COLLATERAL IS LOCATED.</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EACH PARTY TO THIS AGREEMENT HEREBY WAIVES ITS RIGHT TO A JURY TRIAL WITH RESPECT TO ANY ACTION OR CLAIM ARISING OUT OF ANY DISPUTE IN CONNECTION WITH THIS AGREEMENT OR ANY OTHER TRANSACTION DOCUMENT, ANY RIGHTS OR OBLIGATIONS HEREUNDER OR THEREUNDER OR THE PERFORMANCE OF SUCH RIGHTS AND OBLIGATIONS.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one or more of the provisions contained in this Agreement, or the application thereof in any circumstance, is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illegal or unenforceable in any respect for any reason, the validity, legality and enforceability of any such provision in every other respect and of the remaining provisions hereof shall not be in any way impaired, unless the provisions held invalid, illegal or unenforceable shall substantially impair the benefits of the remaining provisions of this Agreement. The parties hereto further agree to replace such invalid, illegal, or unenforceable provision of this Agreement with a valid, legal, and enforceable provision that will achieve, to the extent possible, the economic, business and other purposes of such invalid, illegal, or unenforceable provision.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 </w:t>
      </w:r>
      <w:r>
        <w:rPr>
          <w:rFonts w:ascii="Times New Roman" w:cs="Times New Roman" w:eastAsia="Times New Roman" w:hAnsi="Times New Roman"/>
          <w:sz w:val="18"/>
          <w:szCs w:val="18"/>
          <w:b w:val="1"/>
          <w:bCs w:val="1"/>
          <w:u w:val="single" w:color="auto"/>
          <w:color w:val="auto"/>
        </w:rPr>
        <w:t>Rules of Construction</w:t>
      </w:r>
      <w:r>
        <w:rPr>
          <w:rFonts w:ascii="Times New Roman" w:cs="Times New Roman" w:eastAsia="Times New Roman" w:hAnsi="Times New Roman"/>
          <w:sz w:val="18"/>
          <w:szCs w:val="18"/>
          <w:color w:val="auto"/>
        </w:rPr>
        <w:t>. Unless the context otherwise requires, “or” is not exclusive, and references to sections or subsections refer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or subsections of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together with the exhibits and schedules hereto and the Note, is intended by the parties as a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 of its agreement and intended to be a complete and exclusive statement of the agreement and understanding of the parties hereto in respect of the subject matter contained herein and therein. There are no restrictions, promises, warranties or undertakings, other than those set forth or referred to herein or therein. This Agreement, together with the exhibits and schedules hereto, and the Note supersede all prior agreements and understandings between the parties with respect to such subject matter.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11.12</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2" w:lineRule="auto"/>
        <w:tabs>
          <w:tab w:leader="none" w:pos="144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all other sums due hereunder or provided for in this Agreement, the Borrower and Purchaser shall each indemnify and hold harmless the other and each of its respective Affiliates, and each of their respective managers, officers, directors, agents, employees, Subsidiaries, partners, members, attorneys, accountants and controlling persons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to the fullest extent permitted by law from and against any and all reasonable and documented out-of-pocket losses, claims, damages, expenses (including, without limitation, fees, disbursements and other charges of outside counsel and costs of investigation incurred by an Indemnified Party in any action or proceeding between the Borrower (or any of its Subsidiaries) and such Indemnified Party (or Indemnified Parties) or between an Indemnified Party (or Indemnified Parties) and any third party or otherwise) or other liabilities or losses (collectively,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xml:space="preserve">”), in each case resulting from or arising out of any breach of any representation or warranty, covenant or agreement of a Party or any of its Subsidiaries in this Agreement or any other Transaction Document, or any legal, administrative or other actions (including, without limitation, actions brought by any holders of equity or Indebtedness of the Borrower or any of its Subsidiaries or derivative actions brought by any Person claiming through or in the Borrower’s or any such Subsidiary’s name), proceedings or investigations (whether formal or informal), or written threats thereof, based upon, relating to or arising out of the Note or this Agreement, the transactions contemplated thereby, or any Indemnified Party’s role therein or in the transactions contemplated thereby, or the gross negligence, or willful misconduct of the Purchaser on the one hand or the Borrower or any of its Affiliates and their respective directors, officers, and employees on the other hand;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neither Party shall be liable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to an Indemnified Party to the extent that it is finally judicially determined that such Liabilities resulted from the willful misconduct, or gross negligence of an Indemnified Party. In connection with the obligation of the Parties to indemnify for expenses as set forth above, each Party further agrees, upon presentation of appropriate invoices, to reimburse each Indemnified Party for all such reasonable and documented out-of-pocket expenses (including, without limitation, fees, disbursements and other charges of outside counsel and costs of investigation incurred by an Indemnified Party in connection with any Liabilities) as they are incurred by such Indemnified Party. The obligations of each Party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11.12</w:t>
      </w:r>
      <w:r>
        <w:rPr>
          <w:rFonts w:ascii="Times New Roman" w:cs="Times New Roman" w:eastAsia="Times New Roman" w:hAnsi="Times New Roman"/>
          <w:sz w:val="18"/>
          <w:szCs w:val="18"/>
          <w:color w:val="auto"/>
        </w:rPr>
        <w:t xml:space="preserve"> shall survive the termination of this Agreement.</w:t>
      </w:r>
    </w:p>
    <w:p>
      <w:pPr>
        <w:spacing w:after="0" w:line="190" w:lineRule="exact"/>
        <w:rPr>
          <w:rFonts w:ascii="Times New Roman" w:cs="Times New Roman" w:eastAsia="Times New Roman" w:hAnsi="Times New Roman"/>
          <w:sz w:val="18"/>
          <w:szCs w:val="18"/>
          <w:color w:val="auto"/>
        </w:rPr>
      </w:pPr>
    </w:p>
    <w:p>
      <w:pPr>
        <w:jc w:val="both"/>
        <w:ind w:firstLine="656"/>
        <w:spacing w:after="0" w:line="251" w:lineRule="auto"/>
        <w:tabs>
          <w:tab w:leader="none" w:pos="90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Indemnified Party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will, promptly after the receipt of notice of the commencement of any action, investigation, claim or other proceeding against such Indemnified Party in respect of which indemnity may be sought from the indemnifying Party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11.12</w:t>
      </w:r>
      <w:r>
        <w:rPr>
          <w:rFonts w:ascii="Times New Roman" w:cs="Times New Roman" w:eastAsia="Times New Roman" w:hAnsi="Times New Roman"/>
          <w:sz w:val="18"/>
          <w:szCs w:val="18"/>
          <w:color w:val="auto"/>
        </w:rPr>
        <w:t xml:space="preserve">, notify the indemnifying Party in writing of the commencement thereof. The omission of any Indemnified Party to so notify the other Party of any such action shall not relieve the indemnifying Party from any liability which it may have to such Indemnified Party, except to the extent that such omission impairs the indemnifying Party’s ability to defend the action, claim or other proceeding. In case any such action, claim or other proceeding shall be brought against any Indemnified Party and it shall notify the indemnifying Party of the commencement thereof, the indemnifying Party shall be entitled to assume the defense thereof at its own expense, with counsel satisfactory to such Indemnified Party in its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Indemnified Party may, at its own expense, retain separate counsel to participate in such defense. Notwithstanding the foregoing, in any action, claim or proceeding in which the Borrower or Purchaser, on the one hand, and an Indemnified Party, on the other hand, is, or may become, a party, such Indemnified Party shall have the right to employ separate counsel at the other Party’s expense and to control its own defense of such action, claim or proceeding if, in the opinion of counsel to such Indemnified Party, a conflict or potential conflict exists between the other Party, on the one hand, and such Indemnified Party, on the other hand, that would make such separate representation advisable. The Borrower agrees that it will not, without the prior written consent of the other Party, settle, compromise or consent to the entry of any judgment in any pending or threatened claim, action or proceeding relating to the matters contemplated hereby (if any Indemnified Party is a party thereto or has been actually threatened in writing to be made a party thereto) unless such settlement, compromise or consent includes an unconditional release of the Borrower or the Purchaser on the one hand and each other Indemnified Party on the other hand from all liability arising or that may arise out of such claim, action or proceeding. The rights accorded to Indemnified Parties hereunder shall be in addition to any rights that any Indemnified Party may have at common law, by separate agreement or otherwise.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11.13 </w:t>
      </w:r>
      <w:r>
        <w:rPr>
          <w:rFonts w:ascii="Times New Roman" w:cs="Times New Roman" w:eastAsia="Times New Roman" w:hAnsi="Times New Roman"/>
          <w:sz w:val="18"/>
          <w:szCs w:val="18"/>
          <w:b w:val="1"/>
          <w:bCs w:val="1"/>
          <w:u w:val="single" w:color="auto"/>
          <w:color w:val="auto"/>
        </w:rPr>
        <w:t>No Strict Construction</w:t>
      </w:r>
      <w:r>
        <w:rPr>
          <w:rFonts w:ascii="Times New Roman" w:cs="Times New Roman" w:eastAsia="Times New Roman" w:hAnsi="Times New Roman"/>
          <w:sz w:val="18"/>
          <w:szCs w:val="18"/>
          <w:color w:val="auto"/>
        </w:rPr>
        <w:t>. The parties hereto have participated jointly in the negotiation and drafting of this Agreement and the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 ambiguity or question of intent or interpretation arises under any provision of this Agreement or any other Transaction Document, this Agreement and the Note shall be construed as if drafted jointly by the parties thereto, and no presumption or burden of proof shall arise favoring or disfavoring any party by virtue of the authorship of any of the provisions of this Agreement or any other Transaction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 and the Borrower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The Purchaser agrees to maintain the confidentiality of information obtained by it pursuant to the Note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except that such information may be disclosed (i) with the Borrower’s consent, (ii) to the extent such information presently is or hereafter becomes (A) publicly available other than as a result of a breach of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or (B) available to the Purchaser from a source (other than the Borrower or any of its Subsidiaries) not known by the Purchaser to be subject to disclosure restrictions, (iii) to the extent disclosure is required by applicable Requirements of Law or other legal process or requested or demanded by any Governmental Authority or any insurance industry association,</w:t>
      </w:r>
    </w:p>
    <w:p>
      <w:pPr>
        <w:spacing w:after="0" w:line="3" w:lineRule="exact"/>
        <w:rPr>
          <w:sz w:val="20"/>
          <w:szCs w:val="20"/>
          <w:color w:val="auto"/>
        </w:rPr>
      </w:pPr>
    </w:p>
    <w:p>
      <w:pPr>
        <w:jc w:val="both"/>
        <w:ind w:firstLine="8"/>
        <w:spacing w:after="0" w:line="252" w:lineRule="auto"/>
        <w:tabs>
          <w:tab w:leader="none" w:pos="3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other party hereto, (v) to any assignee or participant or potential assignee or participant that has agreed to comply with the covenant contained in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(v) in connection with the exercise or enforcement of any right or remedy under the Note or this Agreement or in connection with any litigation or other proceeding to which Purchaser is a party or bound, (ix) to any nationally recognized rating agency that requires access to information about a Purchaser’s investment portfolio in connection with ratings issued with respect to the Purchaser, or (x) to the Purchaser’s independent auditors and other professional advisors as to which such information has been identified as confidential. In the event of any conflict between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11.14</w:t>
      </w:r>
      <w:r>
        <w:rPr>
          <w:rFonts w:ascii="Times New Roman" w:cs="Times New Roman" w:eastAsia="Times New Roman" w:hAnsi="Times New Roman"/>
          <w:sz w:val="18"/>
          <w:szCs w:val="18"/>
          <w:color w:val="auto"/>
        </w:rPr>
        <w:t xml:space="preserve"> and those of any other Contractual Obligation entered into with the Borrower or any of its Subsidiaries (whether or not the Note or this Agreement or any other agreement), the terms of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shall govern.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and delivered by its respective officers hereunto duly authorized as of the date first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Derek L. Graham</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Derek L. Graham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FIRST FINANCE LTD.</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Andrew Hromyk</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Andrew Hromyk</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Note Purchase Agreement]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NOTE</w:t>
      </w:r>
    </w:p>
    <w:p>
      <w:pPr>
        <w:spacing w:after="0" w:line="200" w:lineRule="exact"/>
        <w:rPr>
          <w:sz w:val="20"/>
          <w:szCs w:val="20"/>
          <w:color w:val="auto"/>
        </w:rPr>
      </w:pPr>
    </w:p>
    <w:p>
      <w:pPr>
        <w:spacing w:after="0" w:line="24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pacing w:after="0" w:line="26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FORM OF CERTIFICATE OF DESIGNATION FOR CLASS A PREFERRED STOCK</w:t>
      </w:r>
    </w:p>
    <w:p>
      <w:pPr>
        <w:spacing w:after="0" w:line="2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pacing w:after="0" w:line="3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07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FORM OF CERTIFICATE OF DESIGNATION FOR CLASS B PREFERRED STOCK</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pacing w:after="0" w:line="2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COUNSEL TO BORROWER</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6" w:name="page57"/>
    <w:bookmarkEnd w:id="56"/>
    <w:p>
      <w:pPr>
        <w:ind w:left="101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THIS NOTE NOR THE SECURITIES INTO WHICH THIS NOTE ARE CONVERTIBLE HAVE BEEN REGISTERED WITH THE SECURITIES AND EXCHANGE COMMISSION OR THE SECURITIES COMMISSION OF ANY STATE IN RELIANCE UPON AN EXEMPTION FROM REGISTRATION UNDER THE SECURITIES ACT OF 1933, AS AMENDED (THE “SECURITIES ACT”), AND, ACCORDINGLY, MAY NOT BE OFFERED, SOLD, OR OTHERWISE TRANSFERRED EXCEPT PURSUANT TO AN EFFECTIVE REGISTRATION STATEMENT UNDER THE SECURITIES ACT OR PURSUANT TO AN AVAILABLE EXEMPTION FROM, OR IN A TRANSACTION NOT SUBJECT TO, THE REGISTRATION REQUIREMENTS OF THE SECURITIES ACT AND IN COMPLIANCE WITH APPLICABLE STATE SECURITIES LAWS OR BLUE SKY LAWS.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1</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$3,000,000.00</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2025</w:t>
            </w:r>
          </w:p>
        </w:tc>
        <w:tc>
          <w:tcPr>
            <w:tcW w:w="540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FOR VALUE RECEIVED, CLEARONE,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acknowledges the receipt of an investment from First Finance Ltd.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in the principal amount of Three Million Dollars ($3,000,000.00)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in exchange for debt of the Company which may be converted into shares of the Company’s Class B Preferred Stock, par value $0.001 per share (the “</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 Preferred Stock</w:t>
      </w:r>
      <w:r>
        <w:rPr>
          <w:rFonts w:ascii="Times New Roman" w:cs="Times New Roman" w:eastAsia="Times New Roman" w:hAnsi="Times New Roman"/>
          <w:sz w:val="18"/>
          <w:szCs w:val="18"/>
          <w:color w:val="auto"/>
        </w:rPr>
        <w:t>”) on or before July 21, 2025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in accordance with the terms of this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Agreement (as defined in Section 1 below). The Company shall pay interest to the Holder on the then outstanding principal amount of this Note in accordance with the provisions hereof.</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this Note supersedes, in its entirety, the previously signed Convertible Note between the Company and Holder, dated as of this date, which mistakenly referred to the Maturity Date as July 18, 2025 and was not formally delivered.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payable under this Note shall be computed on the basis of a 360-day year and the actual number of days elapsed (including the first day but excluding the last day) during the applicable period. All amounts owed to the Holder under this Note, including the outstanding principal and all accrued and unpaid interest, shall be satisfied through the conversion of such amounts into shares of Class B Preferred Stock in accordance with the terms of this Note, and no cash payments of principal or interest shall be made.</w:t>
      </w:r>
    </w:p>
    <w:p>
      <w:pPr>
        <w:spacing w:after="0" w:line="180" w:lineRule="exact"/>
        <w:rPr>
          <w:sz w:val="20"/>
          <w:szCs w:val="20"/>
          <w:color w:val="auto"/>
        </w:rPr>
      </w:pPr>
    </w:p>
    <w:p>
      <w:pPr>
        <w:jc w:val="both"/>
        <w:ind w:firstLine="656"/>
        <w:spacing w:after="0" w:line="266" w:lineRule="auto"/>
        <w:tabs>
          <w:tab w:leader="none" w:pos="13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Note, (a) capitalized terms that are not otherwise defined herein have the meanings given to such terms in the Note Purchase Agreement, dated as of June 20, 2025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among the Company, and the Holder, and (b) the following terms have the meanings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both"/>
        <w:ind w:left="4"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or Utah are authorized or required by law or executive order to close.</w:t>
      </w:r>
    </w:p>
    <w:p>
      <w:pPr>
        <w:spacing w:after="0" w:line="155"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means the first Business Day following the date that the Class A Preferred Stock has been issued as a dividend to holders of Common Stock of the Borrower.</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Conversion Price</w:t>
      </w:r>
      <w:r>
        <w:rPr>
          <w:rFonts w:ascii="Times New Roman" w:cs="Times New Roman" w:eastAsia="Times New Roman" w:hAnsi="Times New Roman"/>
          <w:sz w:val="18"/>
          <w:szCs w:val="18"/>
          <w:color w:val="auto"/>
        </w:rPr>
        <w:t>” means $1,000 per share of Class B Preferred Stock subject to adjustment from time to time pursuant to this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w:t>
      </w:r>
    </w:p>
    <w:p>
      <w:pPr>
        <w:spacing w:after="0" w:line="203"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NASDAQ Global Market, The NASDAQ Global Select Market, The NASDAQ Capital Market, the New York Stock Exchange, NYSE Arca or the NYSE MKT (or any successor to any of the foregoing).</w:t>
      </w:r>
    </w:p>
    <w:p>
      <w:pPr>
        <w:spacing w:after="0" w:line="17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a rate of ten percent (10%) per annum until such time as the Note is converted into Class B Preferred Stock.</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means June 20, 2025.</w:t>
      </w:r>
    </w:p>
    <w:p>
      <w:pPr>
        <w:spacing w:after="0" w:line="225" w:lineRule="exact"/>
        <w:rPr>
          <w:sz w:val="20"/>
          <w:szCs w:val="20"/>
          <w:color w:val="auto"/>
        </w:rPr>
      </w:pPr>
    </w:p>
    <w:p>
      <w:pPr>
        <w:jc w:val="both"/>
        <w:ind w:left="4" w:right="20" w:firstLine="6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any day on which the Company’s common stock is listed or quoted and traded on an Eligible Market, or (b) if the Company’s common stock is not then listed or quoted and traded on any Eligible Market, then any Business Day.</w:t>
      </w:r>
    </w:p>
    <w:p>
      <w:pPr>
        <w:spacing w:after="0" w:line="15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 means the shares of Class B Preferred Stock issuable (i) upon conversion of this Note, (ii) in satisfaction of any other obligation or right of the Company to issue shares of Class B Preferred Stock pursuant to the Purchase Agreement, and in each case, any securities issued or issuable in exchange for or in respect of such securities.</w:t>
      </w:r>
    </w:p>
    <w:p>
      <w:pPr>
        <w:spacing w:after="0" w:line="175" w:lineRule="exact"/>
        <w:rPr>
          <w:sz w:val="20"/>
          <w:szCs w:val="20"/>
          <w:color w:val="auto"/>
        </w:rPr>
      </w:pPr>
    </w:p>
    <w:p>
      <w:pPr>
        <w:ind w:left="744" w:hanging="744"/>
        <w:spacing w:after="0"/>
        <w:tabs>
          <w:tab w:leader="none" w:pos="7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6" w:firstLine="656"/>
        <w:spacing w:after="0" w:line="261" w:lineRule="auto"/>
        <w:tabs>
          <w:tab w:leader="none" w:pos="7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accrue interest on the then-outstanding principal amount of this Note at the Interest Rate. Upon conversion of this Note into Class B Preferred Stock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any accrued and unpaid interest with respect to the principal amount of this Note being converted shall automatically convert into additional shares of Class B Preferred Stock, at the same Note Conversion Price applicable to the principal amount being converted, without any further action required by the Holder.</w:t>
      </w:r>
    </w:p>
    <w:p>
      <w:pPr>
        <w:spacing w:after="0" w:line="180" w:lineRule="exact"/>
        <w:rPr>
          <w:sz w:val="20"/>
          <w:szCs w:val="20"/>
          <w:color w:val="auto"/>
        </w:rPr>
      </w:pPr>
    </w:p>
    <w:p>
      <w:pPr>
        <w:ind w:left="744" w:hanging="744"/>
        <w:spacing w:after="0"/>
        <w:tabs>
          <w:tab w:leader="none" w:pos="7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and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6" w:firstLine="656"/>
        <w:spacing w:after="0" w:line="261" w:lineRule="auto"/>
        <w:tabs>
          <w:tab w:leader="none" w:pos="7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 redemption of all outstanding shares of the Company’s Class A Preferred Stock, which shall have a preference with respect to the proceeds of a sale of all or substantially all of the Company’s assets and operating business, no class or series of capital stock or indebtedness of the Company or any Subsidiary shall be senior to or on a parity with this Note in right of payment, whether with respect to interest, damages or upon liquidation or dissolution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113030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49" w:right="339" w:bottom="1440" w:gutter="0" w:footer="0" w:header="0"/>
        </w:sectPr>
      </w:pPr>
    </w:p>
    <w:bookmarkStart w:id="58" w:name="page59"/>
    <w:bookmarkEnd w:id="58"/>
    <w:p>
      <w:pPr>
        <w:jc w:val="both"/>
        <w:ind w:left="-656" w:firstLine="656"/>
        <w:spacing w:after="0" w:line="266" w:lineRule="auto"/>
        <w:tabs>
          <w:tab w:leader="none" w:pos="7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covenants set forth in the Purchase Agreement (including </w:t>
      </w:r>
      <w:r>
        <w:rPr>
          <w:rFonts w:ascii="Times New Roman" w:cs="Times New Roman" w:eastAsia="Times New Roman" w:hAnsi="Times New Roman"/>
          <w:sz w:val="18"/>
          <w:szCs w:val="18"/>
          <w:u w:val="single" w:color="auto"/>
          <w:color w:val="auto"/>
        </w:rPr>
        <w:t>Articles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of the Purchase Agreement and the affirmative and negative covenants set forth therein) are incorporated by reference herein and are for the benefit of the holders of this Note. The covenants set forth in </w:t>
      </w:r>
      <w:r>
        <w:rPr>
          <w:rFonts w:ascii="Times New Roman" w:cs="Times New Roman" w:eastAsia="Times New Roman" w:hAnsi="Times New Roman"/>
          <w:sz w:val="18"/>
          <w:szCs w:val="18"/>
          <w:u w:val="single" w:color="auto"/>
          <w:color w:val="auto"/>
        </w:rPr>
        <w:t>Articles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of the Purchase Agreement may only be amended or waived by the written consent of the Holder.</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it will at all times reserve and keep available out of its authorized but unissued and otherwise unreserved Class B Preferred Stock, solely for the purpose of enabling it to issue Underlying Shares as required under this Note, the number of Underlying Shares which are then issuable and deliverable upon the conversion of (and otherwise in respect of) this Note, free from preemptive rights or any other contingent purchase rights of any other Person. The Company covenants that all Underlying Shares so issuable and deliverable shall, upon issuance in accordance with the terms of this Note, be duly and validly authorized and issued and fully paid and nonassessable.</w:t>
      </w:r>
    </w:p>
    <w:p>
      <w:pPr>
        <w:spacing w:after="0" w:line="183" w:lineRule="exact"/>
        <w:rPr>
          <w:sz w:val="20"/>
          <w:szCs w:val="20"/>
          <w:color w:val="auto"/>
        </w:rPr>
      </w:pPr>
    </w:p>
    <w:p>
      <w:pPr>
        <w:ind w:left="744" w:hanging="744"/>
        <w:spacing w:after="0"/>
        <w:tabs>
          <w:tab w:leader="none" w:pos="7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6" w:firstLine="656"/>
        <w:spacing w:after="0" w:line="256"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on the Conversion Date.</w:t>
      </w:r>
      <w:r>
        <w:rPr>
          <w:rFonts w:ascii="Times New Roman" w:cs="Times New Roman" w:eastAsia="Times New Roman" w:hAnsi="Times New Roman"/>
          <w:sz w:val="18"/>
          <w:szCs w:val="18"/>
          <w:color w:val="auto"/>
        </w:rPr>
        <w:t xml:space="preserve"> On the Conversion Date, this Note, including the entire outstanding principal amount, shall automatically convert into shares of Class B Preferred Stock, without any further action by the Holder, at a conversion price equal to the Note Conversion Price then in effect. The number of shares of Class B Preferred Stock issuable upon such conversion shall equal the outstanding principal amount of this Note divided by the Note Conversion Price on the Conversion Date. No Conversion Notice or Conversion Schedule shall be required for this automatic conversion; provided, however, that the Company shall promptly deliver to the Holder an updated capitalization table reflecting such conversion within five (5) Business Days following the Conversion Date.</w:t>
      </w:r>
    </w:p>
    <w:p>
      <w:pPr>
        <w:spacing w:after="0" w:line="187" w:lineRule="exact"/>
        <w:rPr>
          <w:rFonts w:ascii="Times New Roman" w:cs="Times New Roman" w:eastAsia="Times New Roman" w:hAnsi="Times New Roman"/>
          <w:sz w:val="18"/>
          <w:szCs w:val="18"/>
          <w:color w:val="auto"/>
        </w:rPr>
      </w:pPr>
    </w:p>
    <w:p>
      <w:pPr>
        <w:ind w:left="-656" w:firstLine="656"/>
        <w:spacing w:after="0" w:line="282" w:lineRule="auto"/>
        <w:tabs>
          <w:tab w:leader="none" w:pos="7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of Accrued Interest and Accrued Dividends</w:t>
      </w:r>
      <w:r>
        <w:rPr>
          <w:rFonts w:ascii="Times New Roman" w:cs="Times New Roman" w:eastAsia="Times New Roman" w:hAnsi="Times New Roman"/>
          <w:sz w:val="18"/>
          <w:szCs w:val="18"/>
          <w:color w:val="auto"/>
        </w:rPr>
        <w:t>. On the Conversion Date, any accrued and unpaid interest and any accrued and unpaid dividends on the principal amount of this Note shall automatically convert into additional shares of Class B Preferred Stock.</w:t>
      </w:r>
    </w:p>
    <w:p>
      <w:pPr>
        <w:spacing w:after="0" w:line="27" w:lineRule="exact"/>
        <w:rPr>
          <w:sz w:val="20"/>
          <w:szCs w:val="20"/>
          <w:color w:val="auto"/>
        </w:rPr>
      </w:pPr>
    </w:p>
    <w:p>
      <w:pPr>
        <w:ind w:left="744" w:hanging="744"/>
        <w:spacing w:after="0"/>
        <w:tabs>
          <w:tab w:leader="none" w:pos="7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 Restrictive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6" w:firstLine="656"/>
        <w:spacing w:after="0" w:line="253" w:lineRule="auto"/>
        <w:tabs>
          <w:tab w:leader="none" w:pos="7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of this Note, the Company shall promptly (but in no event later than one (1) Trading Day after the Conversion Date) issue or cause to be issued and cause to be delivered to or upon the written order of the Holder and in such name or names as the Holder may designate a certificate for the Underlying Shares issuable upon such conversion (or the Holder or its designee shall receive a credit for such Underlying Shares issuable upon such conversion to its balance account with The Depository Trust Company ( the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Agent Commission System). The Holder, or any Person so designated by the Holder to receive Underlying Shares, shall be deemed to have become the holder of record of such Underlying Shares as of the Conversion Date. The Company shall, upon request of the Holder, use its reasonable best efforts to deliver the Underlying Shares hereunder electronically through the DTC, and to credit the number of shares of Class B Preferred Stock to which the Holder shall be entitled to the Holder’s or its designee’s balance account with the DTC through its Deposit Withdrawal Agent Commission System. If the Company is not presently eligible to deliver its Class B Preferred Stock electronically through DTC, the Company shall use its best efforts to take all action necessary to become so eligible promptly following the Closing Date.</w:t>
      </w:r>
    </w:p>
    <w:p>
      <w:pPr>
        <w:spacing w:after="0" w:line="194"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7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not be required to deliver the original Note in order to effect a conversion hereunder. The Holder shall deliver the original Note to the Company within thirty (30) days after the conversion of the entire Note hereunder, provided, that the Holder’s failure to so deliver the original Note shall not affect the validity of such conversion or any of the Company’s obligations under this Note, and the Company’s sole remedy for the Holder’s failure to deliver the original Note shall be to obtain an affidavit of lost note from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113030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59" w:name="page60"/>
    <w:bookmarkEnd w:id="59"/>
    <w:p>
      <w:pPr>
        <w:jc w:val="both"/>
        <w:ind w:left="-656" w:firstLine="656"/>
        <w:spacing w:after="0" w:line="255" w:lineRule="auto"/>
        <w:tabs>
          <w:tab w:leader="none" w:pos="7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issue and deliver Underlying Shares upon conversion of this Note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such Underlying Shares (other than such limitations contemplated by this Note).</w:t>
      </w:r>
    </w:p>
    <w:p>
      <w:pPr>
        <w:spacing w:after="0" w:line="188" w:lineRule="exact"/>
        <w:rPr>
          <w:rFonts w:ascii="Times New Roman" w:cs="Times New Roman" w:eastAsia="Times New Roman" w:hAnsi="Times New Roman"/>
          <w:sz w:val="18"/>
          <w:szCs w:val="18"/>
          <w:color w:val="auto"/>
        </w:rPr>
      </w:pPr>
    </w:p>
    <w:p>
      <w:pPr>
        <w:ind w:left="764" w:hanging="764"/>
        <w:spacing w:after="0"/>
        <w:tabs>
          <w:tab w:leader="none" w:pos="7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for Underlying Shares shall bear the following restrictive legend:</w:t>
      </w:r>
    </w:p>
    <w:p>
      <w:pPr>
        <w:spacing w:after="0" w:line="225"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(THE “SECURITIES ACT”), OR UNDER THE SECURITIES LAWS OF ANY STATE OR OTHER JURISDICTION. SUCH SECURITIES MAY NOT BE OFFERED, SOLD, PLEDGED, HYPOTHECATED, TRANSFERRED OR OTHERWISE DISPOSED OF UNLESS (i) SUCH SECURITIES HAVE BEEN REGISTERED UNDER THE SECURITIES ACT AND APPLICABLE STATE SECURITIES LAWS, OR (ii) AN EXEMPTION FROM SUCH REGISTRATION IS AVAILABLE AND, IF REQUESTED BY THE COMPANY, THE HOLDER HAS PROVIDED AN OPINION OF COUNSEL REASONABLY SATISFACTORY TO THE COMPANY THAT SUCH REGISTRATION IS NOT REQUIRED UNDER THE SECURITIES ACT AND ANY APPLICABLE STATE SECURITIES LAWS.</w:t>
      </w:r>
    </w:p>
    <w:p>
      <w:pPr>
        <w:spacing w:after="0" w:line="189" w:lineRule="exact"/>
        <w:rPr>
          <w:sz w:val="20"/>
          <w:szCs w:val="20"/>
          <w:color w:val="auto"/>
        </w:rPr>
      </w:pPr>
    </w:p>
    <w:p>
      <w:pPr>
        <w:ind w:left="-656" w:right="20" w:firstLine="656"/>
        <w:spacing w:after="0" w:line="282" w:lineRule="auto"/>
        <w:tabs>
          <w:tab w:leader="none" w:pos="73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At any time or times following the occurrence of an Event of Default, the Holder shall have the rights and remedies set forth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the Purchase Agreement.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73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of certificates for Underlying Shares upon conversion of (or otherwise in respect of) this Note shall be made without charge to the Holder for any issue or transfer tax, withholding tax, transfer agent fee, or other incidental tax or expense in respect of the issuance of such certificate, all of which taxes and expenses shall be paid by the Company; provided, however, that the Company shall not be required to pay any tax which may be payable in respect of any transfer involved in the registration of any certificates for Underlying Shares or Notes in a name other than that of the Holder. The Holder shall be responsible for all other tax liabilities that may arise as a result of holding or transferring this Note or receiving Underlying Shares in respect hereof.</w:t>
      </w:r>
    </w:p>
    <w:p>
      <w:pPr>
        <w:spacing w:after="0" w:line="187" w:lineRule="exact"/>
        <w:rPr>
          <w:sz w:val="20"/>
          <w:szCs w:val="20"/>
          <w:color w:val="auto"/>
        </w:rPr>
      </w:pPr>
    </w:p>
    <w:p>
      <w:pPr>
        <w:jc w:val="both"/>
        <w:ind w:left="-656" w:firstLine="656"/>
        <w:spacing w:after="0" w:line="254" w:lineRule="auto"/>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Note is outstanding, (i) pays a stock dividend on its Common Stock or otherwise makes a distribution on any class of capital stock that is payable in shares of Common Stock, (ii) subdivides outstanding shares of Common Stock into a larger number of shares, or (iii) combines outstanding shares of Common Stock into a smaller number of shares, then in each such case, the Note Conversion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Section 7(a) shall become effective immediately after the record date for the determination of stockholders entitled to receive such dividend or distribution, and any adjustment pursuant to this Section 7(a) shall become effective immediately after the effective date of such subdivision or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111760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60" w:name="page61"/>
    <w:bookmarkEnd w:id="60"/>
    <w:p>
      <w:pPr>
        <w:jc w:val="both"/>
        <w:ind w:firstLine="656"/>
        <w:spacing w:after="0" w:line="255" w:lineRule="auto"/>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Note is outstanding, distributes to all holders of Common Stock (i) evidences of its indebtedness, (ii) any security (other than a distribution of Common Stock described in Section 7(a) or a pro rata distribution of Class A Preferred Stock to holders of Common Stock in connection with the post-conversion issuance of such Preferred Stock)), (iii) rights or warrants to subscribe for or purchase any security, or (iv) cash or any other asset (in each case, “Distributed Property”), then the Company shall deliver to the Holder (on the effective date of such distribution), the Distributed Property that the Holder would have been entitled to receive in respect of the Underlying Shares for which this Note could have been converted immediately prior to the date on which holders of Common Stock became entitled to receive such Distributed Property.</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41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If, at any time while this Note is outstanding, (i) the Company effects any merger or consolidation of the Company with or into another Person, (ii) the Company effects any sale of all or substantially all of its assets in one or more transactions, (iii) any tender offer or exchange offer (whether by the Company or another Person) is completed pursuant to which holders of Common Stock are permitted to tender or exchange their shares for other securities, cash, or property, (iv) the Company effects any reorganization, reclassification, or recapitalization of the Common Stock or any compulsory share exchange pursuant to which the Common Stock is effectively converted into or exchanged for other securities, cash, or property (other than as a result of a subdivision or combination of shares of Common Stock described in Section 7(a)), or (v) there is a Change of Control (each case in clauses (a) through (b) above, a “Fundamental Change”), then upon any subsequent conversion of this Note, the Holder shall have the right to receive (except to the extent previously distributed to the Holder pursuant to Section 7(b)), for each Underlying Share that would have been issuable upon such conversion absent such Fundamental Change), the same kind and amount of securities, cash, or property as it would have been entitled to receive upon the occurrence of such Fundamental Change if it had been, immediately prior to such Fundamental Change, the holder of one (1) share of Common Stock (the “Alternate Consideration”). If holders of Common Stock are given any choice as to the securities, cash, or property to be received in a Fundamental Change, then the Holder shall be given the same choice as to the Alternate Consideration it receives upon any conversion of this Note following such Fundamental Change. In the event of a Fundamental Change, the Company or the successor or purchasing Person, as the case may be, shall execute with the Holder a written agreement providing that:</w:t>
      </w:r>
    </w:p>
    <w:p>
      <w:pPr>
        <w:spacing w:after="0" w:line="197" w:lineRule="exact"/>
        <w:rPr>
          <w:rFonts w:ascii="Times New Roman" w:cs="Times New Roman" w:eastAsia="Times New Roman" w:hAnsi="Times New Roman"/>
          <w:sz w:val="18"/>
          <w:szCs w:val="18"/>
          <w:color w:val="auto"/>
        </w:rPr>
      </w:pPr>
    </w:p>
    <w:p>
      <w:pPr>
        <w:ind w:left="2040" w:hanging="754"/>
        <w:spacing w:after="0"/>
        <w:tabs>
          <w:tab w:leader="none" w:pos="20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shall thereafter entitle the Holder to purchase the Alternate Consideration;</w:t>
      </w:r>
    </w:p>
    <w:p>
      <w:pPr>
        <w:spacing w:after="0" w:line="225" w:lineRule="exact"/>
        <w:rPr>
          <w:rFonts w:ascii="Times New Roman" w:cs="Times New Roman" w:eastAsia="Times New Roman" w:hAnsi="Times New Roman"/>
          <w:sz w:val="18"/>
          <w:szCs w:val="18"/>
          <w:color w:val="auto"/>
        </w:rPr>
      </w:pPr>
    </w:p>
    <w:p>
      <w:pPr>
        <w:jc w:val="both"/>
        <w:ind w:left="1260" w:firstLine="8"/>
        <w:spacing w:after="0" w:line="266" w:lineRule="auto"/>
        <w:tabs>
          <w:tab w:leader="none" w:pos="19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successor or purchasing Person, upon such consolidation, merger, statutory exchange, combination, sale, or conveyance, such successor or purchasing Person shall be jointly and severally liable with the Company for the performance of all of the Company’s obligations under this Note and the Purchase Agreement; and</w:t>
      </w:r>
    </w:p>
    <w:p>
      <w:pPr>
        <w:spacing w:after="0" w:line="175" w:lineRule="exact"/>
        <w:rPr>
          <w:rFonts w:ascii="Times New Roman" w:cs="Times New Roman" w:eastAsia="Times New Roman" w:hAnsi="Times New Roman"/>
          <w:sz w:val="18"/>
          <w:szCs w:val="18"/>
          <w:color w:val="auto"/>
        </w:rPr>
      </w:pPr>
    </w:p>
    <w:p>
      <w:pPr>
        <w:jc w:val="both"/>
        <w:ind w:left="1260" w:firstLine="8"/>
        <w:spacing w:after="0" w:line="266" w:lineRule="auto"/>
        <w:tabs>
          <w:tab w:leader="none" w:pos="196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registration or qualification is required under the Securities Act of 1933 or applicable state law for the public resale by the Holder of shares of stock and other securities so issuable upon exercise of this Note, such registration or qualification shall be completed prior to such reclassification, change, consolidation, merger, statutory exchange, combination or sale.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in the case of any Fundamental Change, the Alternate Consideration includes shares of stock, other securities, other property, or assets of a Person other than the Company or any such successor or purchasing Person, as the case may be, in such Fundamental Change, then such written agreement shall also be executed by such other Person and shall contain such additional provisions to protect the interests of the Holder as the Board of Directors of the Company shall reasonably consider necessary by reason of the foregoing. At the Holder’s request, any successor to the Company or surviving Person in such Fundamental Change shall issue to the Holder a new Note consistent with the foregoing provisions and evidencing the Holder’s right to convert such Note into Alternate Consideration. The terms of any agreement pursuant to which a Fundamental Change is effected shall include terms requiring any such successor or surviving Person to comply with the provisions of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and ensuring that this Note (or any such replacement security) will be similarly adjusted upon any subsequent transaction analogous to a Fundamental Change. If any Fundamental Change constitutes or results in a Change of Control, then the Company (or any such successor or surviving entity) will purchase each Note (unless such Holder declines to accept such payment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8.9(b) of the Purchase Agreement) for a purchase price, payable in cash, equal to the greater of (x) the purchase price specified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Purchase Agreement, and (y) the product of (i) Event Equity Value, and (ii) the Underlying Shares issuable upon conversion of the principal amount of each Note, plus all accrued but unpaid interest on each Note. Any repurchase of this Note in connection with a Fundamental Change shall be made in the order of priority set forth in </w:t>
      </w:r>
      <w:r>
        <w:rPr>
          <w:rFonts w:ascii="Times New Roman" w:cs="Times New Roman" w:eastAsia="Times New Roman" w:hAnsi="Times New Roman"/>
          <w:sz w:val="18"/>
          <w:szCs w:val="18"/>
          <w:u w:val="single" w:color="auto"/>
          <w:color w:val="auto"/>
        </w:rPr>
        <w:t>Section 8.5(b)</w:t>
      </w:r>
      <w:r>
        <w:rPr>
          <w:rFonts w:ascii="Times New Roman" w:cs="Times New Roman" w:eastAsia="Times New Roman" w:hAnsi="Times New Roman"/>
          <w:sz w:val="18"/>
          <w:szCs w:val="18"/>
          <w:color w:val="auto"/>
        </w:rPr>
        <w:t xml:space="preserve"> of the Purchase Agreement (provided, that, any repurchase or repayment that is allocated to the principal amount of this Note shall be applied to the principal payments in reverse chronological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jc w:val="both"/>
        <w:ind w:left="-8" w:firstLine="656"/>
        <w:spacing w:after="0" w:line="266" w:lineRule="auto"/>
        <w:tabs>
          <w:tab w:leader="none" w:pos="13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made to the nearest cent or the nearest 1/100th of a share, as applicable. The number of shares of Class B Preferred Stock outstanding at any given time shall not include shares owned or held by or for the account of the Company, and the disposition of any such shares shall be considered an issue or sale of Class B Preferred Stock.</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34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Company, at its expense, will promptly compute such adjustment in accordance with the terms hereof and prepare and deliver to the Holder a certificate describing in reasonable detail, such adjustment and the transactions giving rise thereto, including all facts upon which such adjustment is based.</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7" w:lineRule="auto"/>
        <w:tabs>
          <w:tab w:leader="none" w:pos="13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If the Company (i) declares a dividend or any other distribution of cash, securities, or other property in respect of its Preferred Stock, including without limitation, any granting of rights or warrants to subscribe for or purchase any capital stock of the Company or any Subsidiary, (ii) authorizes, approves, or enters into any agreement contemplating or soliciting stockholder approval for a Fundamental Change, or</w:t>
      </w:r>
    </w:p>
    <w:p>
      <w:pPr>
        <w:spacing w:after="0" w:line="1"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voluntary dissolution, liquidation, or winding up of the affairs of the Company, then the Company shall deliver to the holders of this Note a notice describing the material terms and conditions of such transaction, at least twenty (20) Trading Days prior to the applicable record or effective date on which a Person would need to hold Class B Preferred Stock in order to participate in or vote with respect to such transaction, and the Company will take all steps reasonably necessary in order to ensure that the holders of this Note are given the practical opportunity to convert this Note prior to such time so as to participate in or vote with respect to such transaction.</w:t>
      </w:r>
    </w:p>
    <w:p>
      <w:pPr>
        <w:spacing w:after="0" w:line="187" w:lineRule="exact"/>
        <w:rPr>
          <w:sz w:val="20"/>
          <w:szCs w:val="20"/>
          <w:color w:val="auto"/>
        </w:rPr>
      </w:pPr>
    </w:p>
    <w:p>
      <w:pPr>
        <w:jc w:val="both"/>
        <w:ind w:left="-8" w:firstLine="656"/>
        <w:spacing w:after="0" w:line="266" w:lineRule="auto"/>
        <w:tabs>
          <w:tab w:leader="none" w:pos="13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The Company shall not issue or cause to be issued fractional Underlying Shares on conversion of this Note. If any fraction of an Underlying Share would, except for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be issuable upon conversion of this Note, the number of Underlying Shares to be issued will be rounded up to the nearest whole share.</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13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hereunder shall be in writing and shall be deemed given and effective on the earliest of (i) the date of transmission, if such notice or communication is delivered via facsimile at the facsimile number specified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prior to 5:00 p.m. (New York City time) on a Trading Day, (ii) the next Trading Day after the date of transmission, if such notice or communication is delivered via facsimile at the facsimile number specified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on a day that is not a Trading Day or later than 5:00 p.m. (New York City time) on any Trading Day, (iii) the Trading Day following the date of mailing, if sent by nationally recognized overnight courier service specifying next Business Day delivery, or (iv) upon actual receipt by the party to whom such notice is required to be given, if by hand delivery. The address and facsimile number of a party for such notices or communications shall be as set forth in the Purchase Agreement, unless changed by such party by two (2) Trading Days’ prior notice to the other party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492" w:hanging="844"/>
        <w:spacing w:after="0"/>
        <w:tabs>
          <w:tab w:leader="none" w:pos="14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656"/>
        <w:spacing w:after="0" w:line="266" w:lineRule="auto"/>
        <w:tabs>
          <w:tab w:leader="none" w:pos="134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shall be binding on and inure to the benefit of the parties hereto and their respective successors and permitted assigns. Subject to the restrictions on transfer set forth herein, this Note may be assigned by the Holder. The Company shall not be permitted to assign this Note absent the prior written consent of the Holder.</w:t>
      </w:r>
    </w:p>
    <w:p>
      <w:pPr>
        <w:spacing w:after="0" w:line="175" w:lineRule="exact"/>
        <w:rPr>
          <w:rFonts w:ascii="Times New Roman" w:cs="Times New Roman" w:eastAsia="Times New Roman" w:hAnsi="Times New Roman"/>
          <w:sz w:val="18"/>
          <w:szCs w:val="18"/>
          <w:color w:val="auto"/>
        </w:rPr>
      </w:pPr>
    </w:p>
    <w:p>
      <w:pPr>
        <w:ind w:left="-8" w:firstLine="656"/>
        <w:spacing w:after="0" w:line="282" w:lineRule="auto"/>
        <w:tabs>
          <w:tab w:leader="none" w:pos="135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nothing in this Note shall be construed to give to any Person other than the Company and the Holder any legal or equitable right, remedy, or cause under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92710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62" w:name="page63"/>
    <w:bookmarkEnd w:id="62"/>
    <w:p>
      <w:pPr>
        <w:jc w:val="both"/>
        <w:ind w:firstLine="656"/>
        <w:spacing w:after="0" w:line="268" w:lineRule="auto"/>
        <w:tabs>
          <w:tab w:leader="none" w:pos="135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 HEREBY WAIVES ITS RIGHT TO A JURY TRIAL OF ANY CLAIM OR CAUSE OF ACTION ARISING OUT OF OR BASED UPON THIS NOTE OR ANY CONTEMPLATED TRANSACTION, INCLUDING CONTRACT, TORT, BREACH OF DUTY, AND ALL OTHER CLAIMS. THE COMPANY HAS REVIEWED THIS WAIVER WITH ITS COUNSEL.</w:t>
      </w:r>
    </w:p>
    <w:p>
      <w:pPr>
        <w:spacing w:after="0" w:line="174"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and the rights and obligations of the parties hereto with respect to all matters arising hereunder or related hereto, shall be governed by, and construed in accordance with the laws of the State of New York, without giving effect to its conflicts of law principles. The Company and, by accepting this Note, the Holder, each irrevocably submits to the exclusive jurisdiction of the state and federal courts sitting in the City of New York, Borough of Manhattan, for the adjudication of any claim, dispute, suit, action, or proceeding arising out of or relating to this Note, or the transactions contemplated hereby or thereby. The Company and the Holder each hereby irrevocably waives, and agrees not to assert in any such suit, action, or proceeding, any claim that (i) it is not personally subject to the jurisdiction of any such court, (ii) such suit, action, or proceeding is improper, or (iii) such suit, action, or proceeding is an inconvenient forum. Each party irrevocably waives personal service of process and consents to service of process being made by registered or certified mail, return receipt requested, or by overnight courier service with evidence of delivery, in each case addressed to the party at its address for notices specified in the Purchase Agreement. Service in such manner shall constitute good and sufficient service of process and notice thereof. Nothing herein shall affect any party’s right to serve process in any other manner permitted by law.</w:t>
      </w:r>
    </w:p>
    <w:p>
      <w:pPr>
        <w:spacing w:after="0" w:line="5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action is instituted to collect on this Note, the Company promises to pay all reasonable costs and expenses, including reasonable attorneys’ fees, incurred in connection with such action. The Company shall pay the reasonable attorneys’ fees incurred by the Holder in connection with any amendment to, or waiver of, this Note.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one or more of the provisions of this Note shall be invalid or unenforceable in any respect, the validity and enforceability of the remaining terms and provisions of this Note shall not in any way be affected or impaired thereby and the parties will attempt in good faith to agree upon a valid and enforceable provision which shall be a commercially reasonable substitute therefor, and upon so agreeing, shall incorporate such substitute provision in this Note.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together with the Purchase Agreement, constitutes the entire agreement of the parties with respect to the subject matter hereof. No provision of this Note may be waived or amended except in a written instrument signed, in the case of an amendment, by the Company and the Holder or, in the case of a waiver, by the Holder. Any waiver executed by the Holder shall be binding on the Company and all holders of this Note. No waiver of any default with respect to any provision, condition, or requirement of this Note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3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no rights as a holder of Class B Preferred Stock as a result of being a holder of this Note, except as required by law or rights expressly provided in this Note.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Note to be duly executed by a duly authorized officer as of the date first above indicated.</w:t>
      </w: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Derek L. Graham</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Derek L. Graham</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 to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FINANCE LTD.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Andrew Hromyk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Hromyk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Conversion Schedule reflects conversions of the Convertible Note issued by CLEARONE, INC.</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280" w:type="dxa"/>
            <w:vAlign w:val="bottom"/>
            <w:tcBorders>
              <w:top w:val="single" w:sz="8" w:color="auto"/>
              <w:left w:val="single" w:sz="8" w:color="auto"/>
              <w:right w:val="single" w:sz="8" w:color="auto"/>
            </w:tcBorders>
          </w:tcPr>
          <w:p>
            <w:pPr>
              <w:spacing w:after="0"/>
              <w:rPr>
                <w:sz w:val="18"/>
                <w:szCs w:val="18"/>
                <w:color w:val="auto"/>
              </w:rPr>
            </w:pPr>
          </w:p>
        </w:tc>
        <w:tc>
          <w:tcPr>
            <w:tcW w:w="3440" w:type="dxa"/>
            <w:vAlign w:val="bottom"/>
            <w:tcBorders>
              <w:top w:val="single" w:sz="8" w:color="auto"/>
              <w:right w:val="single" w:sz="8" w:color="auto"/>
            </w:tcBorders>
          </w:tcPr>
          <w:p>
            <w:pPr>
              <w:spacing w:after="0"/>
              <w:rPr>
                <w:sz w:val="18"/>
                <w:szCs w:val="18"/>
                <w:color w:val="auto"/>
              </w:rPr>
            </w:pPr>
          </w:p>
        </w:tc>
        <w:tc>
          <w:tcPr>
            <w:tcW w:w="45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Aggregate Principal Amount Remaining Subsequent to</w:t>
            </w:r>
          </w:p>
        </w:tc>
      </w:tr>
      <w:tr>
        <w:trPr>
          <w:trHeight w:val="234"/>
        </w:trPr>
        <w:tc>
          <w:tcPr>
            <w:tcW w:w="32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Date of Conversion</w:t>
            </w:r>
          </w:p>
        </w:tc>
        <w:tc>
          <w:tcPr>
            <w:tcW w:w="3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of Conversion</w:t>
            </w:r>
          </w:p>
        </w:tc>
        <w:tc>
          <w:tcPr>
            <w:tcW w:w="45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Conversion</w:t>
            </w: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23"/>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77"/>
        </w:trPr>
        <w:tc>
          <w:tcPr>
            <w:tcW w:w="3280" w:type="dxa"/>
            <w:vAlign w:val="bottom"/>
            <w:tcBorders>
              <w:left w:val="single" w:sz="8" w:color="auto"/>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4520" w:type="dxa"/>
            <w:vAlign w:val="bottom"/>
            <w:tcBorders>
              <w:bottom w:val="single" w:sz="8" w:color="auto"/>
              <w:right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lowerLetter"/>
      <w:start w:val="1"/>
    </w:lvl>
  </w:abstractNum>
  <w:abstractNum w:abstractNumId="2">
    <w:nsid w:val="5C482A97"/>
    <w:multiLevelType w:val="hybridMultilevel"/>
    <w:lvl w:ilvl="0">
      <w:lvlJc w:val="left"/>
      <w:lvlText w:val="(%1)"/>
      <w:numFmt w:val="lowerLetter"/>
      <w:start w:val="5"/>
    </w:lvl>
  </w:abstractNum>
  <w:abstractNum w:abstractNumId="3">
    <w:nsid w:val="2463B9EA"/>
    <w:multiLevelType w:val="hybridMultilevel"/>
    <w:lvl w:ilvl="0">
      <w:lvlJc w:val="left"/>
      <w:lvlText w:val="(%1)"/>
      <w:numFmt w:val="lowerLetter"/>
      <w:start w:val="1"/>
    </w:lvl>
    <w:lvl w:ilvl="1">
      <w:lvlJc w:val="left"/>
      <w:lvlText w:val="(%2)"/>
      <w:numFmt w:val="lowerLetter"/>
      <w:start w:val="9"/>
    </w:lvl>
  </w:abstractNum>
  <w:abstractNum w:abstractNumId="4">
    <w:nsid w:val="5E884ADC"/>
    <w:multiLevelType w:val="hybridMultilevel"/>
    <w:lvl w:ilvl="0">
      <w:lvlJc w:val="left"/>
      <w:lvlText w:val="(%1)"/>
      <w:numFmt w:val="lowerLetter"/>
      <w:start w:val="1"/>
    </w:lvl>
    <w:lvl w:ilvl="1">
      <w:lvlJc w:val="left"/>
      <w:lvlText w:val="(%2)"/>
      <w:numFmt w:val="lowerRoman"/>
      <w:start w:val="1"/>
    </w:lvl>
  </w:abstractNum>
  <w:abstractNum w:abstractNumId="5">
    <w:nsid w:val="51EAD36B"/>
    <w:multiLevelType w:val="hybridMultilevel"/>
    <w:lvl w:ilvl="0">
      <w:lvlJc w:val="left"/>
      <w:lvlText w:val="(%1)"/>
      <w:numFmt w:val="lowerLetter"/>
      <w:start w:val="1"/>
    </w:lvl>
    <w:lvl w:ilvl="1">
      <w:lvlJc w:val="left"/>
      <w:lvlText w:val="(%2)"/>
      <w:numFmt w:val="lowerRoman"/>
      <w:start w:val="1"/>
    </w:lvl>
  </w:abstractNum>
  <w:abstractNum w:abstractNumId="6">
    <w:nsid w:val="2D517796"/>
    <w:multiLevelType w:val="hybridMultilevel"/>
    <w:lvl w:ilvl="0">
      <w:lvlJc w:val="left"/>
      <w:lvlText w:val="(%1)"/>
      <w:numFmt w:val="lowerLetter"/>
      <w:start w:val="2"/>
    </w:lvl>
  </w:abstractNum>
  <w:abstractNum w:abstractNumId="7">
    <w:nsid w:val="580BD78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8">
    <w:nsid w:val="153EA438"/>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9">
    <w:nsid w:val="3855585C"/>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10">
    <w:nsid w:val="70A64E2A"/>
    <w:multiLevelType w:val="hybridMultilevel"/>
    <w:lvl w:ilvl="0">
      <w:lvlJc w:val="left"/>
      <w:lvlText w:val="(%1)"/>
      <w:numFmt w:val="lowerLetter"/>
      <w:start w:val="1"/>
    </w:lvl>
  </w:abstractNum>
  <w:abstractNum w:abstractNumId="11">
    <w:nsid w:val="6A2342EC"/>
    <w:multiLevelType w:val="hybridMultilevel"/>
    <w:lvl w:ilvl="0">
      <w:lvlJc w:val="left"/>
      <w:lvlText w:val="(%1)"/>
      <w:numFmt w:val="lowerLetter"/>
      <w:start w:val="3"/>
    </w:lvl>
  </w:abstractNum>
  <w:abstractNum w:abstractNumId="12">
    <w:nsid w:val="2A487CB0"/>
    <w:multiLevelType w:val="hybridMultilevel"/>
    <w:lvl w:ilvl="0">
      <w:lvlJc w:val="left"/>
      <w:lvlText w:val="(%1)"/>
      <w:numFmt w:val="lowerLetter"/>
      <w:start w:val="8"/>
    </w:lvl>
  </w:abstractNum>
  <w:abstractNum w:abstractNumId="13">
    <w:nsid w:val="1D4ED43B"/>
    <w:multiLevelType w:val="hybridMultilevel"/>
    <w:lvl w:ilvl="0">
      <w:lvlJc w:val="left"/>
      <w:lvlText w:val="(%1)"/>
      <w:numFmt w:val="lowerLetter"/>
      <w:start w:val="1"/>
    </w:lvl>
  </w:abstractNum>
  <w:abstractNum w:abstractNumId="14">
    <w:nsid w:val="725A06FB"/>
    <w:multiLevelType w:val="hybridMultilevel"/>
    <w:lvl w:ilvl="0">
      <w:lvlJc w:val="left"/>
      <w:lvlText w:val="(%1)"/>
      <w:numFmt w:val="lowerLetter"/>
      <w:start w:val="1"/>
    </w:lvl>
    <w:lvl w:ilvl="1">
      <w:lvlJc w:val="left"/>
      <w:lvlText w:val="(%2)"/>
      <w:numFmt w:val="lowerRoman"/>
      <w:start w:val="1"/>
    </w:lvl>
  </w:abstractNum>
  <w:abstractNum w:abstractNumId="15">
    <w:nsid w:val="2CD89A32"/>
    <w:multiLevelType w:val="hybridMultilevel"/>
    <w:lvl w:ilvl="0">
      <w:lvlJc w:val="left"/>
      <w:lvlText w:val="(%1)"/>
      <w:numFmt w:val="lowerLetter"/>
      <w:start w:val="3"/>
    </w:lvl>
  </w:abstractNum>
  <w:abstractNum w:abstractNumId="16">
    <w:nsid w:val="57E4CCAF"/>
    <w:multiLevelType w:val="hybridMultilevel"/>
    <w:lvl w:ilvl="0">
      <w:lvlJc w:val="left"/>
      <w:lvlText w:val="(%1)"/>
      <w:numFmt w:val="lowerLetter"/>
      <w:start w:val="1"/>
    </w:lvl>
  </w:abstractNum>
  <w:abstractNum w:abstractNumId="17">
    <w:nsid w:val="7A6D8D3C"/>
    <w:multiLevelType w:val="hybridMultilevel"/>
    <w:lvl w:ilvl="0">
      <w:lvlJc w:val="left"/>
      <w:lvlText w:val="(%1)"/>
      <w:numFmt w:val="lowerLetter"/>
      <w:start w:val="1"/>
    </w:lvl>
    <w:lvl w:ilvl="1">
      <w:lvlJc w:val="left"/>
      <w:lvlText w:val="(%2)"/>
      <w:numFmt w:val="lowerRoman"/>
      <w:start w:val="1"/>
    </w:lvl>
  </w:abstractNum>
  <w:abstractNum w:abstractNumId="18">
    <w:nsid w:val="4B588F54"/>
    <w:multiLevelType w:val="hybridMultilevel"/>
    <w:lvl w:ilvl="0">
      <w:lvlJc w:val="left"/>
      <w:lvlText w:val="%1"/>
      <w:numFmt w:val="lowerLetter"/>
      <w:start w:val="1"/>
    </w:lvl>
    <w:lvl w:ilvl="1">
      <w:lvlJc w:val="left"/>
      <w:lvlText w:val="(%2)"/>
      <w:numFmt w:val="lowerRoman"/>
      <w:start w:val="3"/>
    </w:lvl>
  </w:abstractNum>
  <w:abstractNum w:abstractNumId="19">
    <w:nsid w:val="542289EC"/>
    <w:multiLevelType w:val="hybridMultilevel"/>
    <w:lvl w:ilvl="0">
      <w:lvlJc w:val="left"/>
      <w:lvlText w:val="(%1)"/>
      <w:numFmt w:val="lowerLetter"/>
      <w:start w:val="2"/>
    </w:lvl>
    <w:lvl w:ilvl="1">
      <w:lvlJc w:val="left"/>
      <w:lvlText w:val="(%2)"/>
      <w:numFmt w:val="lowerRoman"/>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lowerLetter"/>
      <w:start w:val="1"/>
    </w:lvl>
  </w:abstractNum>
  <w:abstractNum w:abstractNumId="22">
    <w:nsid w:val="7644A45C"/>
    <w:multiLevelType w:val="hybridMultilevel"/>
    <w:lvl w:ilvl="0">
      <w:lvlJc w:val="left"/>
      <w:lvlText w:val="(%1)"/>
      <w:numFmt w:val="lowerLetter"/>
      <w:start w:val="1"/>
    </w:lvl>
  </w:abstractNum>
  <w:abstractNum w:abstractNumId="23">
    <w:nsid w:val="32FFF902"/>
    <w:multiLevelType w:val="hybridMultilevel"/>
    <w:lvl w:ilvl="0">
      <w:lvlJc w:val="left"/>
      <w:lvlText w:val="(%1)"/>
      <w:numFmt w:val="lowerLetter"/>
      <w:start w:val="2"/>
    </w:lvl>
  </w:abstractNum>
  <w:abstractNum w:abstractNumId="24">
    <w:nsid w:val="684A481A"/>
    <w:multiLevelType w:val="hybridMultilevel"/>
    <w:lvl w:ilvl="0">
      <w:lvlJc w:val="left"/>
      <w:lvlText w:val="(%1)"/>
      <w:numFmt w:val="lowerRoman"/>
      <w:start w:val="3"/>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lowerLetter"/>
      <w:start w:val="1"/>
    </w:lvl>
    <w:lvl w:ilvl="1">
      <w:lvlJc w:val="left"/>
      <w:lvlText w:val="(%2)"/>
      <w:numFmt w:val="lowerLetter"/>
      <w:start w:val="1"/>
    </w:lvl>
  </w:abstractNum>
  <w:abstractNum w:abstractNumId="30">
    <w:nsid w:val="75C6C33A"/>
    <w:multiLevelType w:val="hybridMultilevel"/>
    <w:lvl w:ilvl="0">
      <w:lvlJc w:val="left"/>
      <w:lvlText w:val="(%1)"/>
      <w:numFmt w:val="lowerLetter"/>
      <w:start w:val="61"/>
    </w:lvl>
    <w:lvl w:ilvl="1">
      <w:lvlJc w:val="left"/>
      <w:lvlText w:val="%2"/>
      <w:numFmt w:val="lowerLetter"/>
      <w:start w:val="1"/>
    </w:lvl>
  </w:abstractNum>
  <w:abstractNum w:abstractNumId="31">
    <w:nsid w:val="12E685FB"/>
    <w:multiLevelType w:val="hybridMultilevel"/>
    <w:lvl w:ilvl="0">
      <w:lvlJc w:val="left"/>
      <w:lvlText w:val="(%1)"/>
      <w:numFmt w:val="lowerLetter"/>
      <w:start w:val="1"/>
    </w:lvl>
  </w:abstractNum>
  <w:abstractNum w:abstractNumId="32">
    <w:nsid w:val="70C6A529"/>
    <w:multiLevelType w:val="hybridMultilevel"/>
    <w:lvl w:ilvl="0">
      <w:lvlJc w:val="left"/>
      <w:lvlText w:val="(%1)"/>
      <w:numFmt w:val="lowerLetter"/>
      <w:start w:val="1"/>
    </w:lvl>
  </w:abstractNum>
  <w:abstractNum w:abstractNumId="33">
    <w:nsid w:val="520EEDD1"/>
    <w:multiLevelType w:val="hybridMultilevel"/>
    <w:lvl w:ilvl="0">
      <w:lvlJc w:val="left"/>
      <w:lvlText w:val="(%1)"/>
      <w:numFmt w:val="lowerLetter"/>
      <w:start w:val="4"/>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lowerLetter"/>
      <w:start w:val="1"/>
    </w:lvl>
  </w:abstractNum>
  <w:abstractNum w:abstractNumId="36">
    <w:nsid w:val="23F9C13C"/>
    <w:multiLevelType w:val="hybridMultilevel"/>
    <w:lvl w:ilvl="0">
      <w:lvlJc w:val="left"/>
      <w:lvlText w:val="(%1)"/>
      <w:numFmt w:val="lowerLetter"/>
      <w:start w:val="1"/>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1"/>
    </w:lvl>
    <w:lvl w:ilvl="1">
      <w:lvlJc w:val="left"/>
      <w:lvlText w:val="(%2)"/>
      <w:numFmt w:val="lowerLetter"/>
      <w:start w:val="1"/>
    </w:lvl>
  </w:abstractNum>
  <w:abstractNum w:abstractNumId="39">
    <w:nsid w:val="39386575"/>
    <w:multiLevelType w:val="hybridMultilevel"/>
    <w:lvl w:ilvl="0">
      <w:lvlJc w:val="left"/>
      <w:lvlText w:val="(%1)"/>
      <w:numFmt w:val="lowerLetter"/>
      <w:start w:val="9"/>
    </w:lvl>
    <w:lvl w:ilvl="1">
      <w:lvlJc w:val="left"/>
      <w:lvlText w:val="(%2)"/>
      <w:numFmt w:val="lowerLetter"/>
      <w:start w:val="2"/>
    </w:lvl>
  </w:abstractNum>
  <w:abstractNum w:abstractNumId="40">
    <w:nsid w:val="1CF10FD8"/>
    <w:multiLevelType w:val="hybridMultilevel"/>
    <w:lvl w:ilvl="0">
      <w:lvlJc w:val="left"/>
      <w:lvlText w:val="(%1)"/>
      <w:numFmt w:val="decimal"/>
      <w:start w:val="15"/>
    </w:lvl>
  </w:abstractNum>
  <w:abstractNum w:abstractNumId="41">
    <w:nsid w:val="180115BE"/>
    <w:multiLevelType w:val="hybridMultilevel"/>
    <w:lvl w:ilvl="0">
      <w:lvlJc w:val="left"/>
      <w:lvlText w:val="(%1)"/>
      <w:numFmt w:val="lowerRoman"/>
      <w:start w:val="2"/>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lowerLetter"/>
      <w:start w:val="2"/>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Letter"/>
      <w:start w:val="1"/>
    </w:lvl>
    <w:lvl w:ilvl="1">
      <w:lvlJc w:val="left"/>
      <w:lvlText w:val="(%2)"/>
      <w:numFmt w:val="lowerRoman"/>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Roman"/>
      <w:start w:val="4"/>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2"/>
    </w:lvl>
  </w:abstractNum>
  <w:abstractNum w:abstractNumId="56">
    <w:nsid w:val="2F305DEF"/>
    <w:multiLevelType w:val="hybridMultilevel"/>
    <w:lvl w:ilvl="0">
      <w:lvlJc w:val="left"/>
      <w:lvlText w:val="(%1)"/>
      <w:numFmt w:val="lowerLetter"/>
      <w:start w:val="1"/>
    </w:lvl>
  </w:abstractNum>
  <w:abstractNum w:abstractNumId="57">
    <w:nsid w:val="25A70BF7"/>
    <w:multiLevelType w:val="hybridMultilevel"/>
    <w:lvl w:ilvl="0">
      <w:lvlJc w:val="left"/>
      <w:lvlText w:val="%1."/>
      <w:numFmt w:val="decimal"/>
      <w:start w:val="3"/>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2"/>
    </w:lvl>
  </w:abstractNum>
  <w:abstractNum w:abstractNumId="60">
    <w:nsid w:val="1F48EAA1"/>
    <w:multiLevelType w:val="hybridMultilevel"/>
    <w:lvl w:ilvl="0">
      <w:lvlJc w:val="left"/>
      <w:lvlText w:val="%1."/>
      <w:numFmt w:val="decimal"/>
      <w:start w:val="4"/>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decimal"/>
      <w:start w:val="5"/>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3"/>
    </w:lvl>
  </w:abstractNum>
  <w:abstractNum w:abstractNumId="65">
    <w:nsid w:val="15014ACB"/>
    <w:multiLevelType w:val="hybridMultilevel"/>
    <w:lvl w:ilvl="0">
      <w:lvlJc w:val="left"/>
      <w:lvlText w:val="%1."/>
      <w:numFmt w:val="decimal"/>
      <w:start w:val="6"/>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lowerLetter"/>
      <w:start w:val="2"/>
    </w:lvl>
    <w:lvl w:ilvl="1">
      <w:lvlJc w:val="left"/>
      <w:lvlText w:val="(%2)"/>
      <w:numFmt w:val="lowerLetter"/>
      <w:start w:val="24"/>
    </w:lvl>
    <w:lvl w:ilvl="2">
      <w:lvlJc w:val="left"/>
      <w:lvlText w:val="(%3)"/>
      <w:numFmt w:val="lowerLetter"/>
      <w:start w:val="24"/>
    </w:lvl>
  </w:abstractNum>
  <w:abstractNum w:abstractNumId="68">
    <w:nsid w:val="799D0247"/>
    <w:multiLevelType w:val="hybridMultilevel"/>
    <w:lvl w:ilvl="0">
      <w:lvlJc w:val="left"/>
      <w:lvlText w:val="%1"/>
      <w:numFmt w:val="lowerLetter"/>
      <w:start w:val="1"/>
    </w:lvl>
    <w:lvl w:ilvl="1">
      <w:lvlJc w:val="left"/>
      <w:lvlText w:val="(%2)"/>
      <w:numFmt w:val="lowerLetter"/>
      <w:start w:val="4"/>
    </w:lvl>
  </w:abstractNum>
  <w:abstractNum w:abstractNumId="69">
    <w:nsid w:val="6B94764"/>
    <w:multiLevelType w:val="hybridMultilevel"/>
    <w:lvl w:ilvl="0">
      <w:lvlJc w:val="left"/>
      <w:lvlText w:val="(%1)"/>
      <w:numFmt w:val="lowerLetter"/>
      <w:start w:val="61"/>
    </w:lvl>
    <w:lvl w:ilvl="1">
      <w:lvlJc w:val="left"/>
      <w:lvlText w:val="%2"/>
      <w:numFmt w:val="lowerLetter"/>
      <w:start w:val="1"/>
    </w:lvl>
  </w:abstractNum>
  <w:abstractNum w:abstractNumId="70">
    <w:nsid w:val="42C296BD"/>
    <w:multiLevelType w:val="hybridMultilevel"/>
    <w:lvl w:ilvl="0">
      <w:lvlJc w:val="left"/>
      <w:lvlText w:val="%1."/>
      <w:numFmt w:val="decimal"/>
      <w:start w:val="8"/>
    </w:lvl>
  </w:abstractNum>
  <w:abstractNum w:abstractNumId="71">
    <w:nsid w:val="168E121F"/>
    <w:multiLevelType w:val="hybridMultilevel"/>
    <w:lvl w:ilvl="0">
      <w:lvlJc w:val="left"/>
      <w:lvlText w:val="(%1)"/>
      <w:numFmt w:val="lowerLetter"/>
      <w:start w:val="1"/>
    </w:lvl>
  </w:abstractNum>
  <w:abstractNum w:abstractNumId="72">
    <w:nsid w:val="1EBA5D2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2025-06-25T16:23:26Z</dcterms:created>
  <dcterms:modified xsi:type="dcterms:W3CDTF">2025-06-25T16:23:26Z</dcterms:modified>
</cp:coreProperties>
</file>