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u w:val="single" w:color="auto"/>
          <w:color w:val="auto"/>
        </w:rPr>
        <w:t>April 27, 2017</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u w:val="single" w:color="auto"/>
          <w:color w:val="auto"/>
        </w:rPr>
        <w:t>ClearOne,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5240" w:type="dxa"/>
            <w:vAlign w:val="bottom"/>
            <w:gridSpan w:val="3"/>
          </w:tcPr>
          <w:p>
            <w:pPr>
              <w:jc w:val="center"/>
              <w:ind w:right="1580"/>
              <w:spacing w:after="0"/>
              <w:rPr>
                <w:sz w:val="20"/>
                <w:szCs w:val="20"/>
                <w:color w:val="auto"/>
              </w:rPr>
            </w:pPr>
            <w:r>
              <w:rPr>
                <w:rFonts w:ascii="Arial" w:cs="Arial" w:eastAsia="Arial" w:hAnsi="Arial"/>
                <w:sz w:val="18"/>
                <w:szCs w:val="18"/>
                <w:b w:val="1"/>
                <w:bCs w:val="1"/>
                <w:color w:val="auto"/>
                <w:w w:val="94"/>
              </w:rPr>
              <w:t>Utah</w:t>
            </w:r>
          </w:p>
        </w:tc>
        <w:tc>
          <w:tcPr>
            <w:tcW w:w="2300" w:type="dxa"/>
            <w:vAlign w:val="bottom"/>
          </w:tcPr>
          <w:p>
            <w:pPr>
              <w:jc w:val="center"/>
              <w:ind w:right="1230"/>
              <w:spacing w:after="0"/>
              <w:rPr>
                <w:sz w:val="20"/>
                <w:szCs w:val="20"/>
                <w:color w:val="auto"/>
              </w:rPr>
            </w:pPr>
            <w:r>
              <w:rPr>
                <w:rFonts w:ascii="Arial" w:cs="Arial" w:eastAsia="Arial" w:hAnsi="Arial"/>
                <w:sz w:val="18"/>
                <w:szCs w:val="18"/>
                <w:b w:val="1"/>
                <w:bCs w:val="1"/>
                <w:color w:val="auto"/>
                <w:w w:val="90"/>
              </w:rPr>
              <w:t>001-33660</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40" w:type="dxa"/>
            <w:vAlign w:val="bottom"/>
          </w:tcPr>
          <w:p>
            <w:pPr>
              <w:jc w:val="right"/>
              <w:ind w:right="1290"/>
              <w:spacing w:after="0"/>
              <w:rPr>
                <w:sz w:val="20"/>
                <w:szCs w:val="20"/>
                <w:color w:val="auto"/>
              </w:rPr>
            </w:pPr>
            <w:r>
              <w:rPr>
                <w:rFonts w:ascii="Arial" w:cs="Arial" w:eastAsia="Arial" w:hAnsi="Arial"/>
                <w:sz w:val="18"/>
                <w:szCs w:val="18"/>
                <w:b w:val="1"/>
                <w:bCs w:val="1"/>
                <w:color w:val="auto"/>
              </w:rPr>
              <w:t>87-0398877</w:t>
            </w:r>
          </w:p>
        </w:tc>
      </w:tr>
      <w:tr>
        <w:trPr>
          <w:trHeight w:val="202"/>
        </w:trPr>
        <w:tc>
          <w:tcPr>
            <w:tcW w:w="366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1"/>
              </w:rPr>
              <w:t>(State or Other Jurisdiction</w:t>
            </w:r>
          </w:p>
        </w:tc>
        <w:tc>
          <w:tcPr>
            <w:tcW w:w="240" w:type="dxa"/>
            <w:vAlign w:val="bottom"/>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2320" w:type="dxa"/>
            <w:vAlign w:val="bottom"/>
            <w:tcBorders>
              <w:top w:val="single" w:sz="8" w:color="auto"/>
            </w:tcBorders>
            <w:gridSpan w:val="2"/>
          </w:tcPr>
          <w:p>
            <w:pPr>
              <w:jc w:val="center"/>
              <w:ind w:right="1300"/>
              <w:spacing w:after="0" w:line="201" w:lineRule="exact"/>
              <w:rPr>
                <w:sz w:val="20"/>
                <w:szCs w:val="20"/>
                <w:color w:val="auto"/>
              </w:rPr>
            </w:pPr>
            <w:r>
              <w:rPr>
                <w:rFonts w:ascii="Arial" w:cs="Arial" w:eastAsia="Arial" w:hAnsi="Arial"/>
                <w:sz w:val="18"/>
                <w:szCs w:val="18"/>
                <w:color w:val="auto"/>
                <w:w w:val="93"/>
              </w:rPr>
              <w:t>(Commission</w:t>
            </w:r>
          </w:p>
        </w:tc>
        <w:tc>
          <w:tcPr>
            <w:tcW w:w="220" w:type="dxa"/>
            <w:vAlign w:val="bottom"/>
          </w:tcPr>
          <w:p>
            <w:pPr>
              <w:spacing w:after="0"/>
              <w:rPr>
                <w:sz w:val="17"/>
                <w:szCs w:val="17"/>
                <w:color w:val="auto"/>
              </w:rPr>
            </w:pPr>
          </w:p>
        </w:tc>
        <w:tc>
          <w:tcPr>
            <w:tcW w:w="36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5240" w:type="dxa"/>
            <w:vAlign w:val="bottom"/>
            <w:gridSpan w:val="3"/>
          </w:tcPr>
          <w:p>
            <w:pPr>
              <w:jc w:val="center"/>
              <w:ind w:right="1520"/>
              <w:spacing w:after="0"/>
              <w:rPr>
                <w:sz w:val="20"/>
                <w:szCs w:val="20"/>
                <w:color w:val="auto"/>
              </w:rPr>
            </w:pPr>
            <w:r>
              <w:rPr>
                <w:rFonts w:ascii="Arial" w:cs="Arial" w:eastAsia="Arial" w:hAnsi="Arial"/>
                <w:sz w:val="18"/>
                <w:szCs w:val="18"/>
                <w:color w:val="auto"/>
                <w:w w:val="94"/>
              </w:rPr>
              <w:t>of Incorporation)</w:t>
            </w:r>
          </w:p>
        </w:tc>
        <w:tc>
          <w:tcPr>
            <w:tcW w:w="2540" w:type="dxa"/>
            <w:vAlign w:val="bottom"/>
            <w:gridSpan w:val="3"/>
          </w:tcPr>
          <w:p>
            <w:pPr>
              <w:jc w:val="center"/>
              <w:ind w:right="1520"/>
              <w:spacing w:after="0"/>
              <w:rPr>
                <w:sz w:val="20"/>
                <w:szCs w:val="20"/>
                <w:color w:val="auto"/>
              </w:rPr>
            </w:pPr>
            <w:r>
              <w:rPr>
                <w:rFonts w:ascii="Arial" w:cs="Arial" w:eastAsia="Arial" w:hAnsi="Arial"/>
                <w:sz w:val="18"/>
                <w:szCs w:val="18"/>
                <w:color w:val="auto"/>
                <w:w w:val="94"/>
              </w:rPr>
              <w:t>File Number)</w:t>
            </w:r>
          </w:p>
        </w:tc>
        <w:tc>
          <w:tcPr>
            <w:tcW w:w="364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39"/>
        </w:trPr>
        <w:tc>
          <w:tcPr>
            <w:tcW w:w="7780" w:type="dxa"/>
            <w:vAlign w:val="bottom"/>
            <w:gridSpan w:val="6"/>
          </w:tcPr>
          <w:p>
            <w:pPr>
              <w:jc w:val="center"/>
              <w:ind w:right="240"/>
              <w:spacing w:after="0"/>
              <w:rPr>
                <w:sz w:val="20"/>
                <w:szCs w:val="20"/>
                <w:color w:val="auto"/>
              </w:rPr>
            </w:pPr>
            <w:r>
              <w:rPr>
                <w:rFonts w:ascii="Arial" w:cs="Arial" w:eastAsia="Arial" w:hAnsi="Arial"/>
                <w:sz w:val="18"/>
                <w:szCs w:val="18"/>
                <w:b w:val="1"/>
                <w:bCs w:val="1"/>
                <w:color w:val="auto"/>
                <w:w w:val="91"/>
              </w:rPr>
              <w:t>5225 Wiley Post Way, Suite 500, Salt Lake City, Utah</w:t>
            </w:r>
          </w:p>
        </w:tc>
        <w:tc>
          <w:tcPr>
            <w:tcW w:w="3640" w:type="dxa"/>
            <w:vAlign w:val="bottom"/>
          </w:tcPr>
          <w:p>
            <w:pPr>
              <w:jc w:val="right"/>
              <w:ind w:right="1510"/>
              <w:spacing w:after="0"/>
              <w:rPr>
                <w:sz w:val="20"/>
                <w:szCs w:val="20"/>
                <w:color w:val="auto"/>
              </w:rPr>
            </w:pPr>
            <w:r>
              <w:rPr>
                <w:rFonts w:ascii="Arial" w:cs="Arial" w:eastAsia="Arial" w:hAnsi="Arial"/>
                <w:sz w:val="18"/>
                <w:szCs w:val="18"/>
                <w:b w:val="1"/>
                <w:bCs w:val="1"/>
                <w:color w:val="auto"/>
              </w:rPr>
              <w:t>84116</w:t>
            </w:r>
          </w:p>
        </w:tc>
      </w:tr>
      <w:tr>
        <w:trPr>
          <w:trHeight w:val="230"/>
        </w:trPr>
        <w:tc>
          <w:tcPr>
            <w:tcW w:w="5240" w:type="dxa"/>
            <w:vAlign w:val="bottom"/>
            <w:tcBorders>
              <w:top w:val="single" w:sz="8" w:color="auto"/>
            </w:tcBorders>
            <w:gridSpan w:val="3"/>
          </w:tcPr>
          <w:p>
            <w:pPr>
              <w:jc w:val="center"/>
              <w:ind w:left="2210"/>
              <w:spacing w:after="0"/>
              <w:rPr>
                <w:sz w:val="20"/>
                <w:szCs w:val="20"/>
                <w:color w:val="auto"/>
              </w:rPr>
            </w:pPr>
            <w:r>
              <w:rPr>
                <w:rFonts w:ascii="Arial" w:cs="Arial" w:eastAsia="Arial" w:hAnsi="Arial"/>
                <w:sz w:val="18"/>
                <w:szCs w:val="18"/>
                <w:color w:val="auto"/>
                <w:w w:val="92"/>
              </w:rPr>
              <w:t>(Address of principal executive offices)</w:t>
            </w:r>
          </w:p>
        </w:tc>
        <w:tc>
          <w:tcPr>
            <w:tcW w:w="23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+1 (801) 975-7200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 pursuant to Rule 13e-4(c) under the Exchange Act (17 CFR 240.13e-4(c))</w:t>
      </w:r>
    </w:p>
    <w:p>
      <w:pPr>
        <w:spacing w:after="0" w:line="22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460375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47"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April 27, 2017, ClearOne, Inc. held its 2017 Annual Meeting of Shareholders at which ClearOne’s shareholders voted on the three proposals listed below. The final voting results with respect to each proposal are also set forth below. As of March 27, 2017, the record date for the meeting, there were 8,741,214 shares of common stock were issued and outstanding.</w:t>
      </w:r>
    </w:p>
    <w:p>
      <w:pPr>
        <w:spacing w:after="0" w:line="181"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6"/>
          <w:szCs w:val="16"/>
          <w:color w:val="auto"/>
        </w:rPr>
      </w:pPr>
      <w:r>
        <w:rPr>
          <w:rFonts w:ascii="Arial" w:cs="Arial" w:eastAsia="Arial" w:hAnsi="Arial"/>
          <w:sz w:val="16"/>
          <w:szCs w:val="16"/>
          <w:color w:val="auto"/>
        </w:rPr>
        <w:t>Election of Directors: All four existing directors were re-elected to serve terms expiring at the 2018 Annual Meeting of Shareholders of the Company.</w:t>
      </w:r>
    </w:p>
    <w:p>
      <w:pPr>
        <w:spacing w:after="0" w:line="200" w:lineRule="exact"/>
        <w:rPr>
          <w:sz w:val="20"/>
          <w:szCs w:val="20"/>
          <w:color w:val="auto"/>
        </w:rPr>
      </w:pPr>
    </w:p>
    <w:p>
      <w:pPr>
        <w:spacing w:after="0" w:line="291" w:lineRule="exact"/>
        <w:rPr>
          <w:sz w:val="20"/>
          <w:szCs w:val="20"/>
          <w:color w:val="auto"/>
        </w:rPr>
      </w:pPr>
    </w:p>
    <w:tbl>
      <w:tblPr>
        <w:tblLayout w:type="fixed"/>
        <w:tblInd w:w="580" w:type="dxa"/>
        <w:tblCellMar>
          <w:top w:w="0" w:type="dxa"/>
          <w:left w:w="0" w:type="dxa"/>
          <w:bottom w:w="0" w:type="dxa"/>
          <w:right w:w="0" w:type="dxa"/>
        </w:tblCellMar>
      </w:tblPr>
      <w:tr>
        <w:trPr>
          <w:trHeight w:val="237"/>
        </w:trPr>
        <w:tc>
          <w:tcPr>
            <w:tcW w:w="496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Nominee</w:t>
            </w:r>
          </w:p>
        </w:tc>
        <w:tc>
          <w:tcPr>
            <w:tcW w:w="1660" w:type="dxa"/>
            <w:vAlign w:val="bottom"/>
            <w:gridSpan w:val="2"/>
          </w:tcPr>
          <w:p>
            <w:pPr>
              <w:ind w:left="220"/>
              <w:spacing w:after="0"/>
              <w:rPr>
                <w:sz w:val="20"/>
                <w:szCs w:val="20"/>
                <w:color w:val="auto"/>
              </w:rPr>
            </w:pPr>
            <w:r>
              <w:rPr>
                <w:rFonts w:ascii="Arial" w:cs="Arial" w:eastAsia="Arial" w:hAnsi="Arial"/>
                <w:sz w:val="18"/>
                <w:szCs w:val="18"/>
                <w:color w:val="auto"/>
              </w:rPr>
              <w:t xml:space="preserve">Votes For </w:t>
            </w:r>
            <w:r>
              <w:rPr>
                <w:rFonts w:ascii="Arial" w:cs="Arial" w:eastAsia="Arial" w:hAnsi="Arial"/>
                <w:sz w:val="12"/>
                <w:szCs w:val="12"/>
                <w:color w:val="auto"/>
              </w:rPr>
              <w:t>(1)</w:t>
            </w:r>
          </w:p>
        </w:tc>
        <w:tc>
          <w:tcPr>
            <w:tcW w:w="1820" w:type="dxa"/>
            <w:vAlign w:val="bottom"/>
            <w:gridSpan w:val="2"/>
          </w:tcPr>
          <w:p>
            <w:pPr>
              <w:ind w:left="220"/>
              <w:spacing w:after="0"/>
              <w:rPr>
                <w:sz w:val="20"/>
                <w:szCs w:val="20"/>
                <w:color w:val="auto"/>
              </w:rPr>
            </w:pPr>
            <w:r>
              <w:rPr>
                <w:rFonts w:ascii="Arial" w:cs="Arial" w:eastAsia="Arial" w:hAnsi="Arial"/>
                <w:sz w:val="18"/>
                <w:szCs w:val="18"/>
                <w:color w:val="auto"/>
              </w:rPr>
              <w:t>Votes withheld</w:t>
            </w:r>
          </w:p>
        </w:tc>
        <w:tc>
          <w:tcPr>
            <w:tcW w:w="1840" w:type="dxa"/>
            <w:vAlign w:val="bottom"/>
            <w:gridSpan w:val="2"/>
          </w:tcPr>
          <w:p>
            <w:pPr>
              <w:ind w:left="220"/>
              <w:spacing w:after="0"/>
              <w:rPr>
                <w:sz w:val="20"/>
                <w:szCs w:val="20"/>
                <w:color w:val="auto"/>
              </w:rPr>
            </w:pPr>
            <w:r>
              <w:rPr>
                <w:rFonts w:ascii="Arial" w:cs="Arial" w:eastAsia="Arial" w:hAnsi="Arial"/>
                <w:sz w:val="18"/>
                <w:szCs w:val="18"/>
                <w:color w:val="auto"/>
              </w:rPr>
              <w:t>Broker Non-votes</w:t>
            </w:r>
          </w:p>
        </w:tc>
      </w:tr>
      <w:tr>
        <w:trPr>
          <w:trHeight w:val="216"/>
        </w:trPr>
        <w:tc>
          <w:tcPr>
            <w:tcW w:w="4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Zeynep Hakimoglu</w:t>
            </w:r>
          </w:p>
        </w:tc>
        <w:tc>
          <w:tcPr>
            <w:tcW w:w="2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3,563,413</w:t>
            </w:r>
          </w:p>
        </w:tc>
        <w:tc>
          <w:tcPr>
            <w:tcW w:w="32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108,014</w:t>
            </w:r>
          </w:p>
        </w:tc>
        <w:tc>
          <w:tcPr>
            <w:tcW w:w="28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3,089,708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96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Brad R. Baldwin</w:t>
            </w:r>
          </w:p>
        </w:tc>
        <w:tc>
          <w:tcPr>
            <w:tcW w:w="1340" w:type="dxa"/>
            <w:vAlign w:val="bottom"/>
          </w:tcPr>
          <w:p>
            <w:pPr>
              <w:jc w:val="right"/>
              <w:ind w:right="170"/>
              <w:spacing w:after="0"/>
              <w:rPr>
                <w:sz w:val="20"/>
                <w:szCs w:val="20"/>
                <w:color w:val="auto"/>
              </w:rPr>
            </w:pPr>
            <w:r>
              <w:rPr>
                <w:rFonts w:ascii="Arial" w:cs="Arial" w:eastAsia="Arial" w:hAnsi="Arial"/>
                <w:sz w:val="18"/>
                <w:szCs w:val="18"/>
                <w:color w:val="auto"/>
              </w:rPr>
              <w:t>3,552,240</w:t>
            </w:r>
          </w:p>
        </w:tc>
        <w:tc>
          <w:tcPr>
            <w:tcW w:w="320" w:type="dxa"/>
            <w:vAlign w:val="bottom"/>
          </w:tcPr>
          <w:p>
            <w:pPr>
              <w:spacing w:after="0"/>
              <w:rPr>
                <w:sz w:val="18"/>
                <w:szCs w:val="18"/>
                <w:color w:val="auto"/>
              </w:rPr>
            </w:pPr>
          </w:p>
        </w:tc>
        <w:tc>
          <w:tcPr>
            <w:tcW w:w="1540" w:type="dxa"/>
            <w:vAlign w:val="bottom"/>
          </w:tcPr>
          <w:p>
            <w:pPr>
              <w:jc w:val="right"/>
              <w:ind w:right="350"/>
              <w:spacing w:after="0"/>
              <w:rPr>
                <w:sz w:val="20"/>
                <w:szCs w:val="20"/>
                <w:color w:val="auto"/>
              </w:rPr>
            </w:pPr>
            <w:r>
              <w:rPr>
                <w:rFonts w:ascii="Arial" w:cs="Arial" w:eastAsia="Arial" w:hAnsi="Arial"/>
                <w:sz w:val="18"/>
                <w:szCs w:val="18"/>
                <w:color w:val="auto"/>
              </w:rPr>
              <w:t>119,187</w:t>
            </w:r>
          </w:p>
        </w:tc>
        <w:tc>
          <w:tcPr>
            <w:tcW w:w="280" w:type="dxa"/>
            <w:vAlign w:val="bottom"/>
          </w:tcPr>
          <w:p>
            <w:pPr>
              <w:spacing w:after="0"/>
              <w:rPr>
                <w:sz w:val="18"/>
                <w:szCs w:val="18"/>
                <w:color w:val="auto"/>
              </w:rPr>
            </w:pPr>
          </w:p>
        </w:tc>
        <w:tc>
          <w:tcPr>
            <w:tcW w:w="1740" w:type="dxa"/>
            <w:vAlign w:val="bottom"/>
          </w:tcPr>
          <w:p>
            <w:pPr>
              <w:jc w:val="right"/>
              <w:ind w:right="370"/>
              <w:spacing w:after="0"/>
              <w:rPr>
                <w:sz w:val="20"/>
                <w:szCs w:val="20"/>
                <w:color w:val="auto"/>
              </w:rPr>
            </w:pPr>
            <w:r>
              <w:rPr>
                <w:rFonts w:ascii="Arial" w:cs="Arial" w:eastAsia="Arial" w:hAnsi="Arial"/>
                <w:sz w:val="18"/>
                <w:szCs w:val="18"/>
                <w:color w:val="auto"/>
              </w:rPr>
              <w:t>3,089,708</w:t>
            </w:r>
          </w:p>
        </w:tc>
        <w:tc>
          <w:tcPr>
            <w:tcW w:w="100" w:type="dxa"/>
            <w:vAlign w:val="bottom"/>
          </w:tcPr>
          <w:p>
            <w:pPr>
              <w:spacing w:after="0"/>
              <w:rPr>
                <w:sz w:val="18"/>
                <w:szCs w:val="18"/>
                <w:color w:val="auto"/>
              </w:rPr>
            </w:pPr>
          </w:p>
        </w:tc>
      </w:tr>
      <w:tr>
        <w:trPr>
          <w:trHeight w:val="216"/>
        </w:trPr>
        <w:tc>
          <w:tcPr>
            <w:tcW w:w="496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3"/>
              </w:rPr>
              <w:t>Larry R. Hendricks</w:t>
            </w:r>
          </w:p>
        </w:tc>
        <w:tc>
          <w:tcPr>
            <w:tcW w:w="13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3,556,874</w:t>
            </w:r>
          </w:p>
        </w:tc>
        <w:tc>
          <w:tcPr>
            <w:tcW w:w="32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114,553</w:t>
            </w:r>
          </w:p>
        </w:tc>
        <w:tc>
          <w:tcPr>
            <w:tcW w:w="280" w:type="dxa"/>
            <w:vAlign w:val="bottom"/>
            <w:shd w:val="clear" w:color="auto" w:fill="CCEEFF"/>
          </w:tcPr>
          <w:p>
            <w:pPr>
              <w:spacing w:after="0"/>
              <w:rPr>
                <w:sz w:val="18"/>
                <w:szCs w:val="18"/>
                <w:color w:val="auto"/>
              </w:rPr>
            </w:pPr>
          </w:p>
        </w:tc>
        <w:tc>
          <w:tcPr>
            <w:tcW w:w="17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3,089,708</w:t>
            </w:r>
          </w:p>
        </w:tc>
        <w:tc>
          <w:tcPr>
            <w:tcW w:w="100" w:type="dxa"/>
            <w:vAlign w:val="bottom"/>
            <w:shd w:val="clear" w:color="auto" w:fill="CCEEFF"/>
          </w:tcPr>
          <w:p>
            <w:pPr>
              <w:spacing w:after="0"/>
              <w:rPr>
                <w:sz w:val="18"/>
                <w:szCs w:val="18"/>
                <w:color w:val="auto"/>
              </w:rPr>
            </w:pPr>
          </w:p>
        </w:tc>
      </w:tr>
      <w:tr>
        <w:trPr>
          <w:trHeight w:val="230"/>
        </w:trPr>
        <w:tc>
          <w:tcPr>
            <w:tcW w:w="496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Eric L. Robinson</w:t>
            </w:r>
          </w:p>
        </w:tc>
        <w:tc>
          <w:tcPr>
            <w:tcW w:w="1340" w:type="dxa"/>
            <w:vAlign w:val="bottom"/>
          </w:tcPr>
          <w:p>
            <w:pPr>
              <w:jc w:val="right"/>
              <w:ind w:right="170"/>
              <w:spacing w:after="0"/>
              <w:rPr>
                <w:sz w:val="20"/>
                <w:szCs w:val="20"/>
                <w:color w:val="auto"/>
              </w:rPr>
            </w:pPr>
            <w:r>
              <w:rPr>
                <w:rFonts w:ascii="Arial" w:cs="Arial" w:eastAsia="Arial" w:hAnsi="Arial"/>
                <w:sz w:val="18"/>
                <w:szCs w:val="18"/>
                <w:color w:val="auto"/>
              </w:rPr>
              <w:t>3,542,556</w:t>
            </w:r>
          </w:p>
        </w:tc>
        <w:tc>
          <w:tcPr>
            <w:tcW w:w="320" w:type="dxa"/>
            <w:vAlign w:val="bottom"/>
          </w:tcPr>
          <w:p>
            <w:pPr>
              <w:spacing w:after="0"/>
              <w:rPr>
                <w:sz w:val="20"/>
                <w:szCs w:val="20"/>
                <w:color w:val="auto"/>
              </w:rPr>
            </w:pPr>
          </w:p>
        </w:tc>
        <w:tc>
          <w:tcPr>
            <w:tcW w:w="1540" w:type="dxa"/>
            <w:vAlign w:val="bottom"/>
          </w:tcPr>
          <w:p>
            <w:pPr>
              <w:jc w:val="right"/>
              <w:ind w:right="350"/>
              <w:spacing w:after="0"/>
              <w:rPr>
                <w:sz w:val="20"/>
                <w:szCs w:val="20"/>
                <w:color w:val="auto"/>
              </w:rPr>
            </w:pPr>
            <w:r>
              <w:rPr>
                <w:rFonts w:ascii="Arial" w:cs="Arial" w:eastAsia="Arial" w:hAnsi="Arial"/>
                <w:sz w:val="18"/>
                <w:szCs w:val="18"/>
                <w:color w:val="auto"/>
              </w:rPr>
              <w:t>128,871</w:t>
            </w:r>
          </w:p>
        </w:tc>
        <w:tc>
          <w:tcPr>
            <w:tcW w:w="280" w:type="dxa"/>
            <w:vAlign w:val="bottom"/>
          </w:tcPr>
          <w:p>
            <w:pPr>
              <w:spacing w:after="0"/>
              <w:rPr>
                <w:sz w:val="20"/>
                <w:szCs w:val="20"/>
                <w:color w:val="auto"/>
              </w:rPr>
            </w:pPr>
          </w:p>
        </w:tc>
        <w:tc>
          <w:tcPr>
            <w:tcW w:w="1740" w:type="dxa"/>
            <w:vAlign w:val="bottom"/>
          </w:tcPr>
          <w:p>
            <w:pPr>
              <w:jc w:val="right"/>
              <w:ind w:right="370"/>
              <w:spacing w:after="0"/>
              <w:rPr>
                <w:sz w:val="20"/>
                <w:szCs w:val="20"/>
                <w:color w:val="auto"/>
              </w:rPr>
            </w:pPr>
            <w:r>
              <w:rPr>
                <w:rFonts w:ascii="Arial" w:cs="Arial" w:eastAsia="Arial" w:hAnsi="Arial"/>
                <w:sz w:val="18"/>
                <w:szCs w:val="18"/>
                <w:color w:val="auto"/>
              </w:rPr>
              <w:t>3,089,708</w:t>
            </w:r>
          </w:p>
        </w:tc>
        <w:tc>
          <w:tcPr>
            <w:tcW w:w="100" w:type="dxa"/>
            <w:vAlign w:val="bottom"/>
          </w:tcPr>
          <w:p>
            <w:pPr>
              <w:spacing w:after="0"/>
              <w:rPr>
                <w:sz w:val="20"/>
                <w:szCs w:val="20"/>
                <w:color w:val="auto"/>
              </w:rPr>
            </w:pPr>
          </w:p>
        </w:tc>
      </w:tr>
    </w:tbl>
    <w:p>
      <w:pPr>
        <w:spacing w:after="0" w:line="187" w:lineRule="exact"/>
        <w:rPr>
          <w:sz w:val="20"/>
          <w:szCs w:val="20"/>
          <w:color w:val="auto"/>
        </w:rPr>
      </w:pPr>
    </w:p>
    <w:p>
      <w:pPr>
        <w:ind w:left="340" w:hanging="332"/>
        <w:spacing w:after="0" w:line="27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Ratification of the appointment of Tanner, LLC as ClearOne’s independent public accountants: Our shareholders ratified the appointment of Tanner, LLC as our independent public accountants.</w:t>
      </w:r>
    </w:p>
    <w:p>
      <w:pPr>
        <w:spacing w:after="0" w:line="170" w:lineRule="exact"/>
        <w:rPr>
          <w:sz w:val="20"/>
          <w:szCs w:val="20"/>
          <w:color w:val="auto"/>
        </w:rPr>
      </w:pPr>
    </w:p>
    <w:tbl>
      <w:tblPr>
        <w:tblLayout w:type="fixed"/>
        <w:tblInd w:w="300" w:type="dxa"/>
        <w:tblCellMar>
          <w:top w:w="0" w:type="dxa"/>
          <w:left w:w="0" w:type="dxa"/>
          <w:bottom w:w="0" w:type="dxa"/>
          <w:right w:w="0" w:type="dxa"/>
        </w:tblCellMar>
      </w:tblPr>
      <w:tr>
        <w:trPr>
          <w:trHeight w:val="237"/>
        </w:trPr>
        <w:tc>
          <w:tcPr>
            <w:tcW w:w="2840" w:type="dxa"/>
            <w:vAlign w:val="bottom"/>
            <w:gridSpan w:val="2"/>
          </w:tcPr>
          <w:p>
            <w:pPr>
              <w:ind w:left="780"/>
              <w:spacing w:after="0"/>
              <w:rPr>
                <w:sz w:val="20"/>
                <w:szCs w:val="20"/>
                <w:color w:val="auto"/>
              </w:rPr>
            </w:pPr>
            <w:r>
              <w:rPr>
                <w:rFonts w:ascii="Arial" w:cs="Arial" w:eastAsia="Arial" w:hAnsi="Arial"/>
                <w:sz w:val="18"/>
                <w:szCs w:val="18"/>
                <w:color w:val="auto"/>
              </w:rPr>
              <w:t>Votes For (1)</w:t>
            </w:r>
          </w:p>
        </w:tc>
        <w:tc>
          <w:tcPr>
            <w:tcW w:w="2820" w:type="dxa"/>
            <w:vAlign w:val="bottom"/>
            <w:gridSpan w:val="2"/>
          </w:tcPr>
          <w:p>
            <w:pPr>
              <w:ind w:left="760"/>
              <w:spacing w:after="0"/>
              <w:rPr>
                <w:sz w:val="20"/>
                <w:szCs w:val="20"/>
                <w:color w:val="auto"/>
              </w:rPr>
            </w:pPr>
            <w:r>
              <w:rPr>
                <w:rFonts w:ascii="Arial" w:cs="Arial" w:eastAsia="Arial" w:hAnsi="Arial"/>
                <w:sz w:val="18"/>
                <w:szCs w:val="18"/>
                <w:color w:val="auto"/>
              </w:rPr>
              <w:t>Votes against</w:t>
            </w:r>
          </w:p>
        </w:tc>
        <w:tc>
          <w:tcPr>
            <w:tcW w:w="2700" w:type="dxa"/>
            <w:vAlign w:val="bottom"/>
            <w:gridSpan w:val="2"/>
          </w:tcPr>
          <w:p>
            <w:pPr>
              <w:ind w:left="620"/>
              <w:spacing w:after="0"/>
              <w:rPr>
                <w:sz w:val="20"/>
                <w:szCs w:val="20"/>
                <w:color w:val="auto"/>
              </w:rPr>
            </w:pPr>
            <w:r>
              <w:rPr>
                <w:rFonts w:ascii="Arial" w:cs="Arial" w:eastAsia="Arial" w:hAnsi="Arial"/>
                <w:sz w:val="18"/>
                <w:szCs w:val="18"/>
                <w:color w:val="auto"/>
              </w:rPr>
              <w:t>Votes abstained</w:t>
            </w:r>
          </w:p>
        </w:tc>
        <w:tc>
          <w:tcPr>
            <w:tcW w:w="2480" w:type="dxa"/>
            <w:vAlign w:val="bottom"/>
            <w:gridSpan w:val="2"/>
          </w:tcPr>
          <w:p>
            <w:pPr>
              <w:ind w:left="520"/>
              <w:spacing w:after="0"/>
              <w:rPr>
                <w:sz w:val="20"/>
                <w:szCs w:val="20"/>
                <w:color w:val="auto"/>
              </w:rPr>
            </w:pPr>
            <w:r>
              <w:rPr>
                <w:rFonts w:ascii="Arial" w:cs="Arial" w:eastAsia="Arial" w:hAnsi="Arial"/>
                <w:sz w:val="18"/>
                <w:szCs w:val="18"/>
                <w:color w:val="auto"/>
              </w:rPr>
              <w:t>Broker Non-votes</w:t>
            </w:r>
          </w:p>
        </w:tc>
      </w:tr>
      <w:tr>
        <w:trPr>
          <w:trHeight w:val="216"/>
        </w:trPr>
        <w:tc>
          <w:tcPr>
            <w:tcW w:w="2520" w:type="dxa"/>
            <w:vAlign w:val="bottom"/>
            <w:tcBorders>
              <w:top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rPr>
              <w:t>6,724,875</w:t>
            </w:r>
          </w:p>
        </w:tc>
        <w:tc>
          <w:tcPr>
            <w:tcW w:w="320" w:type="dxa"/>
            <w:vAlign w:val="bottom"/>
            <w:tcBorders>
              <w:top w:val="single" w:sz="8" w:color="CCEEFF"/>
            </w:tcBorders>
            <w:shd w:val="clear" w:color="auto" w:fill="CCEEFF"/>
          </w:tcPr>
          <w:p>
            <w:pPr>
              <w:spacing w:after="0"/>
              <w:rPr>
                <w:sz w:val="18"/>
                <w:szCs w:val="18"/>
                <w:color w:val="auto"/>
              </w:rPr>
            </w:pPr>
          </w:p>
        </w:tc>
        <w:tc>
          <w:tcPr>
            <w:tcW w:w="2480" w:type="dxa"/>
            <w:vAlign w:val="bottom"/>
            <w:tcBorders>
              <w:top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rPr>
              <w:t>4,631</w:t>
            </w:r>
          </w:p>
        </w:tc>
        <w:tc>
          <w:tcPr>
            <w:tcW w:w="340" w:type="dxa"/>
            <w:vAlign w:val="bottom"/>
            <w:tcBorders>
              <w:top w:val="single" w:sz="8" w:color="CCEEFF"/>
            </w:tcBorders>
            <w:shd w:val="clear" w:color="auto" w:fill="CCEEFF"/>
          </w:tcPr>
          <w:p>
            <w:pPr>
              <w:spacing w:after="0"/>
              <w:rPr>
                <w:sz w:val="18"/>
                <w:szCs w:val="18"/>
                <w:color w:val="auto"/>
              </w:rPr>
            </w:pPr>
          </w:p>
        </w:tc>
        <w:tc>
          <w:tcPr>
            <w:tcW w:w="2360" w:type="dxa"/>
            <w:vAlign w:val="bottom"/>
            <w:tcBorders>
              <w:top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rPr>
              <w:t>31,629</w:t>
            </w:r>
          </w:p>
        </w:tc>
        <w:tc>
          <w:tcPr>
            <w:tcW w:w="340" w:type="dxa"/>
            <w:vAlign w:val="bottom"/>
            <w:tcBorders>
              <w:top w:val="single" w:sz="8" w:color="CCEEFF"/>
            </w:tcBorders>
            <w:shd w:val="clear" w:color="auto" w:fill="CCEEFF"/>
          </w:tcPr>
          <w:p>
            <w:pPr>
              <w:spacing w:after="0"/>
              <w:rPr>
                <w:sz w:val="18"/>
                <w:szCs w:val="18"/>
                <w:color w:val="auto"/>
              </w:rPr>
            </w:pPr>
          </w:p>
        </w:tc>
        <w:tc>
          <w:tcPr>
            <w:tcW w:w="2360" w:type="dxa"/>
            <w:vAlign w:val="bottom"/>
            <w:tcBorders>
              <w:top w:val="single" w:sz="8" w:color="auto"/>
            </w:tcBorders>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7"/>
          <w:szCs w:val="17"/>
          <w:color w:val="auto"/>
        </w:rPr>
      </w:pPr>
      <w:r>
        <w:rPr>
          <w:rFonts w:ascii="Arial" w:cs="Arial" w:eastAsia="Arial" w:hAnsi="Arial"/>
          <w:sz w:val="17"/>
          <w:szCs w:val="17"/>
          <w:color w:val="auto"/>
        </w:rPr>
        <w:t>Advisory vote on the compensation of our named executive officers: Our shareholders approved the compensation of our named executive officers.</w:t>
      </w:r>
    </w:p>
    <w:p>
      <w:pPr>
        <w:spacing w:after="0" w:line="237" w:lineRule="exact"/>
        <w:rPr>
          <w:sz w:val="20"/>
          <w:szCs w:val="20"/>
          <w:color w:val="auto"/>
        </w:rPr>
      </w:pPr>
    </w:p>
    <w:tbl>
      <w:tblPr>
        <w:tblLayout w:type="fixed"/>
        <w:tblInd w:w="300" w:type="dxa"/>
        <w:tblCellMar>
          <w:top w:w="0" w:type="dxa"/>
          <w:left w:w="0" w:type="dxa"/>
          <w:bottom w:w="0" w:type="dxa"/>
          <w:right w:w="0" w:type="dxa"/>
        </w:tblCellMar>
      </w:tblPr>
      <w:tr>
        <w:trPr>
          <w:trHeight w:val="237"/>
        </w:trPr>
        <w:tc>
          <w:tcPr>
            <w:tcW w:w="2840" w:type="dxa"/>
            <w:vAlign w:val="bottom"/>
            <w:gridSpan w:val="2"/>
          </w:tcPr>
          <w:p>
            <w:pPr>
              <w:ind w:left="780"/>
              <w:spacing w:after="0"/>
              <w:rPr>
                <w:sz w:val="20"/>
                <w:szCs w:val="20"/>
                <w:color w:val="auto"/>
              </w:rPr>
            </w:pPr>
            <w:r>
              <w:rPr>
                <w:rFonts w:ascii="Arial" w:cs="Arial" w:eastAsia="Arial" w:hAnsi="Arial"/>
                <w:sz w:val="18"/>
                <w:szCs w:val="18"/>
                <w:color w:val="auto"/>
              </w:rPr>
              <w:t>Votes For (1)</w:t>
            </w:r>
          </w:p>
        </w:tc>
        <w:tc>
          <w:tcPr>
            <w:tcW w:w="2820" w:type="dxa"/>
            <w:vAlign w:val="bottom"/>
            <w:gridSpan w:val="2"/>
          </w:tcPr>
          <w:p>
            <w:pPr>
              <w:ind w:left="760"/>
              <w:spacing w:after="0"/>
              <w:rPr>
                <w:sz w:val="20"/>
                <w:szCs w:val="20"/>
                <w:color w:val="auto"/>
              </w:rPr>
            </w:pPr>
            <w:r>
              <w:rPr>
                <w:rFonts w:ascii="Arial" w:cs="Arial" w:eastAsia="Arial" w:hAnsi="Arial"/>
                <w:sz w:val="18"/>
                <w:szCs w:val="18"/>
                <w:color w:val="auto"/>
              </w:rPr>
              <w:t>Votes against</w:t>
            </w:r>
          </w:p>
        </w:tc>
        <w:tc>
          <w:tcPr>
            <w:tcW w:w="2700" w:type="dxa"/>
            <w:vAlign w:val="bottom"/>
            <w:gridSpan w:val="2"/>
          </w:tcPr>
          <w:p>
            <w:pPr>
              <w:ind w:left="620"/>
              <w:spacing w:after="0"/>
              <w:rPr>
                <w:sz w:val="20"/>
                <w:szCs w:val="20"/>
                <w:color w:val="auto"/>
              </w:rPr>
            </w:pPr>
            <w:r>
              <w:rPr>
                <w:rFonts w:ascii="Arial" w:cs="Arial" w:eastAsia="Arial" w:hAnsi="Arial"/>
                <w:sz w:val="18"/>
                <w:szCs w:val="18"/>
                <w:color w:val="auto"/>
              </w:rPr>
              <w:t>Votes abstained</w:t>
            </w:r>
          </w:p>
        </w:tc>
        <w:tc>
          <w:tcPr>
            <w:tcW w:w="2480" w:type="dxa"/>
            <w:vAlign w:val="bottom"/>
            <w:gridSpan w:val="2"/>
          </w:tcPr>
          <w:p>
            <w:pPr>
              <w:ind w:left="520"/>
              <w:spacing w:after="0"/>
              <w:rPr>
                <w:sz w:val="20"/>
                <w:szCs w:val="20"/>
                <w:color w:val="auto"/>
              </w:rPr>
            </w:pPr>
            <w:r>
              <w:rPr>
                <w:rFonts w:ascii="Arial" w:cs="Arial" w:eastAsia="Arial" w:hAnsi="Arial"/>
                <w:sz w:val="18"/>
                <w:szCs w:val="18"/>
                <w:color w:val="auto"/>
              </w:rPr>
              <w:t>Broker Non-votes</w:t>
            </w:r>
          </w:p>
        </w:tc>
      </w:tr>
      <w:tr>
        <w:trPr>
          <w:trHeight w:val="216"/>
        </w:trPr>
        <w:tc>
          <w:tcPr>
            <w:tcW w:w="2520" w:type="dxa"/>
            <w:vAlign w:val="bottom"/>
            <w:tcBorders>
              <w:top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rPr>
              <w:t>3,285,513</w:t>
            </w:r>
          </w:p>
        </w:tc>
        <w:tc>
          <w:tcPr>
            <w:tcW w:w="320" w:type="dxa"/>
            <w:vAlign w:val="bottom"/>
            <w:tcBorders>
              <w:top w:val="single" w:sz="8" w:color="CCEEFF"/>
            </w:tcBorders>
            <w:shd w:val="clear" w:color="auto" w:fill="CCEEFF"/>
          </w:tcPr>
          <w:p>
            <w:pPr>
              <w:spacing w:after="0"/>
              <w:rPr>
                <w:sz w:val="18"/>
                <w:szCs w:val="18"/>
                <w:color w:val="auto"/>
              </w:rPr>
            </w:pPr>
          </w:p>
        </w:tc>
        <w:tc>
          <w:tcPr>
            <w:tcW w:w="2480" w:type="dxa"/>
            <w:vAlign w:val="bottom"/>
            <w:tcBorders>
              <w:top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rPr>
              <w:t>301,279</w:t>
            </w:r>
          </w:p>
        </w:tc>
        <w:tc>
          <w:tcPr>
            <w:tcW w:w="340" w:type="dxa"/>
            <w:vAlign w:val="bottom"/>
            <w:tcBorders>
              <w:top w:val="single" w:sz="8" w:color="CCEEFF"/>
            </w:tcBorders>
            <w:shd w:val="clear" w:color="auto" w:fill="CCEEFF"/>
          </w:tcPr>
          <w:p>
            <w:pPr>
              <w:spacing w:after="0"/>
              <w:rPr>
                <w:sz w:val="18"/>
                <w:szCs w:val="18"/>
                <w:color w:val="auto"/>
              </w:rPr>
            </w:pPr>
          </w:p>
        </w:tc>
        <w:tc>
          <w:tcPr>
            <w:tcW w:w="2360" w:type="dxa"/>
            <w:vAlign w:val="bottom"/>
            <w:tcBorders>
              <w:top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rPr>
              <w:t>84,635</w:t>
            </w:r>
          </w:p>
        </w:tc>
        <w:tc>
          <w:tcPr>
            <w:tcW w:w="340" w:type="dxa"/>
            <w:vAlign w:val="bottom"/>
            <w:tcBorders>
              <w:top w:val="single" w:sz="8" w:color="CCEEFF"/>
            </w:tcBorders>
            <w:shd w:val="clear" w:color="auto" w:fill="CCEEFF"/>
          </w:tcPr>
          <w:p>
            <w:pPr>
              <w:spacing w:after="0"/>
              <w:rPr>
                <w:sz w:val="18"/>
                <w:szCs w:val="18"/>
                <w:color w:val="auto"/>
              </w:rPr>
            </w:pPr>
          </w:p>
        </w:tc>
        <w:tc>
          <w:tcPr>
            <w:tcW w:w="2360" w:type="dxa"/>
            <w:vAlign w:val="bottom"/>
            <w:tcBorders>
              <w:top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rPr>
              <w:t>3,089,708</w:t>
            </w:r>
          </w:p>
        </w:tc>
        <w:tc>
          <w:tcPr>
            <w:tcW w:w="12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u w:val="single" w:color="auto"/>
          <w:color w:val="auto"/>
        </w:rPr>
        <w:t>Note (1)</w:t>
      </w:r>
      <w:r>
        <w:rPr>
          <w:rFonts w:ascii="Arial" w:cs="Arial" w:eastAsia="Arial" w:hAnsi="Arial"/>
          <w:sz w:val="18"/>
          <w:szCs w:val="18"/>
          <w:b w:val="1"/>
          <w:bCs w:val="1"/>
          <w:color w:val="auto"/>
        </w:rPr>
        <w:t xml:space="preserve"> </w:t>
      </w:r>
      <w:r>
        <w:rPr>
          <w:rFonts w:ascii="Arial" w:cs="Arial" w:eastAsia="Arial" w:hAnsi="Arial"/>
          <w:sz w:val="18"/>
          <w:szCs w:val="18"/>
          <w:color w:val="auto"/>
        </w:rPr>
        <w:t>: Votes reported as adjusted pursuant to the provisions of Utah Control Shares Acquisitions Act, as approved by ClearOne shareholders on December</w:t>
      </w:r>
      <w:r>
        <w:rPr>
          <w:rFonts w:ascii="Arial" w:cs="Arial" w:eastAsia="Arial" w:hAnsi="Arial"/>
          <w:sz w:val="18"/>
          <w:szCs w:val="18"/>
          <w:b w:val="1"/>
          <w:bCs w:val="1"/>
          <w:color w:val="auto"/>
        </w:rPr>
        <w:t xml:space="preserve"> </w:t>
      </w:r>
      <w:r>
        <w:rPr>
          <w:rFonts w:ascii="Arial" w:cs="Arial" w:eastAsia="Arial" w:hAnsi="Arial"/>
          <w:sz w:val="18"/>
          <w:szCs w:val="18"/>
          <w:color w:val="auto"/>
        </w:rPr>
        <w:t>3, 2013.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jc w:val="center"/>
        <w:ind w:left="300"/>
        <w:spacing w:after="0"/>
        <w:rPr>
          <w:sz w:val="20"/>
          <w:szCs w:val="20"/>
          <w:color w:val="auto"/>
        </w:rPr>
      </w:pPr>
      <w:r>
        <w:rPr>
          <w:rFonts w:ascii="Arial" w:cs="Arial" w:eastAsia="Arial" w:hAnsi="Arial"/>
          <w:sz w:val="18"/>
          <w:szCs w:val="18"/>
          <w:color w:val="auto"/>
        </w:rPr>
        <w:t>CLEARONE, INC.</w:t>
      </w:r>
    </w:p>
    <w:p>
      <w:pPr>
        <w:spacing w:after="0" w:line="225" w:lineRule="exact"/>
        <w:rPr>
          <w:sz w:val="20"/>
          <w:szCs w:val="20"/>
          <w:color w:val="auto"/>
        </w:rPr>
      </w:pPr>
    </w:p>
    <w:p>
      <w:pPr>
        <w:ind w:left="360"/>
        <w:spacing w:after="0"/>
        <w:tabs>
          <w:tab w:leader="none" w:pos="5140" w:val="left"/>
        </w:tabs>
        <w:rPr>
          <w:sz w:val="20"/>
          <w:szCs w:val="20"/>
          <w:color w:val="auto"/>
        </w:rPr>
      </w:pPr>
      <w:r>
        <w:rPr>
          <w:rFonts w:ascii="Arial" w:cs="Arial" w:eastAsia="Arial" w:hAnsi="Arial"/>
          <w:sz w:val="18"/>
          <w:szCs w:val="18"/>
          <w:color w:val="auto"/>
        </w:rPr>
        <w:t>Date: May 4, 2017</w:t>
      </w:r>
      <w:r>
        <w:rPr>
          <w:sz w:val="20"/>
          <w:szCs w:val="20"/>
          <w:color w:val="auto"/>
        </w:rPr>
        <w:tab/>
      </w:r>
      <w:r>
        <w:rPr>
          <w:rFonts w:ascii="Arial" w:cs="Arial" w:eastAsia="Arial" w:hAnsi="Arial"/>
          <w:sz w:val="16"/>
          <w:szCs w:val="16"/>
          <w:color w:val="auto"/>
        </w:rPr>
        <w:t xml:space="preserve">By: </w:t>
      </w:r>
      <w:r>
        <w:rPr>
          <w:rFonts w:ascii="Arial" w:cs="Arial" w:eastAsia="Arial" w:hAnsi="Arial"/>
          <w:sz w:val="16"/>
          <w:szCs w:val="16"/>
          <w:i w:val="1"/>
          <w:iCs w:val="1"/>
          <w:color w:val="auto"/>
        </w:rPr>
        <w:t>/s/ 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14605</wp:posOffset>
            </wp:positionV>
            <wp:extent cx="376491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764915" cy="17145"/>
                    </a:xfrm>
                    <a:prstGeom prst="rect">
                      <a:avLst/>
                    </a:prstGeom>
                    <a:noFill/>
                  </pic:spPr>
                </pic:pic>
              </a:graphicData>
            </a:graphic>
          </wp:anchor>
        </w:drawing>
      </w:r>
    </w:p>
    <w:p>
      <w:pPr>
        <w:spacing w:after="0" w:line="17"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Zeynep Hakimoglu</w:t>
      </w:r>
    </w:p>
    <w:p>
      <w:pPr>
        <w:spacing w:after="0" w:line="2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2019-12-05T17:29:45Z</dcterms:created>
  <dcterms:modified xsi:type="dcterms:W3CDTF">2019-12-05T17:29:45Z</dcterms:modified>
</cp:coreProperties>
</file>