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12, 2014</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4"/>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300" w:type="dxa"/>
            <w:vAlign w:val="bottom"/>
            <w:gridSpan w:val="2"/>
          </w:tcPr>
          <w:p>
            <w:pPr>
              <w:jc w:val="center"/>
              <w:ind w:left="5050"/>
              <w:spacing w:after="0"/>
              <w:rPr>
                <w:sz w:val="20"/>
                <w:szCs w:val="20"/>
                <w:color w:val="auto"/>
              </w:rPr>
            </w:pPr>
            <w:r>
              <w:rPr>
                <w:rFonts w:ascii="Arial" w:cs="Arial" w:eastAsia="Arial" w:hAnsi="Arial"/>
                <w:sz w:val="18"/>
                <w:szCs w:val="18"/>
                <w:b w:val="1"/>
                <w:bCs w:val="1"/>
                <w:color w:val="auto"/>
                <w:w w:val="90"/>
              </w:rPr>
              <w:t>(801) 975-7200</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2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firstLine="4214"/>
        <w:spacing w:after="0" w:line="277" w:lineRule="auto"/>
        <w:rPr>
          <w:sz w:val="20"/>
          <w:szCs w:val="20"/>
          <w:color w:val="auto"/>
        </w:rPr>
      </w:pPr>
      <w:r>
        <w:rPr>
          <w:rFonts w:ascii="Arial" w:cs="Arial" w:eastAsia="Arial" w:hAnsi="Arial"/>
          <w:sz w:val="18"/>
          <w:szCs w:val="18"/>
          <w:color w:val="auto"/>
        </w:rPr>
        <w:t>On August 12, 2014, ClearOne, Inc. issued a press release announcing its financial results for the six months ended June 30, 2014.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August 12, 2014 titled “ClearOne Reports Second Quarter Results”.</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Second Quarter Results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ClearOne Reports record 21% Revenue Growth with Continued Profitability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August 12, 2014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2014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Achieved record second quarter revenue of $14.1 million, up 21% year over year</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for second quarter up 10% year over year</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Spontania acquisition closed on April 1, 2014 following acquisition of Sabine in March 2014</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Results include full quarter operations of Sabine and Spontania acquisitions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Began shipping next generation enterprise streaming and media collaboration products and received positive market response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6"/>
              </w:rPr>
              <w:t>Second Quarter</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Year to Date</w:t>
            </w:r>
          </w:p>
        </w:tc>
        <w:tc>
          <w:tcPr>
            <w:tcW w:w="900" w:type="dxa"/>
            <w:vAlign w:val="bottom"/>
            <w:tcBorders>
              <w:bottom w:val="single" w:sz="8" w:color="auto"/>
            </w:tcBorders>
          </w:tcPr>
          <w:p>
            <w:pPr>
              <w:spacing w:after="0"/>
              <w:rPr>
                <w:sz w:val="20"/>
                <w:szCs w:val="20"/>
                <w:color w:val="auto"/>
              </w:rPr>
            </w:pPr>
          </w:p>
        </w:tc>
      </w:tr>
      <w:tr>
        <w:trPr>
          <w:trHeight w:val="237"/>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Change</w:t>
            </w: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14,111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21%</w:t>
            </w:r>
          </w:p>
        </w:tc>
        <w:tc>
          <w:tcPr>
            <w:tcW w:w="1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26,819</w:t>
            </w:r>
          </w:p>
        </w:tc>
        <w:tc>
          <w:tcPr>
            <w:tcW w:w="12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22,996</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17%</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17%</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13,863</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14%</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5"/>
              </w:rPr>
              <w:t>(10)%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3,193</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(6)%</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Net Income</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94"/>
              </w:rPr>
              <w:t>(8)%</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(3)%</w:t>
            </w: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Non-GAAP 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92"/>
              </w:rPr>
              <w:t>8%</w:t>
            </w:r>
          </w:p>
        </w:tc>
        <w:tc>
          <w:tcPr>
            <w:tcW w:w="1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45" w:lineRule="exact"/>
        <w:rPr>
          <w:sz w:val="20"/>
          <w:szCs w:val="20"/>
          <w:color w:val="auto"/>
        </w:rPr>
      </w:pPr>
    </w:p>
    <w:p>
      <w:pPr>
        <w:ind w:right="240"/>
        <w:spacing w:after="0" w:line="38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three and six months ended June 30, 2014.</w:t>
      </w:r>
    </w:p>
    <w:p>
      <w:pPr>
        <w:spacing w:after="0" w:line="116" w:lineRule="exact"/>
        <w:rPr>
          <w:sz w:val="20"/>
          <w:szCs w:val="20"/>
          <w:color w:val="auto"/>
        </w:rPr>
      </w:pPr>
    </w:p>
    <w:p>
      <w:pPr>
        <w:ind w:right="180"/>
        <w:spacing w:after="0" w:line="420" w:lineRule="auto"/>
        <w:rPr>
          <w:sz w:val="20"/>
          <w:szCs w:val="20"/>
          <w:color w:val="auto"/>
        </w:rPr>
      </w:pPr>
      <w:r>
        <w:rPr>
          <w:rFonts w:ascii="Arial" w:cs="Arial" w:eastAsia="Arial" w:hAnsi="Arial"/>
          <w:sz w:val="16"/>
          <w:szCs w:val="16"/>
          <w:color w:val="auto"/>
        </w:rPr>
        <w:t>For the 2014 second quarter, revenue increased by 21% to $14.1 million, compared with $11.7 million for the second quarter of 2013. Gross profit for the second quarter was $8.1 million, or 57% of revenue, compared with $6.9 million, or 59% of revenue, for the second quarter of 2013. Non-GAAP operating income for the second quarter decreased by 10% to $1.6 million from $1.8 million for the second quarter of 2013. Non-GAAP net income increased 10% to $1.4 million, or $0.14 per diluted share, from $1.2 million, or $0.13 per diluted share, for the second quarter of 2013. Non-GAAP adjusted EBITDA for the 2014 second quarter decreased 8% to $1.9 million, or $0.19 per diluted share, from $2.0 million, or $0.22 per diluted share, or the second quarter of 2013.</w:t>
      </w:r>
    </w:p>
    <w:p>
      <w:pPr>
        <w:sectPr>
          <w:pgSz w:w="11900" w:h="16838" w:orient="portrait"/>
          <w:cols w:equalWidth="0" w:num="1">
            <w:col w:w="11420"/>
          </w:cols>
          <w:pgMar w:left="240" w:top="580" w:right="239" w:bottom="1440" w:gutter="0" w:footer="0" w:header="0"/>
        </w:sectPr>
      </w:pPr>
    </w:p>
    <w:bookmarkStart w:id="3" w:name="page4"/>
    <w:bookmarkEnd w:id="3"/>
    <w:p>
      <w:pPr>
        <w:ind w:right="20"/>
        <w:spacing w:after="0" w:line="365" w:lineRule="auto"/>
        <w:rPr>
          <w:sz w:val="20"/>
          <w:szCs w:val="20"/>
          <w:color w:val="auto"/>
        </w:rPr>
      </w:pPr>
      <w:r>
        <w:rPr>
          <w:rFonts w:ascii="Arial" w:cs="Arial" w:eastAsia="Arial" w:hAnsi="Arial"/>
          <w:sz w:val="18"/>
          <w:szCs w:val="18"/>
          <w:color w:val="auto"/>
        </w:rPr>
        <w:t>For the six months ended June 30, 2014, revenue increased 17% to $26.8 million from $23.0 million for the six months ended June 30, 2013. Gross profit increased by 14% to $15.8 million, or 59% of revenue, compared with $13.9 million, or 60% of revenue, for the six months ended June 30, 2013. Non-GAAP operating income for the six months ended June 30, 2014 decreased by 6% to $3.0 million from $3.2 million for the six months ended June 30, 2013. Non-GAAP net income for six months ended June 30, 2014 remained flat at $2.2 million, or $0.23 per diluted share, from $2.2 million, or $0.23 per diluted share, for the six months ended June 30, 2013. Non-GAAP adjusted EBITDA decreased 3% to $3.5 million, or $0.36 per diluted share, from $3.6 million, or $0.38 per diluted share, for the six months ended June 30, 2013.</w:t>
      </w:r>
    </w:p>
    <w:p>
      <w:pPr>
        <w:spacing w:after="0" w:line="191" w:lineRule="exact"/>
        <w:rPr>
          <w:sz w:val="20"/>
          <w:szCs w:val="20"/>
          <w:color w:val="auto"/>
        </w:rPr>
      </w:pPr>
    </w:p>
    <w:p>
      <w:pPr>
        <w:ind w:right="280"/>
        <w:spacing w:after="0" w:line="387" w:lineRule="auto"/>
        <w:rPr>
          <w:sz w:val="20"/>
          <w:szCs w:val="20"/>
          <w:color w:val="auto"/>
        </w:rPr>
      </w:pPr>
      <w:r>
        <w:rPr>
          <w:rFonts w:ascii="Arial" w:cs="Arial" w:eastAsia="Arial" w:hAnsi="Arial"/>
          <w:sz w:val="18"/>
          <w:szCs w:val="18"/>
          <w:color w:val="auto"/>
        </w:rPr>
        <w:t>Cash, cash equivalents and investments totaled $32.3 million at June 30, 2014, down from $42.7 million on December 31, 2013. The decrease is primarily due to the acquisitions of Sabine and Spontania.</w:t>
      </w:r>
    </w:p>
    <w:p>
      <w:pPr>
        <w:spacing w:after="0" w:line="170" w:lineRule="exact"/>
        <w:rPr>
          <w:sz w:val="20"/>
          <w:szCs w:val="20"/>
          <w:color w:val="auto"/>
        </w:rPr>
      </w:pPr>
    </w:p>
    <w:p>
      <w:pPr>
        <w:ind w:right="120"/>
        <w:spacing w:after="0" w:line="387" w:lineRule="auto"/>
        <w:rPr>
          <w:sz w:val="20"/>
          <w:szCs w:val="20"/>
          <w:color w:val="auto"/>
        </w:rPr>
      </w:pPr>
      <w:r>
        <w:rPr>
          <w:rFonts w:ascii="Arial" w:cs="Arial" w:eastAsia="Arial" w:hAnsi="Arial"/>
          <w:sz w:val="18"/>
          <w:szCs w:val="18"/>
          <w:color w:val="auto"/>
        </w:rPr>
        <w:t>ClearOne continued its stock repurchase plan in the second quarter, bringing the total repurchase amount to approximately $4.0 million against an allocation of $10 million.</w:t>
      </w:r>
    </w:p>
    <w:p>
      <w:pPr>
        <w:spacing w:after="0" w:line="170" w:lineRule="exact"/>
        <w:rPr>
          <w:sz w:val="20"/>
          <w:szCs w:val="20"/>
          <w:color w:val="auto"/>
        </w:rPr>
      </w:pPr>
    </w:p>
    <w:p>
      <w:pPr>
        <w:ind w:right="120"/>
        <w:spacing w:after="0" w:line="387" w:lineRule="auto"/>
        <w:rPr>
          <w:sz w:val="20"/>
          <w:szCs w:val="20"/>
          <w:color w:val="auto"/>
        </w:rPr>
      </w:pPr>
      <w:r>
        <w:rPr>
          <w:rFonts w:ascii="Arial" w:cs="Arial" w:eastAsia="Arial" w:hAnsi="Arial"/>
          <w:sz w:val="18"/>
          <w:szCs w:val="18"/>
          <w:color w:val="auto"/>
        </w:rPr>
        <w:t>Gross margins in the quarter were within the lower end of the company’s expected range. Gross margins were impacted by the periodic revision of overhead allocations as well as the ongoing integration of Sabine manufacturing operations, which were acquired in March 2014.</w:t>
      </w:r>
    </w:p>
    <w:p>
      <w:pPr>
        <w:spacing w:after="0" w:line="170" w:lineRule="exact"/>
        <w:rPr>
          <w:sz w:val="20"/>
          <w:szCs w:val="20"/>
          <w:color w:val="auto"/>
        </w:rPr>
      </w:pPr>
    </w:p>
    <w:p>
      <w:pPr>
        <w:spacing w:after="0" w:line="364" w:lineRule="auto"/>
        <w:rPr>
          <w:sz w:val="20"/>
          <w:szCs w:val="20"/>
          <w:color w:val="auto"/>
        </w:rPr>
      </w:pPr>
      <w:r>
        <w:rPr>
          <w:rFonts w:ascii="Arial" w:cs="Arial" w:eastAsia="Arial" w:hAnsi="Arial"/>
          <w:sz w:val="18"/>
          <w:szCs w:val="18"/>
          <w:color w:val="auto"/>
        </w:rPr>
        <w:t>“ClearOne’s impressive record revenue growth in this quarter was made possible due to contributions from our acquisitions and also from our flagship professional audio products. Our results also reflect the full cost of our investments in internal operations and recent acquisitions. We believe the full benefits of these investments - in the form of higher revenue and higher profitability - will be realized in the quarters ahead,” said Zee Hakimoglu, President and Chief Executive Officer. “As anticipated, at the end of the second quarter, we began shipping our new COLLABORATE® Room Pro Media Collaboration product and VIEW® Pro enterprise streaming system and received positive market response to both solutions. We have assembled the right portfolio of complementary and disruptive solutions that are opening new and attractive markets, differentiate ClearOne in the audio visual communications space and will drive our future revenue growth.”</w:t>
      </w:r>
    </w:p>
    <w:p>
      <w:pPr>
        <w:spacing w:after="0" w:line="193" w:lineRule="exact"/>
        <w:rPr>
          <w:sz w:val="20"/>
          <w:szCs w:val="20"/>
          <w:color w:val="auto"/>
        </w:rPr>
      </w:pPr>
    </w:p>
    <w:p>
      <w:pPr>
        <w:ind w:right="20"/>
        <w:spacing w:after="0" w:line="373" w:lineRule="auto"/>
        <w:rPr>
          <w:sz w:val="20"/>
          <w:szCs w:val="20"/>
          <w:color w:val="auto"/>
        </w:rPr>
      </w:pPr>
      <w:r>
        <w:rPr>
          <w:rFonts w:ascii="Arial" w:cs="Arial" w:eastAsia="Arial" w:hAnsi="Arial"/>
          <w:sz w:val="18"/>
          <w:szCs w:val="18"/>
          <w:color w:val="auto"/>
        </w:rPr>
        <w:t>During Sabine's first full quarter as part of ClearOne, the company successfully integrated Sabine’s sales channel into the ClearOne global channel. In the second quarter, with the acquisition of Sabine, revenue from ClearOne's full suite of wireless microphone products more than quadrupled from a year ago and reached $1.3 million.</w:t>
      </w:r>
    </w:p>
    <w:p>
      <w:pPr>
        <w:spacing w:after="0" w:line="183" w:lineRule="exact"/>
        <w:rPr>
          <w:sz w:val="20"/>
          <w:szCs w:val="20"/>
          <w:color w:val="auto"/>
        </w:rPr>
      </w:pPr>
    </w:p>
    <w:p>
      <w:pPr>
        <w:ind w:right="140"/>
        <w:spacing w:after="0" w:line="386" w:lineRule="auto"/>
        <w:rPr>
          <w:sz w:val="20"/>
          <w:szCs w:val="20"/>
          <w:color w:val="auto"/>
        </w:rPr>
      </w:pPr>
      <w:r>
        <w:rPr>
          <w:rFonts w:ascii="Arial" w:cs="Arial" w:eastAsia="Arial" w:hAnsi="Arial"/>
          <w:sz w:val="17"/>
          <w:szCs w:val="17"/>
          <w:color w:val="auto"/>
        </w:rPr>
        <w:t>The company’s acquisition of the Spontania cloud-based video collaboration business closed on April 1, 2014. Spontania offers multiple revenue streams, including annual subscriptions for cloud services, the sale of permanent licenses for on-premise solutions, and annual support and maintenance contracts. During this first quarter after acquiring the Spontania business, ClearOne achieved bookings of $216 thousand of which the company recognized revenue of $151 thousand. Bookings reflect amounts contractually accepted by customers and billed by ClearOne. However, a portion of bookings is not recognized in the current quarter as revenue, in accordance with U.S. GAAP requirements, and will be recognized over the life of the customer contracts. The company believes that reporting bookings provides valuable information to investors about the recurring revenue stream that the Spontania business is expected to provide. In the second half of the year, the company expects to achieve an additional $750 thousand to $1.0 million in bookings for Spontania-related products and services. ClearOne’s Media Collaboration sales and marketing team, strengthened recently by the addition of industry veterans, focused on introducing Spontania solutions to the company’s global channel.</w:t>
      </w:r>
    </w:p>
    <w:p>
      <w:pPr>
        <w:sectPr>
          <w:pgSz w:w="11900" w:h="16838" w:orient="portrait"/>
          <w:cols w:equalWidth="0" w:num="1">
            <w:col w:w="11400"/>
          </w:cols>
          <w:pgMar w:left="240" w:top="638" w:right="259" w:bottom="1440" w:gutter="0" w:footer="0" w:header="0"/>
        </w:sectPr>
      </w:pPr>
    </w:p>
    <w:bookmarkStart w:id="4" w:name="page5"/>
    <w:bookmarkEnd w:id="4"/>
    <w:p>
      <w:pPr>
        <w:ind w:right="60"/>
        <w:spacing w:after="0" w:line="366" w:lineRule="auto"/>
        <w:rPr>
          <w:sz w:val="20"/>
          <w:szCs w:val="20"/>
          <w:color w:val="auto"/>
        </w:rPr>
      </w:pPr>
      <w:r>
        <w:rPr>
          <w:rFonts w:ascii="Arial" w:cs="Arial" w:eastAsia="Arial" w:hAnsi="Arial"/>
          <w:sz w:val="18"/>
          <w:szCs w:val="18"/>
          <w:color w:val="auto"/>
        </w:rPr>
        <w:t>At the end of the second quarter, ClearOne began shipping its new CONNECT® Dante™ product, which enables no-hassle connectivity of its flagship professional audio products to the fast emerging Dante enabled network ecosystem. Dante is a highly-interoperable, self-configuring, true plug-and-play digital audio networking technology that uses standard IP-based networking and components, such as Ethernet cables, routers and switches, to carry high capacity and high-resolution digital audio over a standard Ethernet network. Some of the largest live events and sophisticated installations worldwide use this technology, making audio signal distribution more cost-effective and user-friendly.</w:t>
      </w:r>
    </w:p>
    <w:p>
      <w:pPr>
        <w:spacing w:after="0" w:line="191"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Finally, the company also launched at Infocomm 2014, CONVERGE® Matrix, its new sound reinforcement and distribution system, which opens new market opportunities for the company and complements its existing professional audio conferencing solutions. The company expects to begin shipping the product at the end of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spacing w:after="0" w:line="411" w:lineRule="auto"/>
        <w:rPr>
          <w:sz w:val="20"/>
          <w:szCs w:val="20"/>
          <w:color w:val="auto"/>
        </w:rPr>
      </w:pPr>
      <w:r>
        <w:rPr>
          <w:rFonts w:ascii="Arial" w:cs="Arial" w:eastAsia="Arial" w:hAnsi="Arial"/>
          <w:sz w:val="16"/>
          <w:szCs w:val="16"/>
          <w:color w:val="auto"/>
        </w:rPr>
        <w:t>ClearOne provides non-GAAP financial information in the form of non-GAAP net income,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Adjusted EBITDA and corresponding earnings per share excludes certain costs and expenses, the details of which are provided below in the tables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net income to GAAP net income is included with this release.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83" w:lineRule="exact"/>
        <w:rPr>
          <w:sz w:val="20"/>
          <w:szCs w:val="20"/>
          <w:color w:val="auto"/>
        </w:rPr>
      </w:pPr>
    </w:p>
    <w:p>
      <w:pPr>
        <w:jc w:val="both"/>
        <w:ind w:right="54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34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420"/>
          </w:cols>
          <w:pgMar w:left="240" w:top="638"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2014</w:t>
            </w:r>
          </w:p>
        </w:tc>
        <w:tc>
          <w:tcPr>
            <w:tcW w:w="180" w:type="dxa"/>
            <w:vAlign w:val="bottom"/>
          </w:tcPr>
          <w:p>
            <w:pPr>
              <w:spacing w:after="0"/>
              <w:rPr>
                <w:sz w:val="18"/>
                <w:szCs w:val="18"/>
                <w:color w:val="auto"/>
              </w:rPr>
            </w:pPr>
          </w:p>
        </w:tc>
        <w:tc>
          <w:tcPr>
            <w:tcW w:w="2060" w:type="dxa"/>
            <w:vAlign w:val="bottom"/>
          </w:tcPr>
          <w:p>
            <w:pPr>
              <w:jc w:val="right"/>
              <w:ind w:right="199"/>
              <w:spacing w:after="0"/>
              <w:rPr>
                <w:sz w:val="20"/>
                <w:szCs w:val="20"/>
                <w:color w:val="auto"/>
              </w:rPr>
            </w:pPr>
            <w:r>
              <w:rPr>
                <w:rFonts w:ascii="Arial" w:cs="Arial" w:eastAsia="Arial" w:hAnsi="Arial"/>
                <w:sz w:val="16"/>
                <w:szCs w:val="16"/>
                <w:b w:val="1"/>
                <w:bCs w:val="1"/>
                <w:color w:val="auto"/>
                <w:w w:val="93"/>
              </w:rPr>
              <w:t>As of December 31, 2013</w:t>
            </w:r>
          </w:p>
        </w:tc>
        <w:tc>
          <w:tcPr>
            <w:tcW w:w="0" w:type="dxa"/>
            <w:vAlign w:val="bottom"/>
          </w:tcPr>
          <w:p>
            <w:pPr>
              <w:spacing w:after="0"/>
              <w:rPr>
                <w:sz w:val="1"/>
                <w:szCs w:val="1"/>
                <w:color w:val="auto"/>
              </w:rPr>
            </w:pPr>
          </w:p>
        </w:tc>
      </w:tr>
      <w:tr>
        <w:trPr>
          <w:trHeight w:val="33"/>
        </w:trPr>
        <w:tc>
          <w:tcPr>
            <w:tcW w:w="7100" w:type="dxa"/>
            <w:vAlign w:val="bottom"/>
            <w:vMerge w:val="restart"/>
          </w:tcPr>
          <w:p>
            <w:pPr>
              <w:ind w:left="32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6,293</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17,192</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$107 and $129, respectively</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10,187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9,378</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11,448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40,650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48,066</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20,575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22,326</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9,035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12,549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87,147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58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2,567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5,244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2,544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10,726</w:t>
            </w: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100" w:type="dxa"/>
            <w:vAlign w:val="bottom"/>
          </w:tcPr>
          <w:p>
            <w:pPr>
              <w:spacing w:after="0"/>
              <w:rPr>
                <w:sz w:val="20"/>
                <w:szCs w:val="20"/>
                <w:color w:val="auto"/>
              </w:rPr>
            </w:pPr>
            <w:r>
              <w:rPr>
                <w:rFonts w:ascii="Arial" w:cs="Arial" w:eastAsia="Arial" w:hAnsi="Arial"/>
                <w:sz w:val="18"/>
                <w:szCs w:val="18"/>
                <w:color w:val="auto"/>
                <w:w w:val="90"/>
              </w:rPr>
              <w:t>Common stock, par value $0.001, 50,000,000 shares authorized, 9,235,494 and 8,986,080 shares</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44,513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41,311</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29,247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28,992</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73,930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87,147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40" w:top="580" w:right="2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5"/>
          </w:tcPr>
          <w:p>
            <w:pPr>
              <w:ind w:left="300"/>
              <w:spacing w:after="0"/>
              <w:rPr>
                <w:sz w:val="20"/>
                <w:szCs w:val="20"/>
                <w:color w:val="auto"/>
              </w:rPr>
            </w:pPr>
            <w:r>
              <w:rPr>
                <w:rFonts w:ascii="Arial" w:cs="Arial" w:eastAsia="Arial" w:hAnsi="Arial"/>
                <w:sz w:val="16"/>
                <w:szCs w:val="16"/>
                <w:b w:val="1"/>
                <w:bCs w:val="1"/>
                <w:color w:val="auto"/>
              </w:rPr>
              <w:t>Quarter ended June 30,</w:t>
            </w:r>
          </w:p>
        </w:tc>
        <w:tc>
          <w:tcPr>
            <w:tcW w:w="340" w:type="dxa"/>
            <w:vAlign w:val="bottom"/>
          </w:tcPr>
          <w:p>
            <w:pPr>
              <w:spacing w:after="0"/>
              <w:rPr>
                <w:sz w:val="18"/>
                <w:szCs w:val="18"/>
                <w:color w:val="auto"/>
              </w:rPr>
            </w:pPr>
          </w:p>
        </w:tc>
        <w:tc>
          <w:tcPr>
            <w:tcW w:w="256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14,111</w:t>
            </w:r>
          </w:p>
        </w:tc>
        <w:tc>
          <w:tcPr>
            <w:tcW w:w="120" w:type="dxa"/>
            <w:vAlign w:val="bottom"/>
          </w:tcPr>
          <w:p>
            <w:pPr>
              <w:spacing w:after="0"/>
              <w:rPr>
                <w:sz w:val="20"/>
                <w:szCs w:val="20"/>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11,703</w:t>
            </w:r>
          </w:p>
        </w:tc>
        <w:tc>
          <w:tcPr>
            <w:tcW w:w="10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26,819</w:t>
            </w:r>
          </w:p>
        </w:tc>
        <w:tc>
          <w:tcPr>
            <w:tcW w:w="100" w:type="dxa"/>
            <w:vAlign w:val="bottom"/>
          </w:tcPr>
          <w:p>
            <w:pPr>
              <w:spacing w:after="0"/>
              <w:rPr>
                <w:sz w:val="20"/>
                <w:szCs w:val="20"/>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22,996</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13,863</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11,299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50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5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540"/>
        </w:trPr>
        <w:tc>
          <w:tcPr>
            <w:tcW w:w="55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9,266,071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9,093,461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9,174,816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9,122,996</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9,677,726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9,459,495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9,618,172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9,499,452</w:t>
            </w:r>
          </w:p>
        </w:tc>
        <w:tc>
          <w:tcPr>
            <w:tcW w:w="0" w:type="dxa"/>
            <w:vAlign w:val="bottom"/>
          </w:tcPr>
          <w:p>
            <w:pPr>
              <w:spacing w:after="0"/>
              <w:rPr>
                <w:sz w:val="1"/>
                <w:szCs w:val="1"/>
                <w:color w:val="auto"/>
              </w:rPr>
            </w:pPr>
          </w:p>
        </w:tc>
      </w:tr>
      <w:tr>
        <w:trPr>
          <w:trHeight w:val="567"/>
        </w:trPr>
        <w:tc>
          <w:tcPr>
            <w:tcW w:w="5500" w:type="dxa"/>
            <w:vAlign w:val="bottom"/>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5"/>
          </w:tcPr>
          <w:p>
            <w:pPr>
              <w:ind w:left="300"/>
              <w:spacing w:after="0"/>
              <w:rPr>
                <w:sz w:val="20"/>
                <w:szCs w:val="20"/>
                <w:color w:val="auto"/>
              </w:rPr>
            </w:pPr>
            <w:r>
              <w:rPr>
                <w:rFonts w:ascii="Arial" w:cs="Arial" w:eastAsia="Arial" w:hAnsi="Arial"/>
                <w:sz w:val="16"/>
                <w:szCs w:val="16"/>
                <w:b w:val="1"/>
                <w:bCs w:val="1"/>
                <w:color w:val="auto"/>
              </w:rPr>
              <w:t>Quarter ended June 30,</w:t>
            </w:r>
          </w:p>
        </w:tc>
        <w:tc>
          <w:tcPr>
            <w:tcW w:w="320" w:type="dxa"/>
            <w:vAlign w:val="bottom"/>
          </w:tcPr>
          <w:p>
            <w:pPr>
              <w:spacing w:after="0"/>
              <w:rPr>
                <w:sz w:val="18"/>
                <w:szCs w:val="18"/>
                <w:color w:val="auto"/>
              </w:rPr>
            </w:pPr>
          </w:p>
        </w:tc>
        <w:tc>
          <w:tcPr>
            <w:tcW w:w="25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7"/>
              </w:rPr>
              <w:t>Six months ended June 30,</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14,111</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11,703</w:t>
            </w:r>
          </w:p>
        </w:tc>
        <w:tc>
          <w:tcPr>
            <w:tcW w:w="100" w:type="dxa"/>
            <w:vAlign w:val="bottom"/>
          </w:tcPr>
          <w:p>
            <w:pPr>
              <w:spacing w:after="0"/>
              <w:rPr>
                <w:sz w:val="18"/>
                <w:szCs w:val="18"/>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26,819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22,996</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9,129</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8,066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13,867</w:t>
            </w:r>
          </w:p>
        </w:tc>
        <w:tc>
          <w:tcPr>
            <w:tcW w:w="0" w:type="dxa"/>
            <w:vAlign w:val="bottom"/>
          </w:tcPr>
          <w:p>
            <w:pPr>
              <w:spacing w:after="0"/>
              <w:rPr>
                <w:sz w:val="1"/>
                <w:szCs w:val="1"/>
                <w:color w:val="auto"/>
              </w:rPr>
            </w:pPr>
          </w:p>
        </w:tc>
      </w:tr>
      <w:tr>
        <w:trPr>
          <w:trHeight w:val="33"/>
        </w:trPr>
        <w:tc>
          <w:tcPr>
            <w:tcW w:w="558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5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10,674</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558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58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4"/>
                <w:szCs w:val="24"/>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3"/>
                <w:szCs w:val="23"/>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594"/>
        </w:trPr>
        <w:tc>
          <w:tcPr>
            <w:tcW w:w="558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9,266,071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9,093,461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9,174,816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9,122,996</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9,677,726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9,459,495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9,618,172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9,499,452</w:t>
            </w:r>
          </w:p>
        </w:tc>
        <w:tc>
          <w:tcPr>
            <w:tcW w:w="0" w:type="dxa"/>
            <w:vAlign w:val="bottom"/>
          </w:tcPr>
          <w:p>
            <w:pPr>
              <w:spacing w:after="0"/>
              <w:rPr>
                <w:sz w:val="1"/>
                <w:szCs w:val="1"/>
                <w:color w:val="auto"/>
              </w:rPr>
            </w:pPr>
          </w:p>
        </w:tc>
      </w:tr>
      <w:tr>
        <w:trPr>
          <w:trHeight w:val="594"/>
        </w:trPr>
        <w:tc>
          <w:tcPr>
            <w:tcW w:w="558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53"/>
        </w:trPr>
        <w:tc>
          <w:tcPr>
            <w:tcW w:w="5580" w:type="dxa"/>
            <w:vAlign w:val="bottom"/>
          </w:tcPr>
          <w:p>
            <w:pPr>
              <w:spacing w:after="0"/>
              <w:rPr>
                <w:sz w:val="20"/>
                <w:szCs w:val="20"/>
                <w:color w:val="auto"/>
              </w:rPr>
            </w:pPr>
            <w:r>
              <w:rPr>
                <w:rFonts w:ascii="Arial" w:cs="Arial" w:eastAsia="Arial" w:hAnsi="Arial"/>
                <w:sz w:val="16"/>
                <w:szCs w:val="16"/>
                <w:color w:val="auto"/>
                <w:w w:val="98"/>
              </w:rPr>
              <w:t>Legal expenses for litigation relating to indemnification of former officers, theft of</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160"/>
              <w:spacing w:after="0"/>
              <w:rPr>
                <w:sz w:val="20"/>
                <w:szCs w:val="20"/>
                <w:color w:val="auto"/>
              </w:rPr>
            </w:pPr>
            <w:r>
              <w:rPr>
                <w:rFonts w:ascii="Arial" w:cs="Arial" w:eastAsia="Arial" w:hAnsi="Arial"/>
                <w:sz w:val="16"/>
                <w:szCs w:val="16"/>
                <w:color w:val="auto"/>
              </w:rPr>
              <w:t>our intellectual property claims and our claim for damages</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Acquisition related expenses</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Arial" w:cs="Arial" w:eastAsia="Arial" w:hAnsi="Arial"/>
                <w:sz w:val="16"/>
                <w:szCs w:val="16"/>
                <w:b w:val="1"/>
                <w:bCs w:val="1"/>
                <w:color w:val="auto"/>
              </w:rPr>
              <w:t>Quarter ended June 30,</w:t>
            </w:r>
          </w:p>
        </w:tc>
        <w:tc>
          <w:tcPr>
            <w:tcW w:w="300" w:type="dxa"/>
            <w:vAlign w:val="bottom"/>
          </w:tcPr>
          <w:p>
            <w:pPr>
              <w:spacing w:after="0"/>
              <w:rPr>
                <w:sz w:val="18"/>
                <w:szCs w:val="18"/>
                <w:color w:val="auto"/>
              </w:rPr>
            </w:pPr>
          </w:p>
        </w:tc>
        <w:tc>
          <w:tcPr>
            <w:tcW w:w="25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6"/>
              </w:rPr>
              <w:t>Six months ended June 30,</w:t>
            </w:r>
          </w:p>
        </w:tc>
      </w:tr>
      <w:tr>
        <w:trPr>
          <w:trHeight w:val="33"/>
        </w:trPr>
        <w:tc>
          <w:tcPr>
            <w:tcW w:w="8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8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58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1,775</w:t>
            </w:r>
          </w:p>
        </w:tc>
      </w:tr>
      <w:tr>
        <w:trPr>
          <w:trHeight w:val="263"/>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8"/>
        </w:trPr>
        <w:tc>
          <w:tcPr>
            <w:tcW w:w="55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822</w:t>
            </w:r>
          </w:p>
        </w:tc>
      </w:tr>
      <w:tr>
        <w:trPr>
          <w:trHeight w:val="270"/>
        </w:trPr>
        <w:tc>
          <w:tcPr>
            <w:tcW w:w="55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646</w:t>
            </w:r>
          </w:p>
        </w:tc>
      </w:tr>
      <w:tr>
        <w:trPr>
          <w:trHeight w:val="33"/>
        </w:trPr>
        <w:tc>
          <w:tcPr>
            <w:tcW w:w="8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3,243</w:t>
            </w:r>
          </w:p>
        </w:tc>
      </w:tr>
      <w:tr>
        <w:trPr>
          <w:trHeight w:val="249"/>
        </w:trPr>
        <w:tc>
          <w:tcPr>
            <w:tcW w:w="558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253"/>
        </w:trPr>
        <w:tc>
          <w:tcPr>
            <w:tcW w:w="5580" w:type="dxa"/>
            <w:vAlign w:val="bottom"/>
            <w:gridSpan w:val="2"/>
          </w:tcPr>
          <w:p>
            <w:pPr>
              <w:spacing w:after="0"/>
              <w:rPr>
                <w:sz w:val="20"/>
                <w:szCs w:val="20"/>
                <w:color w:val="auto"/>
              </w:rPr>
            </w:pPr>
            <w:r>
              <w:rPr>
                <w:rFonts w:ascii="Arial" w:cs="Arial" w:eastAsia="Arial" w:hAnsi="Arial"/>
                <w:sz w:val="16"/>
                <w:szCs w:val="16"/>
                <w:color w:val="auto"/>
                <w:w w:val="98"/>
              </w:rPr>
              <w:t>Legal expenses for litigation relating to indemnification of former officers, theft of</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6"/>
        </w:trPr>
        <w:tc>
          <w:tcPr>
            <w:tcW w:w="5580" w:type="dxa"/>
            <w:vAlign w:val="bottom"/>
            <w:gridSpan w:val="2"/>
          </w:tcPr>
          <w:p>
            <w:pPr>
              <w:ind w:left="160"/>
              <w:spacing w:after="0"/>
              <w:rPr>
                <w:sz w:val="20"/>
                <w:szCs w:val="20"/>
                <w:color w:val="auto"/>
              </w:rPr>
            </w:pPr>
            <w:r>
              <w:rPr>
                <w:rFonts w:ascii="Arial" w:cs="Arial" w:eastAsia="Arial" w:hAnsi="Arial"/>
                <w:sz w:val="16"/>
                <w:szCs w:val="16"/>
                <w:color w:val="auto"/>
              </w:rPr>
              <w:t>our intellectual property claims and our claim for damages</w:t>
            </w:r>
          </w:p>
        </w:tc>
        <w:tc>
          <w:tcPr>
            <w:tcW w:w="3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w:t>
            </w:r>
          </w:p>
        </w:tc>
      </w:tr>
      <w:tr>
        <w:trPr>
          <w:trHeight w:val="270"/>
        </w:trPr>
        <w:tc>
          <w:tcPr>
            <w:tcW w:w="558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1,874</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3,611</w:t>
            </w:r>
          </w:p>
        </w:tc>
      </w:tr>
      <w:tr>
        <w:trPr>
          <w:trHeight w:val="20"/>
        </w:trPr>
        <w:tc>
          <w:tcPr>
            <w:tcW w:w="8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2"/>
        </w:trPr>
        <w:tc>
          <w:tcPr>
            <w:tcW w:w="558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9,266,071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9,093,461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9,174,816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9,122,996</w:t>
            </w:r>
          </w:p>
        </w:tc>
      </w:tr>
      <w:tr>
        <w:trPr>
          <w:trHeight w:val="270"/>
        </w:trPr>
        <w:tc>
          <w:tcPr>
            <w:tcW w:w="558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9,677,726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9,459,495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9,618,172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9,499,452</w:t>
            </w:r>
          </w:p>
        </w:tc>
      </w:tr>
      <w:tr>
        <w:trPr>
          <w:trHeight w:val="594"/>
        </w:trPr>
        <w:tc>
          <w:tcPr>
            <w:tcW w:w="558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0.40</w:t>
            </w:r>
          </w:p>
        </w:tc>
      </w:tr>
      <w:tr>
        <w:trPr>
          <w:trHeight w:val="270"/>
        </w:trPr>
        <w:tc>
          <w:tcPr>
            <w:tcW w:w="558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0.38</w:t>
            </w:r>
          </w:p>
        </w:tc>
      </w:tr>
    </w:tbl>
    <w:p>
      <w:pPr>
        <w:spacing w:after="0" w:line="1" w:lineRule="exact"/>
        <w:rPr>
          <w:sz w:val="20"/>
          <w:szCs w:val="20"/>
          <w:color w:val="auto"/>
        </w:rPr>
      </w:pP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2019-12-06T02:31:34Z</dcterms:created>
  <dcterms:modified xsi:type="dcterms:W3CDTF">2019-12-06T02:31:34Z</dcterms:modified>
</cp:coreProperties>
</file>