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auto"/>
        </w:rPr>
        <w:t>FORM 10-K</w:t>
      </w:r>
    </w:p>
    <w:p>
      <w:pPr>
        <w:spacing w:after="0" w:line="232" w:lineRule="auto"/>
        <w:rPr>
          <w:sz w:val="20"/>
          <w:szCs w:val="20"/>
          <w:color w:val="auto"/>
        </w:rPr>
      </w:pPr>
      <w:r>
        <w:rPr>
          <w:rFonts w:ascii="Arial" w:cs="Arial" w:eastAsia="Arial" w:hAnsi="Arial"/>
          <w:sz w:val="22"/>
          <w:szCs w:val="22"/>
          <w:color w:val="auto"/>
        </w:rPr>
        <w:t>Mark One)</w:t>
      </w:r>
    </w:p>
    <w:p>
      <w:pPr>
        <w:spacing w:after="0"/>
        <w:rPr>
          <w:sz w:val="20"/>
          <w:szCs w:val="20"/>
          <w:color w:val="auto"/>
        </w:rPr>
      </w:pPr>
      <w:r>
        <w:rPr>
          <w:rFonts w:ascii="Arial" w:cs="Arial" w:eastAsia="Arial" w:hAnsi="Arial"/>
          <w:sz w:val="16"/>
          <w:szCs w:val="16"/>
          <w:color w:val="auto"/>
        </w:rPr>
        <w:t>[x]</w:t>
      </w:r>
      <w:r>
        <w:rPr>
          <w:rFonts w:ascii="Arial" w:cs="Arial" w:eastAsia="Arial" w:hAnsi="Arial"/>
          <w:sz w:val="16"/>
          <w:szCs w:val="16"/>
          <w:b w:val="1"/>
          <w:bCs w:val="1"/>
          <w:color w:val="auto"/>
        </w:rPr>
        <w:t>ANNUAL REPORT PURSUANT TO SECTION 13 OR 15(d)</w:t>
      </w:r>
    </w:p>
    <w:p>
      <w:pPr>
        <w:spacing w:after="0" w:line="8"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 w:lineRule="exact"/>
        <w:rPr>
          <w:sz w:val="24"/>
          <w:szCs w:val="24"/>
          <w:color w:val="auto"/>
        </w:rPr>
      </w:pPr>
    </w:p>
    <w:p>
      <w:pPr>
        <w:ind w:left="200"/>
        <w:spacing w:after="0"/>
        <w:rPr>
          <w:sz w:val="20"/>
          <w:szCs w:val="20"/>
          <w:color w:val="auto"/>
        </w:rPr>
      </w:pPr>
      <w:r>
        <w:rPr>
          <w:rFonts w:ascii="Arial" w:cs="Arial" w:eastAsia="Arial" w:hAnsi="Arial"/>
          <w:sz w:val="16"/>
          <w:szCs w:val="16"/>
          <w:color w:val="auto"/>
        </w:rPr>
        <w:t>For the fiscal year ended December 31, 2011</w:t>
      </w:r>
    </w:p>
    <w:p>
      <w:pPr>
        <w:spacing w:after="0" w:line="105" w:lineRule="exact"/>
        <w:rPr>
          <w:sz w:val="24"/>
          <w:szCs w:val="24"/>
          <w:color w:val="auto"/>
        </w:rPr>
      </w:pPr>
    </w:p>
    <w:p>
      <w:pPr>
        <w:ind w:left="200" w:right="5839" w:hanging="192"/>
        <w:spacing w:after="0" w:line="281" w:lineRule="auto"/>
        <w:tabs>
          <w:tab w:leader="none" w:pos="10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15(d) OF THE SECURITIES EXCHANGE ACT OF 1934 </w:t>
      </w:r>
      <w:r>
        <w:rPr>
          <w:rFonts w:ascii="Arial" w:cs="Arial" w:eastAsia="Arial" w:hAnsi="Arial"/>
          <w:sz w:val="16"/>
          <w:szCs w:val="16"/>
          <w:color w:val="auto"/>
        </w:rPr>
        <w:t>For the transition period from _________ to ___________</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001-33660</w:t>
      </w:r>
    </w:p>
    <w:p>
      <w:pPr>
        <w:spacing w:after="0" w:line="5" w:lineRule="exact"/>
        <w:rPr>
          <w:sz w:val="24"/>
          <w:szCs w:val="24"/>
          <w:color w:val="auto"/>
        </w:rPr>
      </w:pPr>
    </w:p>
    <w:p>
      <w:pPr>
        <w:jc w:val="center"/>
        <w:ind w:right="479"/>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[clro2011_10kfinalversion001.jpg]</w:t>
      </w:r>
    </w:p>
    <w:p>
      <w:pPr>
        <w:jc w:val="center"/>
        <w:ind w:right="479"/>
        <w:spacing w:after="0" w:line="230" w:lineRule="auto"/>
        <w:rPr>
          <w:sz w:val="20"/>
          <w:szCs w:val="20"/>
          <w:color w:val="auto"/>
        </w:rPr>
      </w:pPr>
      <w:r>
        <w:rPr>
          <w:rFonts w:ascii="Arial" w:cs="Arial" w:eastAsia="Arial" w:hAnsi="Arial"/>
          <w:sz w:val="22"/>
          <w:szCs w:val="22"/>
          <w:b w:val="1"/>
          <w:bCs w:val="1"/>
          <w:color w:val="auto"/>
        </w:rPr>
        <w:t>CLEARONE COMMUNICATIONS, INC.</w:t>
      </w:r>
    </w:p>
    <w:p>
      <w:pPr>
        <w:ind w:left="2640"/>
        <w:spacing w:after="0" w:line="238" w:lineRule="auto"/>
        <w:rPr>
          <w:sz w:val="20"/>
          <w:szCs w:val="20"/>
          <w:color w:val="auto"/>
        </w:rPr>
      </w:pPr>
      <w:r>
        <w:rPr>
          <w:rFonts w:ascii="Arial" w:cs="Arial" w:eastAsia="Arial" w:hAnsi="Arial"/>
          <w:sz w:val="22"/>
          <w:szCs w:val="22"/>
          <w:color w:val="auto"/>
        </w:rPr>
        <w:t>(Exact name of registrant as specified in its charter)</w:t>
      </w:r>
    </w:p>
    <w:p>
      <w:pPr>
        <w:spacing w:after="0" w:line="1" w:lineRule="exact"/>
        <w:rPr>
          <w:sz w:val="24"/>
          <w:szCs w:val="24"/>
          <w:color w:val="auto"/>
        </w:rPr>
      </w:pPr>
    </w:p>
    <w:tbl>
      <w:tblPr>
        <w:tblLayout w:type="fixed"/>
        <w:tblInd w:w="24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780" w:type="dxa"/>
            <w:vAlign w:val="bottom"/>
            <w:gridSpan w:val="3"/>
          </w:tcPr>
          <w:p>
            <w:pPr>
              <w:jc w:val="center"/>
              <w:ind w:right="2720"/>
              <w:spacing w:after="0"/>
              <w:rPr>
                <w:sz w:val="20"/>
                <w:szCs w:val="20"/>
                <w:color w:val="auto"/>
              </w:rPr>
            </w:pPr>
            <w:r>
              <w:rPr>
                <w:rFonts w:ascii="Arial" w:cs="Arial" w:eastAsia="Arial" w:hAnsi="Arial"/>
                <w:sz w:val="16"/>
                <w:szCs w:val="16"/>
                <w:b w:val="1"/>
                <w:bCs w:val="1"/>
                <w:color w:val="auto"/>
                <w:w w:val="95"/>
              </w:rPr>
              <w:t>Utah</w:t>
            </w:r>
          </w:p>
        </w:tc>
        <w:tc>
          <w:tcPr>
            <w:tcW w:w="3140" w:type="dxa"/>
            <w:vAlign w:val="bottom"/>
            <w:gridSpan w:val="2"/>
          </w:tcPr>
          <w:p>
            <w:pPr>
              <w:jc w:val="right"/>
              <w:ind w:right="881"/>
              <w:spacing w:after="0"/>
              <w:rPr>
                <w:sz w:val="20"/>
                <w:szCs w:val="20"/>
                <w:color w:val="auto"/>
              </w:rPr>
            </w:pPr>
            <w:r>
              <w:rPr>
                <w:rFonts w:ascii="Arial" w:cs="Arial" w:eastAsia="Arial" w:hAnsi="Arial"/>
                <w:sz w:val="16"/>
                <w:szCs w:val="16"/>
                <w:b w:val="1"/>
                <w:bCs w:val="1"/>
                <w:color w:val="auto"/>
              </w:rPr>
              <w:t>87-0398877</w:t>
            </w:r>
          </w:p>
        </w:tc>
        <w:tc>
          <w:tcPr>
            <w:tcW w:w="44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7"/>
                <w:szCs w:val="17"/>
                <w:color w:val="auto"/>
              </w:rPr>
            </w:pPr>
          </w:p>
        </w:tc>
        <w:tc>
          <w:tcPr>
            <w:tcW w:w="35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(I.R.S. employer identification number)</w:t>
            </w:r>
          </w:p>
        </w:tc>
      </w:tr>
      <w:tr>
        <w:trPr>
          <w:trHeight w:val="425"/>
        </w:trPr>
        <w:tc>
          <w:tcPr>
            <w:tcW w:w="20" w:type="dxa"/>
            <w:vAlign w:val="bottom"/>
          </w:tcPr>
          <w:p>
            <w:pPr>
              <w:spacing w:after="0"/>
              <w:rPr>
                <w:sz w:val="24"/>
                <w:szCs w:val="24"/>
                <w:color w:val="auto"/>
              </w:rPr>
            </w:pPr>
          </w:p>
        </w:tc>
        <w:tc>
          <w:tcPr>
            <w:tcW w:w="566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3140" w:type="dxa"/>
            <w:vAlign w:val="bottom"/>
            <w:gridSpan w:val="2"/>
          </w:tcPr>
          <w:p>
            <w:pPr>
              <w:jc w:val="right"/>
              <w:ind w:right="1061"/>
              <w:spacing w:after="0"/>
              <w:rPr>
                <w:sz w:val="20"/>
                <w:szCs w:val="20"/>
                <w:color w:val="auto"/>
              </w:rPr>
            </w:pPr>
            <w:r>
              <w:rPr>
                <w:rFonts w:ascii="Arial" w:cs="Arial" w:eastAsia="Arial" w:hAnsi="Arial"/>
                <w:sz w:val="16"/>
                <w:szCs w:val="16"/>
                <w:b w:val="1"/>
                <w:bCs w:val="1"/>
                <w:color w:val="auto"/>
              </w:rPr>
              <w:t>84116</w:t>
            </w:r>
          </w:p>
        </w:tc>
        <w:tc>
          <w:tcPr>
            <w:tcW w:w="4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86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4"/>
              </w:rPr>
              <w:t>(Address of principal executive offices)</w:t>
            </w:r>
          </w:p>
        </w:tc>
        <w:tc>
          <w:tcPr>
            <w:tcW w:w="8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5"/>
              </w:rPr>
              <w:t>(Zip Code)</w:t>
            </w:r>
          </w:p>
        </w:tc>
      </w:tr>
      <w:tr>
        <w:trPr>
          <w:trHeight w:val="44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780" w:type="dxa"/>
            <w:vAlign w:val="bottom"/>
            <w:gridSpan w:val="3"/>
          </w:tcPr>
          <w:p>
            <w:pPr>
              <w:ind w:left="20"/>
              <w:spacing w:after="0"/>
              <w:rPr>
                <w:sz w:val="20"/>
                <w:szCs w:val="20"/>
                <w:color w:val="auto"/>
              </w:rPr>
            </w:pPr>
            <w:r>
              <w:rPr>
                <w:rFonts w:ascii="Arial" w:cs="Arial" w:eastAsia="Arial" w:hAnsi="Arial"/>
                <w:sz w:val="16"/>
                <w:szCs w:val="16"/>
                <w:color w:val="auto"/>
                <w:w w:val="99"/>
              </w:rPr>
              <w:t>(Registrant’s telephone number, including area code)</w:t>
            </w:r>
          </w:p>
        </w:tc>
        <w:tc>
          <w:tcPr>
            <w:tcW w:w="3140" w:type="dxa"/>
            <w:vAlign w:val="bottom"/>
            <w:gridSpan w:val="2"/>
          </w:tcPr>
          <w:p>
            <w:pPr>
              <w:jc w:val="right"/>
              <w:ind w:right="1961"/>
              <w:spacing w:after="0"/>
              <w:rPr>
                <w:sz w:val="20"/>
                <w:szCs w:val="20"/>
                <w:color w:val="auto"/>
              </w:rPr>
            </w:pPr>
            <w:r>
              <w:rPr>
                <w:rFonts w:ascii="Arial" w:cs="Arial" w:eastAsia="Arial" w:hAnsi="Arial"/>
                <w:sz w:val="16"/>
                <w:szCs w:val="16"/>
                <w:b w:val="1"/>
                <w:bCs w:val="1"/>
                <w:color w:val="auto"/>
              </w:rPr>
              <w:t>801-975-7200</w:t>
            </w:r>
          </w:p>
        </w:tc>
        <w:tc>
          <w:tcPr>
            <w:tcW w:w="4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360" w:type="dxa"/>
            <w:vAlign w:val="bottom"/>
            <w:gridSpan w:val="6"/>
          </w:tcPr>
          <w:p>
            <w:pPr>
              <w:ind w:left="86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6"/>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70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3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Name on each exchange on which registered</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660" w:type="dxa"/>
            <w:vAlign w:val="bottom"/>
            <w:gridSpan w:val="4"/>
          </w:tcPr>
          <w:p>
            <w:pPr>
              <w:jc w:val="center"/>
              <w:ind w:right="840"/>
              <w:spacing w:after="0"/>
              <w:rPr>
                <w:sz w:val="20"/>
                <w:szCs w:val="20"/>
                <w:color w:val="auto"/>
              </w:rPr>
            </w:pPr>
            <w:r>
              <w:rPr>
                <w:rFonts w:ascii="Arial" w:cs="Arial" w:eastAsia="Arial" w:hAnsi="Arial"/>
                <w:sz w:val="16"/>
                <w:szCs w:val="16"/>
                <w:color w:val="auto"/>
                <w:w w:val="91"/>
              </w:rPr>
              <w:t>Common Stock, $0.001 par value</w:t>
            </w:r>
          </w:p>
        </w:tc>
        <w:tc>
          <w:tcPr>
            <w:tcW w:w="440" w:type="dxa"/>
            <w:vAlign w:val="bottom"/>
          </w:tcPr>
          <w:p>
            <w:pPr>
              <w:spacing w:after="0"/>
              <w:rPr>
                <w:sz w:val="22"/>
                <w:szCs w:val="22"/>
                <w:color w:val="auto"/>
              </w:rPr>
            </w:pPr>
          </w:p>
        </w:tc>
        <w:tc>
          <w:tcPr>
            <w:tcW w:w="3140" w:type="dxa"/>
            <w:vAlign w:val="bottom"/>
            <w:gridSpan w:val="2"/>
          </w:tcPr>
          <w:p>
            <w:pPr>
              <w:jc w:val="center"/>
              <w:ind w:right="440"/>
              <w:spacing w:after="0"/>
              <w:rPr>
                <w:sz w:val="20"/>
                <w:szCs w:val="20"/>
                <w:color w:val="auto"/>
              </w:rPr>
            </w:pPr>
            <w:r>
              <w:rPr>
                <w:rFonts w:ascii="Arial" w:cs="Arial" w:eastAsia="Arial" w:hAnsi="Arial"/>
                <w:sz w:val="16"/>
                <w:szCs w:val="16"/>
                <w:color w:val="auto"/>
                <w:w w:val="95"/>
              </w:rPr>
              <w:t>The NASDAQ Capital Market</w:t>
            </w:r>
          </w:p>
        </w:tc>
      </w:tr>
      <w:tr>
        <w:trPr>
          <w:trHeight w:val="459"/>
        </w:trPr>
        <w:tc>
          <w:tcPr>
            <w:tcW w:w="20" w:type="dxa"/>
            <w:vAlign w:val="bottom"/>
          </w:tcPr>
          <w:p>
            <w:pPr>
              <w:spacing w:after="0"/>
              <w:rPr>
                <w:sz w:val="24"/>
                <w:szCs w:val="24"/>
                <w:color w:val="auto"/>
              </w:rPr>
            </w:pPr>
          </w:p>
        </w:tc>
        <w:tc>
          <w:tcPr>
            <w:tcW w:w="5660" w:type="dxa"/>
            <w:vAlign w:val="bottom"/>
            <w:gridSpan w:val="4"/>
          </w:tcPr>
          <w:p>
            <w:pPr>
              <w:ind w:left="1800"/>
              <w:spacing w:after="0"/>
              <w:rPr>
                <w:sz w:val="20"/>
                <w:szCs w:val="20"/>
                <w:color w:val="auto"/>
              </w:rPr>
            </w:pPr>
            <w:r>
              <w:rPr>
                <w:rFonts w:ascii="Arial" w:cs="Arial" w:eastAsia="Arial" w:hAnsi="Arial"/>
                <w:sz w:val="16"/>
                <w:szCs w:val="16"/>
                <w:color w:val="auto"/>
                <w:w w:val="95"/>
              </w:rPr>
              <w:t>Securities registered pursuant to Section 12(g) of the Act</w:t>
            </w:r>
          </w:p>
        </w:tc>
        <w:tc>
          <w:tcPr>
            <w:tcW w:w="440" w:type="dxa"/>
            <w:vAlign w:val="bottom"/>
          </w:tcPr>
          <w:p>
            <w:pPr>
              <w:spacing w:after="0"/>
              <w:rPr>
                <w:sz w:val="24"/>
                <w:szCs w:val="24"/>
                <w:color w:val="auto"/>
              </w:rPr>
            </w:pPr>
          </w:p>
        </w:tc>
        <w:tc>
          <w:tcPr>
            <w:tcW w:w="3140" w:type="dxa"/>
            <w:vAlign w:val="bottom"/>
            <w:gridSpan w:val="2"/>
          </w:tcPr>
          <w:p>
            <w:pPr>
              <w:ind w:left="720"/>
              <w:spacing w:after="0"/>
              <w:rPr>
                <w:sz w:val="20"/>
                <w:szCs w:val="20"/>
                <w:color w:val="auto"/>
              </w:rPr>
            </w:pPr>
            <w:r>
              <w:rPr>
                <w:rFonts w:ascii="Arial" w:cs="Arial" w:eastAsia="Arial" w:hAnsi="Arial"/>
                <w:sz w:val="16"/>
                <w:szCs w:val="16"/>
                <w:b w:val="1"/>
                <w:bCs w:val="1"/>
                <w:color w:val="auto"/>
              </w:rPr>
              <w:t>None</w:t>
            </w:r>
          </w:p>
        </w:tc>
      </w:tr>
    </w:tbl>
    <w:p>
      <w:pPr>
        <w:ind w:right="1719"/>
        <w:spacing w:after="0" w:line="26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xNo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Yes xNo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4001135</wp:posOffset>
            </wp:positionH>
            <wp:positionV relativeFrom="paragraph">
              <wp:posOffset>-332105</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4" w:lineRule="exact"/>
        <w:rPr>
          <w:sz w:val="24"/>
          <w:szCs w:val="24"/>
          <w:color w:val="auto"/>
        </w:rPr>
      </w:pPr>
    </w:p>
    <w:p>
      <w:pPr>
        <w:ind w:right="53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74" w:lineRule="exact"/>
        <w:rPr>
          <w:sz w:val="24"/>
          <w:szCs w:val="24"/>
          <w:color w:val="auto"/>
        </w:rPr>
      </w:pPr>
    </w:p>
    <w:p>
      <w:pPr>
        <w:ind w:right="619"/>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74" w:lineRule="exact"/>
        <w:rPr>
          <w:sz w:val="24"/>
          <w:szCs w:val="24"/>
          <w:color w:val="auto"/>
        </w:rPr>
      </w:pPr>
    </w:p>
    <w:p>
      <w:pPr>
        <w:jc w:val="both"/>
        <w:ind w:right="579"/>
        <w:spacing w:after="0" w:line="278"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“larger accelerated filer,” “accelerated filer” and “smaller reporting company” in Rule 12b-2 of the Exchange Act. (Check one):</w:t>
      </w:r>
    </w:p>
    <w:p>
      <w:pPr>
        <w:spacing w:after="0" w:line="102" w:lineRule="exact"/>
        <w:rPr>
          <w:sz w:val="24"/>
          <w:szCs w:val="24"/>
          <w:color w:val="auto"/>
        </w:rPr>
      </w:pPr>
    </w:p>
    <w:p>
      <w:pPr>
        <w:spacing w:after="0" w:line="184" w:lineRule="exact"/>
        <w:tabs>
          <w:tab w:leader="none" w:pos="2460" w:val="left"/>
          <w:tab w:leader="none" w:pos="4880" w:val="left"/>
          <w:tab w:leader="none" w:pos="7200" w:val="left"/>
        </w:tabs>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 x</w:t>
      </w:r>
    </w:p>
    <w:p>
      <w:pPr>
        <w:spacing w:after="0" w:line="11"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(Do not check if a smaller reporting company)</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89" w:lineRule="exact"/>
        <w:rPr>
          <w:sz w:val="24"/>
          <w:szCs w:val="24"/>
          <w:color w:val="auto"/>
        </w:rPr>
      </w:pPr>
    </w:p>
    <w:p>
      <w:pPr>
        <w:ind w:right="499"/>
        <w:spacing w:after="0" w:line="271"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$34.6 million at June 30, 2011 (the Company's most recently completed second fiscal quarter), based on the $6.56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March 28, 2012 was 9,098,152.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652780</wp:posOffset>
            </wp:positionV>
            <wp:extent cx="576326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706" w:right="1440" w:bottom="1440" w:gutter="0" w:footer="0" w:header="0"/>
        </w:sectPr>
      </w:pPr>
    </w:p>
    <w:bookmarkStart w:id="1" w:name="page2"/>
    <w:bookmarkEnd w:id="1"/>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53" w:lineRule="exact"/>
        <w:rPr>
          <w:sz w:val="20"/>
          <w:szCs w:val="20"/>
          <w:color w:val="auto"/>
        </w:rPr>
      </w:pPr>
    </w:p>
    <w:p>
      <w:pPr>
        <w:jc w:val="center"/>
        <w:ind w:right="1119"/>
        <w:spacing w:after="0"/>
        <w:rPr>
          <w:sz w:val="20"/>
          <w:szCs w:val="20"/>
          <w:color w:val="auto"/>
        </w:rPr>
      </w:pPr>
      <w:r>
        <w:rPr>
          <w:rFonts w:ascii="Arial" w:cs="Arial" w:eastAsia="Arial" w:hAnsi="Arial"/>
          <w:sz w:val="22"/>
          <w:szCs w:val="22"/>
          <w:b w:val="1"/>
          <w:bCs w:val="1"/>
          <w:color w:val="auto"/>
        </w:rPr>
        <w:t>ANNUAL REPORT ON FORM 10-K FOR THE YEAR ENDED DECEMBER 31, 2011</w:t>
      </w:r>
    </w:p>
    <w:p>
      <w:pPr>
        <w:spacing w:after="0" w:line="152" w:lineRule="exact"/>
        <w:rPr>
          <w:sz w:val="20"/>
          <w:szCs w:val="20"/>
          <w:color w:val="auto"/>
        </w:rPr>
      </w:pPr>
    </w:p>
    <w:p>
      <w:pPr>
        <w:jc w:val="center"/>
        <w:ind w:right="111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8"/>
            <w:vMerge w:val="restart"/>
          </w:tcPr>
          <w:p>
            <w:pPr>
              <w:jc w:val="center"/>
              <w:ind w:right="3180"/>
              <w:spacing w:after="0"/>
              <w:rPr>
                <w:sz w:val="20"/>
                <w:szCs w:val="20"/>
                <w:color w:val="auto"/>
              </w:rPr>
            </w:pPr>
            <w:r>
              <w:rPr>
                <w:rFonts w:ascii="Arial" w:cs="Arial" w:eastAsia="Arial" w:hAnsi="Arial"/>
                <w:sz w:val="18"/>
                <w:szCs w:val="18"/>
                <w:b w:val="1"/>
                <w:bCs w:val="1"/>
                <w:color w:val="auto"/>
              </w:rPr>
              <w:t>PART I</w:t>
            </w:r>
          </w:p>
        </w:tc>
        <w:tc>
          <w:tcPr>
            <w:tcW w:w="700" w:type="dxa"/>
            <w:vAlign w:val="bottom"/>
            <w:gridSpan w:val="3"/>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gridSpan w:val="8"/>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gridSpan w:val="5"/>
          </w:tcPr>
          <w:p>
            <w:pPr>
              <w:spacing w:after="0" w:line="190" w:lineRule="exact"/>
              <w:rPr>
                <w:sz w:val="20"/>
                <w:szCs w:val="20"/>
                <w:color w:val="auto"/>
              </w:rPr>
            </w:pPr>
            <w:r>
              <w:rPr>
                <w:rFonts w:ascii="Arial" w:cs="Arial" w:eastAsia="Arial" w:hAnsi="Arial"/>
                <w:sz w:val="18"/>
                <w:szCs w:val="18"/>
                <w:color w:val="0000FF"/>
              </w:rPr>
              <w:t>Item 1</w:t>
            </w:r>
            <w:r>
              <w:rPr>
                <w:rFonts w:ascii="Arial" w:cs="Arial" w:eastAsia="Arial" w:hAnsi="Arial"/>
                <w:sz w:val="18"/>
                <w:szCs w:val="18"/>
                <w:color w:val="000000"/>
              </w:rPr>
              <w:t>.</w:t>
            </w:r>
          </w:p>
        </w:tc>
        <w:tc>
          <w:tcPr>
            <w:tcW w:w="7660" w:type="dxa"/>
            <w:vAlign w:val="bottom"/>
            <w:gridSpan w:val="22"/>
          </w:tcPr>
          <w:p>
            <w:pPr>
              <w:spacing w:after="0" w:line="190" w:lineRule="exact"/>
              <w:rPr>
                <w:sz w:val="20"/>
                <w:szCs w:val="20"/>
                <w:color w:val="auto"/>
              </w:rPr>
            </w:pPr>
            <w:r>
              <w:rPr>
                <w:rFonts w:ascii="Arial" w:cs="Arial" w:eastAsia="Arial" w:hAnsi="Arial"/>
                <w:sz w:val="18"/>
                <w:szCs w:val="18"/>
                <w:color w:val="0000FF"/>
              </w:rPr>
              <w:t>Business</w:t>
            </w:r>
          </w:p>
        </w:tc>
        <w:tc>
          <w:tcPr>
            <w:tcW w:w="520" w:type="dxa"/>
            <w:vAlign w:val="bottom"/>
            <w:gridSpan w:val="2"/>
          </w:tcPr>
          <w:p>
            <w:pPr>
              <w:jc w:val="center"/>
              <w:ind w:left="230"/>
              <w:spacing w:after="0" w:line="190" w:lineRule="exact"/>
              <w:rPr>
                <w:sz w:val="20"/>
                <w:szCs w:val="20"/>
                <w:color w:val="auto"/>
              </w:rPr>
            </w:pPr>
            <w:r>
              <w:rPr>
                <w:rFonts w:ascii="Arial" w:cs="Arial" w:eastAsia="Arial" w:hAnsi="Arial"/>
                <w:sz w:val="18"/>
                <w:szCs w:val="18"/>
                <w:color w:val="0000FF"/>
                <w:w w:val="79"/>
              </w:rPr>
              <w:t>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76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14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1B</w:t>
            </w:r>
            <w:r>
              <w:rPr>
                <w:rFonts w:ascii="Arial" w:cs="Arial" w:eastAsia="Arial" w:hAnsi="Arial"/>
                <w:sz w:val="18"/>
                <w:szCs w:val="18"/>
                <w:color w:val="000000"/>
                <w:w w:val="92"/>
              </w:rPr>
              <w:t>.</w:t>
            </w:r>
          </w:p>
        </w:tc>
        <w:tc>
          <w:tcPr>
            <w:tcW w:w="260" w:type="dxa"/>
            <w:vAlign w:val="bottom"/>
          </w:tcPr>
          <w:p>
            <w:pPr>
              <w:spacing w:after="0"/>
              <w:rPr>
                <w:sz w:val="24"/>
                <w:szCs w:val="24"/>
                <w:color w:val="auto"/>
              </w:rPr>
            </w:pPr>
          </w:p>
        </w:tc>
        <w:tc>
          <w:tcPr>
            <w:tcW w:w="766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7"/>
              </w:rPr>
              <w:t>Item 2.</w:t>
            </w:r>
          </w:p>
        </w:tc>
        <w:tc>
          <w:tcPr>
            <w:tcW w:w="40" w:type="dxa"/>
            <w:vAlign w:val="bottom"/>
            <w:tcBorders>
              <w:top w:val="single" w:sz="8" w:color="0000FF"/>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20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Properties</w:t>
            </w:r>
          </w:p>
        </w:tc>
        <w:tc>
          <w:tcPr>
            <w:tcW w:w="5620" w:type="dxa"/>
            <w:vAlign w:val="bottom"/>
            <w:gridSpan w:val="11"/>
          </w:tcPr>
          <w:p>
            <w:pPr>
              <w:spacing w:after="0"/>
              <w:rPr>
                <w:sz w:val="24"/>
                <w:szCs w:val="24"/>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Item 3.</w:t>
            </w:r>
          </w:p>
        </w:tc>
        <w:tc>
          <w:tcPr>
            <w:tcW w:w="380" w:type="dxa"/>
            <w:vAlign w:val="bottom"/>
            <w:gridSpan w:val="3"/>
          </w:tcPr>
          <w:p>
            <w:pPr>
              <w:spacing w:after="0"/>
              <w:rPr>
                <w:sz w:val="24"/>
                <w:szCs w:val="24"/>
                <w:color w:val="auto"/>
              </w:rPr>
            </w:pPr>
          </w:p>
        </w:tc>
        <w:tc>
          <w:tcPr>
            <w:tcW w:w="1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Legal Proceedings</w:t>
            </w:r>
          </w:p>
        </w:tc>
        <w:tc>
          <w:tcPr>
            <w:tcW w:w="6320" w:type="dxa"/>
            <w:vAlign w:val="bottom"/>
            <w:gridSpan w:val="15"/>
          </w:tcPr>
          <w:p>
            <w:pPr>
              <w:spacing w:after="0"/>
              <w:rPr>
                <w:sz w:val="24"/>
                <w:szCs w:val="24"/>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4.</w:t>
            </w:r>
          </w:p>
        </w:tc>
        <w:tc>
          <w:tcPr>
            <w:tcW w:w="76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rPr>
              <w:t>PART II</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Item 5.</w:t>
            </w:r>
          </w:p>
        </w:tc>
        <w:tc>
          <w:tcPr>
            <w:tcW w:w="380" w:type="dxa"/>
            <w:vAlign w:val="bottom"/>
            <w:gridSpan w:val="3"/>
          </w:tcPr>
          <w:p>
            <w:pPr>
              <w:spacing w:after="0"/>
              <w:rPr>
                <w:sz w:val="24"/>
                <w:szCs w:val="24"/>
                <w:color w:val="auto"/>
              </w:rPr>
            </w:pPr>
          </w:p>
        </w:tc>
        <w:tc>
          <w:tcPr>
            <w:tcW w:w="73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w:t>
            </w:r>
          </w:p>
        </w:tc>
        <w:tc>
          <w:tcPr>
            <w:tcW w:w="320" w:type="dxa"/>
            <w:vAlign w:val="bottom"/>
          </w:tcPr>
          <w:p>
            <w:pPr>
              <w:spacing w:after="0"/>
              <w:rPr>
                <w:sz w:val="24"/>
                <w:szCs w:val="24"/>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5"/>
              </w:rPr>
              <w:t>Securities</w:t>
            </w:r>
          </w:p>
        </w:tc>
        <w:tc>
          <w:tcPr>
            <w:tcW w:w="664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0000FF"/>
                <w:w w:val="87"/>
              </w:rPr>
              <w:t>Item 6.</w:t>
            </w:r>
          </w:p>
        </w:tc>
        <w:tc>
          <w:tcPr>
            <w:tcW w:w="380" w:type="dxa"/>
            <w:vAlign w:val="bottom"/>
            <w:gridSpan w:val="3"/>
          </w:tcPr>
          <w:p>
            <w:pPr>
              <w:spacing w:after="0"/>
              <w:rPr>
                <w:sz w:val="24"/>
                <w:szCs w:val="24"/>
                <w:color w:val="auto"/>
              </w:rPr>
            </w:pPr>
          </w:p>
        </w:tc>
        <w:tc>
          <w:tcPr>
            <w:tcW w:w="7660" w:type="dxa"/>
            <w:vAlign w:val="bottom"/>
            <w:gridSpan w:val="22"/>
          </w:tcPr>
          <w:p>
            <w:pPr>
              <w:spacing w:after="0"/>
              <w:rPr>
                <w:sz w:val="20"/>
                <w:szCs w:val="20"/>
                <w:color w:val="auto"/>
              </w:rPr>
            </w:pPr>
            <w:r>
              <w:rPr>
                <w:rFonts w:ascii="Arial" w:cs="Arial" w:eastAsia="Arial" w:hAnsi="Arial"/>
                <w:sz w:val="18"/>
                <w:szCs w:val="18"/>
                <w:color w:val="0000FF"/>
              </w:rPr>
              <w:t>Selected Financial Data</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0000FF"/>
                <w:w w:val="87"/>
              </w:rPr>
              <w:t>Item 7</w:t>
            </w:r>
            <w:r>
              <w:rPr>
                <w:rFonts w:ascii="Arial" w:cs="Arial" w:eastAsia="Arial" w:hAnsi="Arial"/>
                <w:sz w:val="18"/>
                <w:szCs w:val="18"/>
                <w:color w:val="000000"/>
                <w:w w:val="87"/>
              </w:rPr>
              <w:t>.</w:t>
            </w:r>
          </w:p>
        </w:tc>
        <w:tc>
          <w:tcPr>
            <w:tcW w:w="380" w:type="dxa"/>
            <w:vAlign w:val="bottom"/>
            <w:gridSpan w:val="3"/>
          </w:tcPr>
          <w:p>
            <w:pPr>
              <w:spacing w:after="0"/>
              <w:rPr>
                <w:sz w:val="24"/>
                <w:szCs w:val="24"/>
                <w:color w:val="auto"/>
              </w:rPr>
            </w:pPr>
          </w:p>
        </w:tc>
        <w:tc>
          <w:tcPr>
            <w:tcW w:w="76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7A</w:t>
            </w:r>
            <w:r>
              <w:rPr>
                <w:rFonts w:ascii="Arial" w:cs="Arial" w:eastAsia="Arial" w:hAnsi="Arial"/>
                <w:sz w:val="18"/>
                <w:szCs w:val="18"/>
                <w:color w:val="000000"/>
              </w:rPr>
              <w:t>.</w:t>
            </w:r>
          </w:p>
        </w:tc>
        <w:tc>
          <w:tcPr>
            <w:tcW w:w="766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4"/>
              </w:rPr>
              <w:t>Item 8</w:t>
            </w:r>
            <w:r>
              <w:rPr>
                <w:rFonts w:ascii="Arial" w:cs="Arial" w:eastAsia="Arial" w:hAnsi="Arial"/>
                <w:sz w:val="18"/>
                <w:szCs w:val="18"/>
                <w:color w:val="000000"/>
                <w:w w:val="94"/>
              </w:rPr>
              <w:t>.</w:t>
            </w:r>
          </w:p>
        </w:tc>
        <w:tc>
          <w:tcPr>
            <w:tcW w:w="340" w:type="dxa"/>
            <w:vAlign w:val="bottom"/>
            <w:gridSpan w:val="2"/>
          </w:tcPr>
          <w:p>
            <w:pPr>
              <w:spacing w:after="0"/>
              <w:rPr>
                <w:sz w:val="24"/>
                <w:szCs w:val="24"/>
                <w:color w:val="auto"/>
              </w:rPr>
            </w:pPr>
          </w:p>
        </w:tc>
        <w:tc>
          <w:tcPr>
            <w:tcW w:w="43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Financial Statements and Supplementary Data</w:t>
            </w:r>
          </w:p>
        </w:tc>
        <w:tc>
          <w:tcPr>
            <w:tcW w:w="3360" w:type="dxa"/>
            <w:vAlign w:val="bottom"/>
            <w:gridSpan w:val="6"/>
          </w:tcPr>
          <w:p>
            <w:pPr>
              <w:spacing w:after="0"/>
              <w:rPr>
                <w:sz w:val="24"/>
                <w:szCs w:val="24"/>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Item 9.</w:t>
            </w:r>
          </w:p>
        </w:tc>
        <w:tc>
          <w:tcPr>
            <w:tcW w:w="380" w:type="dxa"/>
            <w:vAlign w:val="bottom"/>
            <w:gridSpan w:val="3"/>
          </w:tcPr>
          <w:p>
            <w:pPr>
              <w:spacing w:after="0"/>
              <w:rPr>
                <w:sz w:val="24"/>
                <w:szCs w:val="24"/>
                <w:color w:val="auto"/>
              </w:rPr>
            </w:pPr>
          </w:p>
        </w:tc>
        <w:tc>
          <w:tcPr>
            <w:tcW w:w="64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1180" w:type="dxa"/>
            <w:vAlign w:val="bottom"/>
            <w:gridSpan w:val="3"/>
          </w:tcPr>
          <w:p>
            <w:pPr>
              <w:spacing w:after="0"/>
              <w:rPr>
                <w:sz w:val="24"/>
                <w:szCs w:val="24"/>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9A.</w:t>
            </w:r>
          </w:p>
        </w:tc>
        <w:tc>
          <w:tcPr>
            <w:tcW w:w="766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2"/>
              </w:rPr>
              <w:t>Item 9B</w:t>
            </w:r>
            <w:r>
              <w:rPr>
                <w:rFonts w:ascii="Arial" w:cs="Arial" w:eastAsia="Arial" w:hAnsi="Arial"/>
                <w:sz w:val="18"/>
                <w:szCs w:val="18"/>
                <w:color w:val="000000"/>
                <w:w w:val="92"/>
              </w:rPr>
              <w:t>.</w:t>
            </w:r>
          </w:p>
        </w:tc>
        <w:tc>
          <w:tcPr>
            <w:tcW w:w="260" w:type="dxa"/>
            <w:vAlign w:val="bottom"/>
          </w:tcPr>
          <w:p>
            <w:pPr>
              <w:spacing w:after="0"/>
              <w:rPr>
                <w:sz w:val="24"/>
                <w:szCs w:val="24"/>
                <w:color w:val="auto"/>
              </w:rPr>
            </w:pPr>
          </w:p>
        </w:tc>
        <w:tc>
          <w:tcPr>
            <w:tcW w:w="17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Other Information</w:t>
            </w:r>
          </w:p>
        </w:tc>
        <w:tc>
          <w:tcPr>
            <w:tcW w:w="5900" w:type="dxa"/>
            <w:vAlign w:val="bottom"/>
            <w:gridSpan w:val="13"/>
          </w:tcPr>
          <w:p>
            <w:pPr>
              <w:spacing w:after="0"/>
              <w:rPr>
                <w:sz w:val="24"/>
                <w:szCs w:val="24"/>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rPr>
              <w:t>PART III</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5"/>
          </w:tcPr>
          <w:p>
            <w:pPr>
              <w:spacing w:after="0"/>
              <w:rPr>
                <w:sz w:val="20"/>
                <w:szCs w:val="20"/>
                <w:color w:val="auto"/>
              </w:rPr>
            </w:pPr>
            <w:r>
              <w:rPr>
                <w:rFonts w:ascii="Arial" w:cs="Arial" w:eastAsia="Arial" w:hAnsi="Arial"/>
                <w:sz w:val="18"/>
                <w:szCs w:val="18"/>
                <w:color w:val="0000FF"/>
              </w:rPr>
              <w:t>Item 10.</w:t>
            </w:r>
          </w:p>
        </w:tc>
        <w:tc>
          <w:tcPr>
            <w:tcW w:w="7660" w:type="dxa"/>
            <w:vAlign w:val="bottom"/>
            <w:gridSpan w:val="22"/>
          </w:tcPr>
          <w:p>
            <w:pPr>
              <w:spacing w:after="0"/>
              <w:rPr>
                <w:sz w:val="20"/>
                <w:szCs w:val="20"/>
                <w:color w:val="auto"/>
              </w:rPr>
            </w:pPr>
            <w:r>
              <w:rPr>
                <w:rFonts w:ascii="Arial" w:cs="Arial" w:eastAsia="Arial" w:hAnsi="Arial"/>
                <w:sz w:val="18"/>
                <w:szCs w:val="18"/>
                <w:color w:val="0000FF"/>
              </w:rPr>
              <w:t>Directors , Executive Officers and Corporate Governance</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11.</w:t>
            </w:r>
          </w:p>
        </w:tc>
        <w:tc>
          <w:tcPr>
            <w:tcW w:w="7660" w:type="dxa"/>
            <w:vAlign w:val="bottom"/>
            <w:gridSpan w:val="22"/>
          </w:tcPr>
          <w:p>
            <w:pPr>
              <w:spacing w:after="0"/>
              <w:rPr>
                <w:sz w:val="20"/>
                <w:szCs w:val="20"/>
                <w:color w:val="auto"/>
              </w:rPr>
            </w:pPr>
            <w:r>
              <w:rPr>
                <w:rFonts w:ascii="Arial" w:cs="Arial" w:eastAsia="Arial" w:hAnsi="Arial"/>
                <w:sz w:val="18"/>
                <w:szCs w:val="18"/>
                <w:color w:val="0000FF"/>
              </w:rPr>
              <w:t>Executive Compensation</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12</w:t>
            </w:r>
            <w:r>
              <w:rPr>
                <w:rFonts w:ascii="Arial" w:cs="Arial" w:eastAsia="Arial" w:hAnsi="Arial"/>
                <w:sz w:val="18"/>
                <w:szCs w:val="18"/>
                <w:color w:val="000000"/>
              </w:rPr>
              <w:t>.</w:t>
            </w:r>
          </w:p>
        </w:tc>
        <w:tc>
          <w:tcPr>
            <w:tcW w:w="7660" w:type="dxa"/>
            <w:vAlign w:val="bottom"/>
            <w:gridSpan w:val="22"/>
          </w:tcPr>
          <w:p>
            <w:pPr>
              <w:spacing w:after="0"/>
              <w:rPr>
                <w:sz w:val="20"/>
                <w:szCs w:val="20"/>
                <w:color w:val="auto"/>
              </w:rPr>
            </w:pPr>
            <w:r>
              <w:rPr>
                <w:rFonts w:ascii="Arial" w:cs="Arial" w:eastAsia="Arial" w:hAnsi="Arial"/>
                <w:sz w:val="18"/>
                <w:szCs w:val="18"/>
                <w:color w:val="0000FF"/>
                <w:w w:val="95"/>
              </w:rPr>
              <w:t>Security Ownership of Certain Beneficial Owners and Management and Related Stockholder Matters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60" w:type="dxa"/>
            <w:vAlign w:val="bottom"/>
            <w:gridSpan w:val="1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13.</w:t>
            </w:r>
          </w:p>
        </w:tc>
        <w:tc>
          <w:tcPr>
            <w:tcW w:w="7660" w:type="dxa"/>
            <w:vAlign w:val="bottom"/>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40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860" w:type="dxa"/>
            <w:vAlign w:val="bottom"/>
            <w:gridSpan w:val="1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5"/>
          </w:tcPr>
          <w:p>
            <w:pPr>
              <w:spacing w:after="0"/>
              <w:rPr>
                <w:sz w:val="20"/>
                <w:szCs w:val="20"/>
                <w:color w:val="auto"/>
              </w:rPr>
            </w:pPr>
            <w:r>
              <w:rPr>
                <w:rFonts w:ascii="Arial" w:cs="Arial" w:eastAsia="Arial" w:hAnsi="Arial"/>
                <w:sz w:val="18"/>
                <w:szCs w:val="18"/>
                <w:color w:val="0000FF"/>
              </w:rPr>
              <w:t>Item 14.</w:t>
            </w:r>
          </w:p>
        </w:tc>
        <w:tc>
          <w:tcPr>
            <w:tcW w:w="766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40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5"/>
          </w:tcPr>
          <w:p>
            <w:pPr>
              <w:spacing w:after="0"/>
              <w:rPr>
                <w:sz w:val="20"/>
                <w:szCs w:val="20"/>
                <w:color w:val="auto"/>
              </w:rPr>
            </w:pPr>
            <w:r>
              <w:rPr>
                <w:rFonts w:ascii="Arial" w:cs="Arial" w:eastAsia="Arial" w:hAnsi="Arial"/>
                <w:sz w:val="18"/>
                <w:szCs w:val="18"/>
                <w:color w:val="0000FF"/>
              </w:rPr>
              <w:t>Item 15</w:t>
            </w:r>
            <w:r>
              <w:rPr>
                <w:rFonts w:ascii="Arial" w:cs="Arial" w:eastAsia="Arial" w:hAnsi="Arial"/>
                <w:sz w:val="18"/>
                <w:szCs w:val="18"/>
                <w:color w:val="000000"/>
              </w:rPr>
              <w:t>.</w:t>
            </w:r>
          </w:p>
        </w:tc>
        <w:tc>
          <w:tcPr>
            <w:tcW w:w="7660" w:type="dxa"/>
            <w:vAlign w:val="bottom"/>
            <w:gridSpan w:val="22"/>
          </w:tcPr>
          <w:p>
            <w:pPr>
              <w:spacing w:after="0"/>
              <w:rPr>
                <w:sz w:val="20"/>
                <w:szCs w:val="20"/>
                <w:color w:val="auto"/>
              </w:rPr>
            </w:pPr>
            <w:r>
              <w:rPr>
                <w:rFonts w:ascii="Arial" w:cs="Arial" w:eastAsia="Arial" w:hAnsi="Arial"/>
                <w:sz w:val="18"/>
                <w:szCs w:val="18"/>
                <w:color w:val="0000FF"/>
              </w:rPr>
              <w:t>Exhibits and Financial Statement Schedules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42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8"/>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808080"/>
          </w:tcPr>
          <w:p>
            <w:pPr>
              <w:spacing w:after="0"/>
              <w:rPr>
                <w:sz w:val="11"/>
                <w:szCs w:val="11"/>
                <w:color w:val="auto"/>
              </w:rPr>
            </w:pPr>
          </w:p>
        </w:tc>
        <w:tc>
          <w:tcPr>
            <w:tcW w:w="40" w:type="dxa"/>
            <w:vAlign w:val="bottom"/>
            <w:shd w:val="clear" w:color="auto" w:fill="808080"/>
          </w:tcPr>
          <w:p>
            <w:pPr>
              <w:spacing w:after="0"/>
              <w:rPr>
                <w:sz w:val="11"/>
                <w:szCs w:val="11"/>
                <w:color w:val="auto"/>
              </w:rPr>
            </w:pPr>
          </w:p>
        </w:tc>
        <w:tc>
          <w:tcPr>
            <w:tcW w:w="40" w:type="dxa"/>
            <w:vAlign w:val="bottom"/>
            <w:tcBorders>
              <w:left w:val="single" w:sz="8" w:color="808080"/>
            </w:tcBorders>
            <w:shd w:val="clear" w:color="auto" w:fill="808080"/>
          </w:tcPr>
          <w:p>
            <w:pPr>
              <w:spacing w:after="0"/>
              <w:rPr>
                <w:sz w:val="11"/>
                <w:szCs w:val="11"/>
                <w:color w:val="auto"/>
              </w:rPr>
            </w:pPr>
          </w:p>
        </w:tc>
        <w:tc>
          <w:tcPr>
            <w:tcW w:w="80" w:type="dxa"/>
            <w:vAlign w:val="bottom"/>
            <w:tcBorders>
              <w:left w:val="single" w:sz="8" w:color="808080"/>
            </w:tcBorders>
            <w:shd w:val="clear" w:color="auto" w:fill="808080"/>
          </w:tcPr>
          <w:p>
            <w:pPr>
              <w:spacing w:after="0"/>
              <w:rPr>
                <w:sz w:val="11"/>
                <w:szCs w:val="11"/>
                <w:color w:val="auto"/>
              </w:rPr>
            </w:pPr>
          </w:p>
        </w:tc>
        <w:tc>
          <w:tcPr>
            <w:tcW w:w="260" w:type="dxa"/>
            <w:vAlign w:val="bottom"/>
            <w:shd w:val="clear" w:color="auto" w:fill="808080"/>
          </w:tcPr>
          <w:p>
            <w:pPr>
              <w:spacing w:after="0"/>
              <w:rPr>
                <w:sz w:val="11"/>
                <w:szCs w:val="11"/>
                <w:color w:val="auto"/>
              </w:rPr>
            </w:pPr>
          </w:p>
        </w:tc>
        <w:tc>
          <w:tcPr>
            <w:tcW w:w="320" w:type="dxa"/>
            <w:vAlign w:val="bottom"/>
            <w:shd w:val="clear" w:color="auto" w:fill="808080"/>
          </w:tcPr>
          <w:p>
            <w:pPr>
              <w:spacing w:after="0"/>
              <w:rPr>
                <w:sz w:val="11"/>
                <w:szCs w:val="11"/>
                <w:color w:val="auto"/>
              </w:rPr>
            </w:pPr>
          </w:p>
        </w:tc>
        <w:tc>
          <w:tcPr>
            <w:tcW w:w="320" w:type="dxa"/>
            <w:vAlign w:val="bottom"/>
            <w:shd w:val="clear" w:color="auto" w:fill="808080"/>
          </w:tcPr>
          <w:p>
            <w:pPr>
              <w:spacing w:after="0"/>
              <w:rPr>
                <w:sz w:val="11"/>
                <w:szCs w:val="11"/>
                <w:color w:val="auto"/>
              </w:rPr>
            </w:pPr>
          </w:p>
        </w:tc>
        <w:tc>
          <w:tcPr>
            <w:tcW w:w="80" w:type="dxa"/>
            <w:vAlign w:val="bottom"/>
            <w:shd w:val="clear" w:color="auto" w:fill="808080"/>
          </w:tcPr>
          <w:p>
            <w:pPr>
              <w:spacing w:after="0"/>
              <w:rPr>
                <w:sz w:val="11"/>
                <w:szCs w:val="11"/>
                <w:color w:val="auto"/>
              </w:rPr>
            </w:pPr>
          </w:p>
        </w:tc>
        <w:tc>
          <w:tcPr>
            <w:tcW w:w="180" w:type="dxa"/>
            <w:vAlign w:val="bottom"/>
            <w:shd w:val="clear" w:color="auto" w:fill="808080"/>
          </w:tcPr>
          <w:p>
            <w:pPr>
              <w:spacing w:after="0"/>
              <w:rPr>
                <w:sz w:val="11"/>
                <w:szCs w:val="11"/>
                <w:color w:val="auto"/>
              </w:rPr>
            </w:pPr>
          </w:p>
        </w:tc>
        <w:tc>
          <w:tcPr>
            <w:tcW w:w="120" w:type="dxa"/>
            <w:vAlign w:val="bottom"/>
            <w:shd w:val="clear" w:color="auto" w:fill="808080"/>
          </w:tcPr>
          <w:p>
            <w:pPr>
              <w:spacing w:after="0"/>
              <w:rPr>
                <w:sz w:val="11"/>
                <w:szCs w:val="11"/>
                <w:color w:val="auto"/>
              </w:rPr>
            </w:pPr>
          </w:p>
        </w:tc>
        <w:tc>
          <w:tcPr>
            <w:tcW w:w="300" w:type="dxa"/>
            <w:vAlign w:val="bottom"/>
            <w:shd w:val="clear" w:color="auto" w:fill="808080"/>
          </w:tcPr>
          <w:p>
            <w:pPr>
              <w:spacing w:after="0"/>
              <w:rPr>
                <w:sz w:val="11"/>
                <w:szCs w:val="11"/>
                <w:color w:val="auto"/>
              </w:rPr>
            </w:pPr>
          </w:p>
        </w:tc>
        <w:tc>
          <w:tcPr>
            <w:tcW w:w="20" w:type="dxa"/>
            <w:vAlign w:val="bottom"/>
            <w:shd w:val="clear" w:color="auto" w:fill="808080"/>
          </w:tcPr>
          <w:p>
            <w:pPr>
              <w:spacing w:after="0"/>
              <w:rPr>
                <w:sz w:val="11"/>
                <w:szCs w:val="11"/>
                <w:color w:val="auto"/>
              </w:rPr>
            </w:pPr>
          </w:p>
        </w:tc>
        <w:tc>
          <w:tcPr>
            <w:tcW w:w="360" w:type="dxa"/>
            <w:vAlign w:val="bottom"/>
            <w:shd w:val="clear" w:color="auto" w:fill="808080"/>
          </w:tcPr>
          <w:p>
            <w:pPr>
              <w:spacing w:after="0"/>
              <w:rPr>
                <w:sz w:val="11"/>
                <w:szCs w:val="11"/>
                <w:color w:val="auto"/>
              </w:rPr>
            </w:pPr>
          </w:p>
        </w:tc>
        <w:tc>
          <w:tcPr>
            <w:tcW w:w="60" w:type="dxa"/>
            <w:vAlign w:val="bottom"/>
            <w:shd w:val="clear" w:color="auto" w:fill="808080"/>
          </w:tcPr>
          <w:p>
            <w:pPr>
              <w:spacing w:after="0"/>
              <w:rPr>
                <w:sz w:val="11"/>
                <w:szCs w:val="11"/>
                <w:color w:val="auto"/>
              </w:rPr>
            </w:pPr>
          </w:p>
        </w:tc>
        <w:tc>
          <w:tcPr>
            <w:tcW w:w="40" w:type="dxa"/>
            <w:vAlign w:val="bottom"/>
            <w:shd w:val="clear" w:color="auto" w:fill="808080"/>
          </w:tcPr>
          <w:p>
            <w:pPr>
              <w:spacing w:after="0"/>
              <w:rPr>
                <w:sz w:val="11"/>
                <w:szCs w:val="11"/>
                <w:color w:val="auto"/>
              </w:rPr>
            </w:pPr>
          </w:p>
        </w:tc>
        <w:tc>
          <w:tcPr>
            <w:tcW w:w="240" w:type="dxa"/>
            <w:vAlign w:val="bottom"/>
            <w:shd w:val="clear" w:color="auto" w:fill="808080"/>
          </w:tcPr>
          <w:p>
            <w:pPr>
              <w:spacing w:after="0"/>
              <w:rPr>
                <w:sz w:val="11"/>
                <w:szCs w:val="11"/>
                <w:color w:val="auto"/>
              </w:rPr>
            </w:pPr>
          </w:p>
        </w:tc>
        <w:tc>
          <w:tcPr>
            <w:tcW w:w="820" w:type="dxa"/>
            <w:vAlign w:val="bottom"/>
            <w:shd w:val="clear" w:color="auto" w:fill="808080"/>
          </w:tcPr>
          <w:p>
            <w:pPr>
              <w:spacing w:after="0"/>
              <w:rPr>
                <w:sz w:val="11"/>
                <w:szCs w:val="11"/>
                <w:color w:val="auto"/>
              </w:rPr>
            </w:pPr>
          </w:p>
        </w:tc>
        <w:tc>
          <w:tcPr>
            <w:tcW w:w="300" w:type="dxa"/>
            <w:vAlign w:val="bottom"/>
            <w:shd w:val="clear" w:color="auto" w:fill="808080"/>
          </w:tcPr>
          <w:p>
            <w:pPr>
              <w:spacing w:after="0"/>
              <w:rPr>
                <w:sz w:val="11"/>
                <w:szCs w:val="11"/>
                <w:color w:val="auto"/>
              </w:rPr>
            </w:pPr>
          </w:p>
        </w:tc>
        <w:tc>
          <w:tcPr>
            <w:tcW w:w="160" w:type="dxa"/>
            <w:vAlign w:val="bottom"/>
            <w:shd w:val="clear" w:color="auto" w:fill="808080"/>
          </w:tcPr>
          <w:p>
            <w:pPr>
              <w:spacing w:after="0"/>
              <w:rPr>
                <w:sz w:val="11"/>
                <w:szCs w:val="11"/>
                <w:color w:val="auto"/>
              </w:rPr>
            </w:pPr>
          </w:p>
        </w:tc>
        <w:tc>
          <w:tcPr>
            <w:tcW w:w="820" w:type="dxa"/>
            <w:vAlign w:val="bottom"/>
            <w:shd w:val="clear" w:color="auto" w:fill="808080"/>
          </w:tcPr>
          <w:p>
            <w:pPr>
              <w:spacing w:after="0"/>
              <w:rPr>
                <w:sz w:val="11"/>
                <w:szCs w:val="11"/>
                <w:color w:val="auto"/>
              </w:rPr>
            </w:pPr>
          </w:p>
        </w:tc>
        <w:tc>
          <w:tcPr>
            <w:tcW w:w="160" w:type="dxa"/>
            <w:vAlign w:val="bottom"/>
            <w:shd w:val="clear" w:color="auto" w:fill="808080"/>
          </w:tcPr>
          <w:p>
            <w:pPr>
              <w:spacing w:after="0"/>
              <w:rPr>
                <w:sz w:val="11"/>
                <w:szCs w:val="11"/>
                <w:color w:val="auto"/>
              </w:rPr>
            </w:pPr>
          </w:p>
        </w:tc>
        <w:tc>
          <w:tcPr>
            <w:tcW w:w="1160" w:type="dxa"/>
            <w:vAlign w:val="bottom"/>
            <w:shd w:val="clear" w:color="auto" w:fill="808080"/>
          </w:tcPr>
          <w:p>
            <w:pPr>
              <w:spacing w:after="0"/>
              <w:rPr>
                <w:sz w:val="11"/>
                <w:szCs w:val="11"/>
                <w:color w:val="auto"/>
              </w:rPr>
            </w:pPr>
          </w:p>
        </w:tc>
        <w:tc>
          <w:tcPr>
            <w:tcW w:w="1000" w:type="dxa"/>
            <w:vAlign w:val="bottom"/>
            <w:shd w:val="clear" w:color="auto" w:fill="808080"/>
          </w:tcPr>
          <w:p>
            <w:pPr>
              <w:spacing w:after="0"/>
              <w:rPr>
                <w:sz w:val="11"/>
                <w:szCs w:val="11"/>
                <w:color w:val="auto"/>
              </w:rPr>
            </w:pPr>
          </w:p>
        </w:tc>
        <w:tc>
          <w:tcPr>
            <w:tcW w:w="20" w:type="dxa"/>
            <w:vAlign w:val="bottom"/>
            <w:shd w:val="clear" w:color="auto" w:fill="808080"/>
          </w:tcPr>
          <w:p>
            <w:pPr>
              <w:spacing w:after="0"/>
              <w:rPr>
                <w:sz w:val="11"/>
                <w:szCs w:val="11"/>
                <w:color w:val="auto"/>
              </w:rPr>
            </w:pPr>
          </w:p>
        </w:tc>
        <w:tc>
          <w:tcPr>
            <w:tcW w:w="820" w:type="dxa"/>
            <w:vAlign w:val="bottom"/>
            <w:shd w:val="clear" w:color="auto" w:fill="808080"/>
          </w:tcPr>
          <w:p>
            <w:pPr>
              <w:spacing w:after="0"/>
              <w:rPr>
                <w:sz w:val="11"/>
                <w:szCs w:val="11"/>
                <w:color w:val="auto"/>
              </w:rPr>
            </w:pPr>
          </w:p>
        </w:tc>
        <w:tc>
          <w:tcPr>
            <w:tcW w:w="40" w:type="dxa"/>
            <w:vAlign w:val="bottom"/>
            <w:shd w:val="clear" w:color="auto" w:fill="808080"/>
          </w:tcPr>
          <w:p>
            <w:pPr>
              <w:spacing w:after="0"/>
              <w:rPr>
                <w:sz w:val="11"/>
                <w:szCs w:val="11"/>
                <w:color w:val="auto"/>
              </w:rPr>
            </w:pPr>
          </w:p>
        </w:tc>
        <w:tc>
          <w:tcPr>
            <w:tcW w:w="320" w:type="dxa"/>
            <w:vAlign w:val="bottom"/>
            <w:shd w:val="clear" w:color="auto" w:fill="808080"/>
          </w:tcPr>
          <w:p>
            <w:pPr>
              <w:spacing w:after="0"/>
              <w:rPr>
                <w:sz w:val="11"/>
                <w:szCs w:val="11"/>
                <w:color w:val="auto"/>
              </w:rPr>
            </w:pPr>
          </w:p>
        </w:tc>
        <w:tc>
          <w:tcPr>
            <w:tcW w:w="320" w:type="dxa"/>
            <w:vAlign w:val="bottom"/>
            <w:shd w:val="clear" w:color="auto" w:fill="808080"/>
          </w:tcPr>
          <w:p>
            <w:pPr>
              <w:spacing w:after="0"/>
              <w:rPr>
                <w:sz w:val="11"/>
                <w:szCs w:val="11"/>
                <w:color w:val="auto"/>
              </w:rPr>
            </w:pPr>
          </w:p>
        </w:tc>
        <w:tc>
          <w:tcPr>
            <w:tcW w:w="200" w:type="dxa"/>
            <w:vAlign w:val="bottom"/>
            <w:shd w:val="clear" w:color="auto" w:fill="808080"/>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98" w:right="1440" w:bottom="1440" w:gutter="0" w:footer="0" w:header="0"/>
        </w:sectPr>
      </w:pPr>
    </w:p>
    <w:bookmarkStart w:id="2" w:name="page3"/>
    <w:bookmarkEnd w:id="2"/>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91" w:lineRule="exact"/>
        <w:rPr>
          <w:sz w:val="20"/>
          <w:szCs w:val="20"/>
          <w:color w:val="auto"/>
        </w:rPr>
      </w:pPr>
    </w:p>
    <w:p>
      <w:pPr>
        <w:ind w:right="1159"/>
        <w:spacing w:after="0" w:line="235" w:lineRule="auto"/>
        <w:rPr>
          <w:sz w:val="20"/>
          <w:szCs w:val="20"/>
          <w:color w:val="auto"/>
        </w:rPr>
      </w:pPr>
      <w:r>
        <w:rPr>
          <w:rFonts w:ascii="Arial" w:cs="Arial" w:eastAsia="Arial" w:hAnsi="Arial"/>
          <w:sz w:val="19"/>
          <w:szCs w:val="19"/>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“Business” included in Item 1 of Part I,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67"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PART I</w:t>
      </w:r>
    </w:p>
    <w:p>
      <w:pPr>
        <w:spacing w:after="0" w:line="158" w:lineRule="exact"/>
        <w:rPr>
          <w:sz w:val="20"/>
          <w:szCs w:val="20"/>
          <w:color w:val="auto"/>
        </w:rPr>
      </w:pPr>
    </w:p>
    <w:p>
      <w:pPr>
        <w:jc w:val="both"/>
        <w:ind w:right="1179"/>
        <w:spacing w:after="0" w:line="214" w:lineRule="auto"/>
        <w:rPr>
          <w:sz w:val="20"/>
          <w:szCs w:val="20"/>
          <w:color w:val="auto"/>
        </w:rPr>
      </w:pPr>
      <w:r>
        <w:rPr>
          <w:rFonts w:ascii="Arial" w:cs="Arial" w:eastAsia="Arial" w:hAnsi="Arial"/>
          <w:sz w:val="22"/>
          <w:szCs w:val="22"/>
          <w:color w:val="auto"/>
        </w:rPr>
        <w:t>References in this Annual Report on Form 10-K to “ClearOne,” “we,” “us,” “CLRO” or “the Company” refer to ClearOne Communications, Inc., a Utah corporation, and, unless the context otherwise requires or is otherwise expressly stated, its subsidiaries.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1299"/>
        <w:spacing w:after="0"/>
        <w:rPr>
          <w:sz w:val="20"/>
          <w:szCs w:val="20"/>
          <w:color w:val="auto"/>
        </w:rPr>
      </w:pPr>
      <w:r>
        <w:rPr>
          <w:rFonts w:ascii="Arial" w:cs="Arial" w:eastAsia="Arial" w:hAnsi="Arial"/>
          <w:sz w:val="22"/>
          <w:szCs w:val="22"/>
          <w:color w:val="auto"/>
        </w:rPr>
        <w:t>ClearOne was formed as a Utah corporation in 1983 organized under the laws of the State of Utah. The company is headquartered in Salt Lake City, Utah with offices in Austin, Texas, Corvallis, Oregon, Hong Kong, United Kingdom and Israel.</w:t>
      </w:r>
    </w:p>
    <w:p>
      <w:pPr>
        <w:spacing w:after="0" w:line="213" w:lineRule="exact"/>
        <w:rPr>
          <w:sz w:val="20"/>
          <w:szCs w:val="20"/>
          <w:color w:val="auto"/>
        </w:rPr>
      </w:pPr>
    </w:p>
    <w:p>
      <w:pPr>
        <w:ind w:right="1319"/>
        <w:spacing w:after="0" w:line="236" w:lineRule="auto"/>
        <w:rPr>
          <w:sz w:val="20"/>
          <w:szCs w:val="20"/>
          <w:color w:val="auto"/>
        </w:rPr>
      </w:pPr>
      <w:r>
        <w:rPr>
          <w:rFonts w:ascii="Arial" w:cs="Arial" w:eastAsia="Arial" w:hAnsi="Arial"/>
          <w:sz w:val="22"/>
          <w:szCs w:val="22"/>
          <w:color w:val="auto"/>
        </w:rPr>
        <w:t>We are a global company that designs, develops and sells conferencing, collaboration, streaming and digital signage solutions for audio, video and data multimedia communication. The performance and simplicity of our advanced comprehensive solutions enhance the quality of life. ClearOne products are designed for business and residential use, offering unprecedented levels of functionality, reliability and scalability.</w:t>
      </w:r>
    </w:p>
    <w:p>
      <w:pPr>
        <w:spacing w:after="0" w:line="215" w:lineRule="exact"/>
        <w:rPr>
          <w:sz w:val="20"/>
          <w:szCs w:val="20"/>
          <w:color w:val="auto"/>
        </w:rPr>
      </w:pPr>
    </w:p>
    <w:p>
      <w:pPr>
        <w:ind w:right="1299"/>
        <w:spacing w:after="0" w:line="277" w:lineRule="auto"/>
        <w:rPr>
          <w:sz w:val="20"/>
          <w:szCs w:val="20"/>
          <w:color w:val="auto"/>
        </w:rPr>
      </w:pPr>
      <w:r>
        <w:rPr>
          <w:rFonts w:ascii="Arial" w:cs="Arial" w:eastAsia="Arial" w:hAnsi="Arial"/>
          <w:sz w:val="19"/>
          <w:szCs w:val="19"/>
          <w:color w:val="auto"/>
        </w:rPr>
        <w:t>We design, develop, market, and service a comprehensive line of high-quality audio conferencing products for personal use, as well as traditional tabletop, mid-tier premium and higher-end professional products for both large and small businesses. We occupy the number one global market share position, with nearly 50% market share in the professional audio conferencing market for products used by large businesses and organizations such as enterprise, healthcare, education and distance learning, government, legal and finance. Our conferencing solutions save organizations time and money by creating a natural environment for collaboration and communication.</w:t>
      </w:r>
    </w:p>
    <w:p>
      <w:pPr>
        <w:spacing w:after="0" w:line="180" w:lineRule="exact"/>
        <w:rPr>
          <w:sz w:val="20"/>
          <w:szCs w:val="20"/>
          <w:color w:val="auto"/>
        </w:rPr>
      </w:pPr>
    </w:p>
    <w:p>
      <w:pPr>
        <w:ind w:right="1159"/>
        <w:spacing w:after="0" w:line="275" w:lineRule="auto"/>
        <w:rPr>
          <w:sz w:val="20"/>
          <w:szCs w:val="20"/>
          <w:color w:val="auto"/>
        </w:rPr>
      </w:pPr>
      <w:r>
        <w:rPr>
          <w:rFonts w:ascii="Arial" w:cs="Arial" w:eastAsia="Arial" w:hAnsi="Arial"/>
          <w:sz w:val="19"/>
          <w:szCs w:val="19"/>
          <w:color w:val="auto"/>
        </w:rPr>
        <w:t xml:space="preserve">NetStreams® DigilinX, the ClearOne brand for residential multimedia streaming and control, and VIEW™, the ClearOne brand for commercial multimedia streaming and control, deliver a superior IP A/V experience by streaming high definition audio and video (multimedia) and control over TCP/IP LAN networks. By combining audio and/or video content, meta-data and control signals into one stream over existing Internet Protocol LAN networks, in harmony with industry standards, ClearOne's patented StreamNet® solutions enable </w:t>
      </w:r>
      <w:r>
        <w:rPr>
          <w:rFonts w:ascii="Arial" w:cs="Arial" w:eastAsia="Arial" w:hAnsi="Arial"/>
          <w:sz w:val="19"/>
          <w:szCs w:val="19"/>
          <w:i w:val="1"/>
          <w:iCs w:val="1"/>
          <w:color w:val="auto"/>
        </w:rPr>
        <w:t>The Power of AV over IP™</w:t>
      </w:r>
      <w:r>
        <w:rPr>
          <w:rFonts w:ascii="Arial" w:cs="Arial" w:eastAsia="Arial" w:hAnsi="Arial"/>
          <w:sz w:val="19"/>
          <w:szCs w:val="19"/>
          <w:color w:val="auto"/>
        </w:rPr>
        <w:t xml:space="preserve"> for bourgeoning markets such as digital signage, and enterprise multimedia streaming. Also sold under the NetStreams residential brand are non-IP multimedia distribution solutions for economical multimedia residential streaming applications.</w:t>
      </w:r>
    </w:p>
    <w:p>
      <w:pPr>
        <w:sectPr>
          <w:pgSz w:w="11900" w:h="16838" w:orient="portrait"/>
          <w:cols w:equalWidth="0" w:num="1">
            <w:col w:w="10219"/>
          </w:cols>
          <w:pgMar w:left="240" w:top="111"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362" w:gutter="0" w:footer="0" w:header="0"/>
          <w:type w:val="continuous"/>
        </w:sectPr>
      </w:pPr>
    </w:p>
    <w:bookmarkStart w:id="3" w:name="page4"/>
    <w:bookmarkEnd w:id="3"/>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1179"/>
        <w:spacing w:after="0" w:line="236" w:lineRule="auto"/>
        <w:rPr>
          <w:sz w:val="20"/>
          <w:szCs w:val="20"/>
          <w:color w:val="auto"/>
        </w:rPr>
      </w:pPr>
      <w:r>
        <w:rPr>
          <w:rFonts w:ascii="Arial" w:cs="Arial" w:eastAsia="Arial" w:hAnsi="Arial"/>
          <w:sz w:val="22"/>
          <w:szCs w:val="22"/>
          <w:color w:val="auto"/>
        </w:rPr>
        <w:t>On September 6, 2011, ClearOne acquired the business of MagicBox, Inc., a leading manufacturer of hardware and software solutions delivering digital content and information to digital displays. Under the terms of an asset purchase agreement with MagicBox, Inc, an Oregon corporation, ClearOne paid approximately $980,000 in cash and acquired all the assets, including intellectual property, fixed assets and current assets and assumed no debt.</w:t>
      </w:r>
    </w:p>
    <w:p>
      <w:pPr>
        <w:spacing w:after="0" w:line="215" w:lineRule="exact"/>
        <w:rPr>
          <w:sz w:val="20"/>
          <w:szCs w:val="20"/>
          <w:color w:val="auto"/>
        </w:rPr>
      </w:pPr>
    </w:p>
    <w:p>
      <w:pPr>
        <w:ind w:right="1279"/>
        <w:spacing w:after="0" w:line="245" w:lineRule="auto"/>
        <w:rPr>
          <w:sz w:val="20"/>
          <w:szCs w:val="20"/>
          <w:color w:val="auto"/>
        </w:rPr>
      </w:pPr>
      <w:r>
        <w:rPr>
          <w:rFonts w:ascii="Arial" w:cs="Arial" w:eastAsia="Arial" w:hAnsi="Arial"/>
          <w:sz w:val="21"/>
          <w:szCs w:val="21"/>
          <w:color w:val="auto"/>
        </w:rPr>
        <w:t>MagicBox’s content management and control technology, along with its industry-leading database integration software are the perfect complement to ClearOne's StreamNet™ systems. The combined expertise of the two companies brings to the market the only complete, end-to-end digital signage content management, control and IP streaming solution. MagicBox and ClearOne have complementary products for a broad spectrum of applications. One of the single-most challenging requirements for any digital signage provider is the ability to distribute content over a LAN while maintaining control and scheduling alignment. StreamNet technology delivers low-latency HD distribution over IP which is an ideal fit with MagicBox's content creation, control, scheduling, database integration and digital signage domain expertise.</w:t>
      </w:r>
    </w:p>
    <w:p>
      <w:pPr>
        <w:spacing w:after="0" w:line="212" w:lineRule="exact"/>
        <w:rPr>
          <w:sz w:val="20"/>
          <w:szCs w:val="20"/>
          <w:color w:val="auto"/>
        </w:rPr>
      </w:pPr>
    </w:p>
    <w:p>
      <w:pPr>
        <w:ind w:right="1299"/>
        <w:spacing w:after="0" w:line="245" w:lineRule="auto"/>
        <w:rPr>
          <w:sz w:val="20"/>
          <w:szCs w:val="20"/>
          <w:color w:val="auto"/>
        </w:rPr>
      </w:pPr>
      <w:r>
        <w:rPr>
          <w:rFonts w:ascii="Arial" w:cs="Arial" w:eastAsia="Arial" w:hAnsi="Arial"/>
          <w:sz w:val="21"/>
          <w:szCs w:val="21"/>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 We also sell commercial products directly to dealers, systems integrators, value-added resellers and end-users. We sell our residential products through a global network of residential electronics dealers, system integrators and other value-added resellers.</w:t>
      </w:r>
    </w:p>
    <w:p>
      <w:pPr>
        <w:spacing w:after="0" w:line="209" w:lineRule="exact"/>
        <w:rPr>
          <w:sz w:val="20"/>
          <w:szCs w:val="20"/>
          <w:color w:val="auto"/>
        </w:rPr>
      </w:pPr>
    </w:p>
    <w:p>
      <w:pPr>
        <w:ind w:right="1179"/>
        <w:spacing w:after="0" w:line="287" w:lineRule="auto"/>
        <w:rPr>
          <w:sz w:val="20"/>
          <w:szCs w:val="20"/>
          <w:color w:val="auto"/>
        </w:rPr>
      </w:pPr>
      <w:r>
        <w:rPr>
          <w:rFonts w:ascii="Arial" w:cs="Arial" w:eastAsia="Arial" w:hAnsi="Arial"/>
          <w:sz w:val="19"/>
          <w:szCs w:val="19"/>
          <w:color w:val="auto"/>
        </w:rPr>
        <w:t>Our website address is 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w:t>
      </w:r>
    </w:p>
    <w:p>
      <w:pPr>
        <w:spacing w:after="0" w:line="170" w:lineRule="exact"/>
        <w:rPr>
          <w:sz w:val="20"/>
          <w:szCs w:val="20"/>
          <w:color w:val="auto"/>
        </w:rPr>
      </w:pPr>
    </w:p>
    <w:p>
      <w:pPr>
        <w:ind w:right="1279"/>
        <w:spacing w:after="0" w:line="251" w:lineRule="auto"/>
        <w:rPr>
          <w:sz w:val="20"/>
          <w:szCs w:val="20"/>
          <w:color w:val="auto"/>
        </w:rPr>
      </w:pPr>
      <w:r>
        <w:rPr>
          <w:rFonts w:ascii="Arial" w:cs="Arial" w:eastAsia="Arial" w:hAnsi="Arial"/>
          <w:sz w:val="22"/>
          <w:szCs w:val="22"/>
          <w:color w:val="auto"/>
        </w:rPr>
        <w:t>For a discussion of certain risks applicable to our business, results of operations, financial position, and liquidity see the risk factors described in “Item 1A, Risk Factors” below.</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Strategy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currently participate in the following markets:</w:t>
      </w:r>
    </w:p>
    <w:p>
      <w:pPr>
        <w:ind w:left="620" w:hanging="288"/>
        <w:spacing w:after="0" w:line="238"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Professional audiovisual;</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Unified communications including telephony;</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Multimedia streaming and control; and</w:t>
      </w: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Digital signage.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Our business goals are to:</w:t>
      </w:r>
    </w:p>
    <w:p>
      <w:pPr>
        <w:spacing w:after="0" w:line="8" w:lineRule="exact"/>
        <w:rPr>
          <w:sz w:val="20"/>
          <w:szCs w:val="20"/>
          <w:color w:val="auto"/>
        </w:rPr>
      </w:pPr>
    </w:p>
    <w:p>
      <w:pPr>
        <w:ind w:left="660" w:right="137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Maintain our leading global market share in professional audio conferencing products for large businesses and organizations;</w:t>
      </w:r>
    </w:p>
    <w:p>
      <w:pPr>
        <w:spacing w:after="0" w:line="1" w:lineRule="exact"/>
        <w:rPr>
          <w:rFonts w:ascii="Arial" w:cs="Arial" w:eastAsia="Arial" w:hAnsi="Arial"/>
          <w:sz w:val="22"/>
          <w:szCs w:val="22"/>
          <w:color w:val="auto"/>
        </w:rPr>
      </w:pPr>
    </w:p>
    <w:p>
      <w:pPr>
        <w:ind w:left="660" w:right="115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Focus on the small and medium business (SMB) market with scaled, lower cost and less complex products and solutions;</w:t>
      </w:r>
    </w:p>
    <w:p>
      <w:pPr>
        <w:spacing w:after="0" w:line="1" w:lineRule="exact"/>
        <w:rPr>
          <w:rFonts w:ascii="Arial" w:cs="Arial" w:eastAsia="Arial" w:hAnsi="Arial"/>
          <w:sz w:val="22"/>
          <w:szCs w:val="22"/>
          <w:color w:val="auto"/>
        </w:rPr>
      </w:pPr>
    </w:p>
    <w:p>
      <w:pPr>
        <w:ind w:left="660" w:right="171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Capitalize on the growing adoption of unified communications and introduce new products through emerging information technology channels;</w:t>
      </w:r>
    </w:p>
    <w:p>
      <w:pPr>
        <w:spacing w:after="0" w:line="1" w:lineRule="exact"/>
        <w:rPr>
          <w:rFonts w:ascii="Arial" w:cs="Arial" w:eastAsia="Arial" w:hAnsi="Arial"/>
          <w:sz w:val="22"/>
          <w:szCs w:val="22"/>
          <w:color w:val="auto"/>
        </w:rPr>
      </w:pPr>
    </w:p>
    <w:p>
      <w:pPr>
        <w:ind w:left="660" w:right="115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Partner with large enterprise communications providers worldwide to bring value-added products to their solution portfolios and channels;</w:t>
      </w:r>
    </w:p>
    <w:p>
      <w:pPr>
        <w:spacing w:after="0" w:line="1" w:lineRule="exact"/>
        <w:rPr>
          <w:rFonts w:ascii="Arial" w:cs="Arial" w:eastAsia="Arial" w:hAnsi="Arial"/>
          <w:sz w:val="22"/>
          <w:szCs w:val="22"/>
          <w:color w:val="auto"/>
        </w:rPr>
      </w:pPr>
    </w:p>
    <w:p>
      <w:pPr>
        <w:ind w:left="660" w:right="1559" w:hanging="328"/>
        <w:spacing w:after="0" w:line="241" w:lineRule="auto"/>
        <w:tabs>
          <w:tab w:leader="none" w:pos="633" w:val="left"/>
        </w:tabs>
        <w:numPr>
          <w:ilvl w:val="0"/>
          <w:numId w:val="3"/>
        </w:numPr>
        <w:rPr>
          <w:rFonts w:ascii="Arial" w:cs="Arial" w:eastAsia="Arial" w:hAnsi="Arial"/>
          <w:sz w:val="21"/>
          <w:szCs w:val="21"/>
          <w:color w:val="auto"/>
        </w:rPr>
      </w:pPr>
      <w:r>
        <w:rPr>
          <w:rFonts w:ascii="Arial" w:cs="Arial" w:eastAsia="Arial" w:hAnsi="Arial"/>
          <w:sz w:val="21"/>
          <w:szCs w:val="21"/>
          <w:color w:val="auto"/>
        </w:rPr>
        <w:t>Capitalize on the convergence of AV over IP by integrating NetStreams and ClearOne core technologies to provide new solutions that reach deeper into the enterprise infrastructure and bring clear, differentiated value to our customers; and</w:t>
      </w:r>
    </w:p>
    <w:p>
      <w:pPr>
        <w:spacing w:after="0" w:line="1" w:lineRule="exact"/>
        <w:rPr>
          <w:rFonts w:ascii="Arial" w:cs="Arial" w:eastAsia="Arial" w:hAnsi="Arial"/>
          <w:sz w:val="21"/>
          <w:szCs w:val="21"/>
          <w:color w:val="auto"/>
        </w:rPr>
      </w:pPr>
    </w:p>
    <w:p>
      <w:pPr>
        <w:ind w:left="660" w:right="1399" w:hanging="328"/>
        <w:spacing w:after="0" w:line="256" w:lineRule="auto"/>
        <w:tabs>
          <w:tab w:leader="none" w:pos="633" w:val="left"/>
        </w:tabs>
        <w:numPr>
          <w:ilvl w:val="0"/>
          <w:numId w:val="3"/>
        </w:numPr>
        <w:rPr>
          <w:rFonts w:ascii="Arial" w:cs="Arial" w:eastAsia="Arial" w:hAnsi="Arial"/>
          <w:sz w:val="21"/>
          <w:szCs w:val="21"/>
          <w:color w:val="auto"/>
        </w:rPr>
      </w:pPr>
      <w:r>
        <w:rPr>
          <w:rFonts w:ascii="Arial" w:cs="Arial" w:eastAsia="Arial" w:hAnsi="Arial"/>
          <w:sz w:val="21"/>
          <w:szCs w:val="21"/>
          <w:color w:val="auto"/>
        </w:rPr>
        <w:t>Leverage ClearOne’s unique position as the only solution provider to offer a complete, end-to-end digital signage, content management, control and IP streaming solution.</w:t>
      </w:r>
    </w:p>
    <w:p>
      <w:pPr>
        <w:spacing w:after="0" w:line="196" w:lineRule="exact"/>
        <w:rPr>
          <w:sz w:val="20"/>
          <w:szCs w:val="20"/>
          <w:color w:val="auto"/>
        </w:rPr>
      </w:pPr>
    </w:p>
    <w:p>
      <w:pPr>
        <w:ind w:right="1819"/>
        <w:spacing w:after="0" w:line="328" w:lineRule="auto"/>
        <w:rPr>
          <w:sz w:val="20"/>
          <w:szCs w:val="20"/>
          <w:color w:val="auto"/>
        </w:rPr>
      </w:pPr>
      <w:r>
        <w:rPr>
          <w:rFonts w:ascii="Arial" w:cs="Arial" w:eastAsia="Arial" w:hAnsi="Arial"/>
          <w:sz w:val="19"/>
          <w:szCs w:val="19"/>
          <w:color w:val="auto"/>
        </w:rPr>
        <w:t>We will continue to improve our existing high-quality products and develop new products for the bourgeoning conferencing, collaboration, multimedia streaming, and digital signage markets.</w:t>
      </w:r>
    </w:p>
    <w:p>
      <w:pPr>
        <w:sectPr>
          <w:pgSz w:w="11900" w:h="16838" w:orient="portrait"/>
          <w:cols w:equalWidth="0" w:num="1">
            <w:col w:w="10219"/>
          </w:cols>
          <w:pgMar w:left="240" w:top="112" w:right="1440" w:bottom="824" w:gutter="0" w:footer="0" w:header="0"/>
        </w:sectPr>
      </w:pPr>
    </w:p>
    <w:bookmarkStart w:id="4" w:name="page5"/>
    <w:bookmarkEnd w:id="4"/>
    <w:p>
      <w:pPr>
        <w:ind w:left="3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2</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576326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Provide a superior conferencing and collaboration experience</w:t>
      </w:r>
    </w:p>
    <w:p>
      <w:pPr>
        <w:spacing w:after="0" w:line="98" w:lineRule="exact"/>
        <w:rPr>
          <w:sz w:val="20"/>
          <w:szCs w:val="20"/>
          <w:color w:val="auto"/>
        </w:rPr>
      </w:pPr>
    </w:p>
    <w:p>
      <w:pPr>
        <w:ind w:right="1239"/>
        <w:spacing w:after="0" w:line="282" w:lineRule="auto"/>
        <w:rPr>
          <w:sz w:val="20"/>
          <w:szCs w:val="20"/>
          <w:color w:val="auto"/>
        </w:rPr>
      </w:pPr>
      <w:r>
        <w:rPr>
          <w:rFonts w:ascii="Arial" w:cs="Arial" w:eastAsia="Arial" w:hAnsi="Arial"/>
          <w:sz w:val="19"/>
          <w:szCs w:val="19"/>
          <w:color w:val="auto"/>
        </w:rPr>
        <w:t>We have been developing audio technologies since 1981 and believe we have established a worldwide reputation for providing some of the highest quality group audio conferencing solutions in the marketplace. Our proprietary and advanced audio signal processing technologies, including our HDConference® technology, have been the core of our professional conferencing products and serve as the foundation for our new product development in other conferencing categories.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Provide significant impact on how multimedia and control are distributed</w:t>
      </w:r>
    </w:p>
    <w:p>
      <w:pPr>
        <w:spacing w:after="0" w:line="98" w:lineRule="exact"/>
        <w:rPr>
          <w:sz w:val="20"/>
          <w:szCs w:val="20"/>
          <w:color w:val="auto"/>
        </w:rPr>
      </w:pPr>
    </w:p>
    <w:p>
      <w:pPr>
        <w:ind w:right="1199"/>
        <w:spacing w:after="0" w:line="275" w:lineRule="auto"/>
        <w:rPr>
          <w:sz w:val="20"/>
          <w:szCs w:val="20"/>
          <w:color w:val="auto"/>
        </w:rPr>
      </w:pPr>
      <w:r>
        <w:rPr>
          <w:rFonts w:ascii="Arial" w:cs="Arial" w:eastAsia="Arial" w:hAnsi="Arial"/>
          <w:sz w:val="19"/>
          <w:szCs w:val="19"/>
          <w:color w:val="auto"/>
        </w:rPr>
        <w:t xml:space="preserve">We believe ClearOne’s innovative approach of bringing together networking technology with audio and video streaming and control over these technologies has the potential to bring about a significant change in the audio and video industry and beyond. We believe the benefits and features that only networked digital multimedia can offer will change and enhance the user experience. Our multimedia streaming products incorporate StreamNet® technology and </w:t>
      </w:r>
      <w:r>
        <w:rPr>
          <w:rFonts w:ascii="Arial" w:cs="Arial" w:eastAsia="Arial" w:hAnsi="Arial"/>
          <w:sz w:val="19"/>
          <w:szCs w:val="19"/>
          <w:i w:val="1"/>
          <w:iCs w:val="1"/>
          <w:color w:val="auto"/>
        </w:rPr>
        <w:t>Perfect Pixel™</w:t>
      </w:r>
      <w:r>
        <w:rPr>
          <w:rFonts w:ascii="Arial" w:cs="Arial" w:eastAsia="Arial" w:hAnsi="Arial"/>
          <w:sz w:val="19"/>
          <w:szCs w:val="19"/>
          <w:color w:val="auto"/>
        </w:rPr>
        <w:t>, our newly patented advanced algorithms for audio and video packet delivery optimization and error concealment, which ensure reliable delivery and eliminate dropped content across the IP based LAN network with near perfect delivery synchronization, to within one millisecond for all endpoints.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Offer greater value to our customers and partners</w:t>
      </w:r>
    </w:p>
    <w:p>
      <w:pPr>
        <w:spacing w:after="0" w:line="98" w:lineRule="exact"/>
        <w:rPr>
          <w:sz w:val="20"/>
          <w:szCs w:val="20"/>
          <w:color w:val="auto"/>
        </w:rPr>
      </w:pPr>
    </w:p>
    <w:p>
      <w:pPr>
        <w:ind w:right="1139"/>
        <w:spacing w:after="0" w:line="251" w:lineRule="auto"/>
        <w:rPr>
          <w:sz w:val="20"/>
          <w:szCs w:val="20"/>
          <w:color w:val="auto"/>
        </w:rPr>
      </w:pPr>
      <w:r>
        <w:rPr>
          <w:rFonts w:ascii="Arial" w:cs="Arial" w:eastAsia="Arial" w:hAnsi="Arial"/>
          <w:sz w:val="22"/>
          <w:szCs w:val="22"/>
          <w:color w:val="auto"/>
        </w:rPr>
        <w:t>To provide our customers and partners with products that offer high value, we are focused on listening to our customers and partners and delivering products to meet their needs.</w:t>
      </w:r>
    </w:p>
    <w:p>
      <w:pPr>
        <w:spacing w:after="0" w:line="200" w:lineRule="exact"/>
        <w:rPr>
          <w:sz w:val="20"/>
          <w:szCs w:val="20"/>
          <w:color w:val="auto"/>
        </w:rPr>
      </w:pPr>
    </w:p>
    <w:p>
      <w:pPr>
        <w:ind w:right="1299"/>
        <w:spacing w:after="0" w:line="279" w:lineRule="auto"/>
        <w:rPr>
          <w:sz w:val="20"/>
          <w:szCs w:val="20"/>
          <w:color w:val="auto"/>
        </w:rPr>
      </w:pPr>
      <w:r>
        <w:rPr>
          <w:rFonts w:ascii="Arial" w:cs="Arial" w:eastAsia="Arial" w:hAnsi="Arial"/>
          <w:sz w:val="19"/>
          <w:szCs w:val="19"/>
          <w:color w:val="auto"/>
        </w:rPr>
        <w:t>By offering high quality products designed to solve conferencing and collaboration ease-of-use issues, that are easy to install, configure, and maintain, we believe we can provide greater value to our customers and partners to enhance business communications and decision making. Our new networked multimedia streaming and control products offer significant cost savings by offering a non-centralized, edge of the network architecture, that uses existing networking infrastructure to deliver consistent high quality multimedia streaming which is easy to install, maintain and scale.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Leverage and extend ClearOne technology leadership and innovation</w:t>
      </w:r>
    </w:p>
    <w:p>
      <w:pPr>
        <w:spacing w:after="0" w:line="98" w:lineRule="exact"/>
        <w:rPr>
          <w:sz w:val="20"/>
          <w:szCs w:val="20"/>
          <w:color w:val="auto"/>
        </w:rPr>
      </w:pPr>
    </w:p>
    <w:p>
      <w:pPr>
        <w:ind w:right="1179"/>
        <w:spacing w:after="0" w:line="245" w:lineRule="auto"/>
        <w:rPr>
          <w:sz w:val="20"/>
          <w:szCs w:val="20"/>
          <w:color w:val="auto"/>
        </w:rPr>
      </w:pPr>
      <w:r>
        <w:rPr>
          <w:rFonts w:ascii="Arial" w:cs="Arial" w:eastAsia="Arial" w:hAnsi="Arial"/>
          <w:sz w:val="21"/>
          <w:szCs w:val="21"/>
          <w:color w:val="auto"/>
        </w:rPr>
        <w:t>We continue to focus on developing cutting edge conferencing and collaboration products and are committed to incorporating the latest technologies into our new and existing product lines. Key to this effort is adopting emerging technologies and leveraging advancements in existing technologies, such as Voice over Internet Protocol (VoIP), wideband audio, wireless connectivity, convergence of voice and data networks, exploring new application models for our mid-tier premium products and affordable personal audio conferencing technologies, and developing products based on internationally accepted standards and protocols. With the acquisition of MagicBox, ClearOne is working to leverage its digital signage technology to increase its market share in its existing channels and enter new and larger markets and channels.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Expand and strengthen sales channels</w:t>
      </w:r>
    </w:p>
    <w:p>
      <w:pPr>
        <w:spacing w:after="0" w:line="98" w:lineRule="exact"/>
        <w:rPr>
          <w:sz w:val="20"/>
          <w:szCs w:val="20"/>
          <w:color w:val="auto"/>
        </w:rPr>
      </w:pPr>
    </w:p>
    <w:p>
      <w:pPr>
        <w:ind w:right="1139"/>
        <w:spacing w:after="0" w:line="272" w:lineRule="auto"/>
        <w:rPr>
          <w:sz w:val="20"/>
          <w:szCs w:val="20"/>
          <w:color w:val="auto"/>
        </w:rPr>
      </w:pPr>
      <w:r>
        <w:rPr>
          <w:rFonts w:ascii="Arial" w:cs="Arial" w:eastAsia="Arial" w:hAnsi="Arial"/>
          <w:sz w:val="19"/>
          <w:szCs w:val="19"/>
          <w:color w:val="auto"/>
        </w:rPr>
        <w:t>We continue to expand and strengthen domestic and international sales channels. New sales channel development includes three initiatives. First, we continue to increase sales channel partner coverage in developing economies including the Asia Pacific, South Asia, and Eastern Europe. Second, to expand beyond our traditional audio video channels that carry our high end professionally installed conferencing products, we continue to direct significant sales efforts toward the development of channel partners who are focused on the information technology (IT) market for the sales of our latest VoIP, USB, and unified communications-enabled conferencing products. The IT channel includes resellers and integrators of unified communications products compatible with Avaya, IBM, Microsoft®, and other unified communications platforms, as well as telephony products. Third, we will focus on offering scaled solutions to address the needs of the small and medium business (SMB) market and the associated resellers and channels suited to sell our mid-tier premium and affordable personal conferencing and collaboration products, including products certified for Skype and other SMB web based services.</w:t>
      </w:r>
    </w:p>
    <w:p>
      <w:pPr>
        <w:spacing w:after="0" w:line="189" w:lineRule="exact"/>
        <w:rPr>
          <w:sz w:val="20"/>
          <w:szCs w:val="20"/>
          <w:color w:val="auto"/>
        </w:rPr>
      </w:pPr>
    </w:p>
    <w:p>
      <w:pPr>
        <w:ind w:right="1179"/>
        <w:spacing w:after="0" w:line="282" w:lineRule="auto"/>
        <w:rPr>
          <w:sz w:val="20"/>
          <w:szCs w:val="20"/>
          <w:color w:val="auto"/>
        </w:rPr>
      </w:pPr>
      <w:r>
        <w:rPr>
          <w:rFonts w:ascii="Arial" w:cs="Arial" w:eastAsia="Arial" w:hAnsi="Arial"/>
          <w:sz w:val="19"/>
          <w:szCs w:val="19"/>
          <w:color w:val="auto"/>
        </w:rPr>
        <w:t>We will also continue to introduce our commercial networked multimedia streaming and control products and our digital signage content management and IP streaming solutions into our existing global professional AV sales channels. We will continue to invest in the necessary resources for the further development of training, certification, technical sales and product support programs and services for these new products to increase adoption of this solution portfolio through this existing channel.</w:t>
      </w:r>
    </w:p>
    <w:p>
      <w:pPr>
        <w:sectPr>
          <w:pgSz w:w="11900" w:h="16838" w:orient="portrait"/>
          <w:cols w:equalWidth="0" w:num="1">
            <w:col w:w="10219"/>
          </w:cols>
          <w:pgMar w:left="240" w:top="111" w:right="1440" w:bottom="813" w:gutter="0" w:footer="0" w:header="0"/>
        </w:sectPr>
      </w:pPr>
    </w:p>
    <w:bookmarkStart w:id="6" w:name="page7"/>
    <w:bookmarkEnd w:id="6"/>
    <w:p>
      <w:pPr>
        <w:ind w:left="3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3</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576326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Broaden our product offerings</w:t>
      </w:r>
    </w:p>
    <w:p>
      <w:pPr>
        <w:spacing w:after="0" w:line="98" w:lineRule="exact"/>
        <w:rPr>
          <w:sz w:val="20"/>
          <w:szCs w:val="20"/>
          <w:color w:val="auto"/>
        </w:rPr>
      </w:pPr>
    </w:p>
    <w:p>
      <w:pPr>
        <w:ind w:right="1219"/>
        <w:spacing w:after="0" w:line="238" w:lineRule="auto"/>
        <w:rPr>
          <w:sz w:val="20"/>
          <w:szCs w:val="20"/>
          <w:color w:val="auto"/>
        </w:rPr>
      </w:pPr>
      <w:r>
        <w:rPr>
          <w:rFonts w:ascii="Arial" w:cs="Arial" w:eastAsia="Arial" w:hAnsi="Arial"/>
          <w:sz w:val="22"/>
          <w:szCs w:val="22"/>
          <w:color w:val="auto"/>
        </w:rPr>
        <w:t>We believe we offer the industry’s most complete audio conferencing product line. With our StreamNet multimedia technology and our MagicBox digital signage solutions, end-users can conference, stream audio and video and create custom content on common platforms. Our consolidated, unified multimedia communication options include:</w:t>
      </w:r>
    </w:p>
    <w:p>
      <w:pPr>
        <w:spacing w:after="0" w:line="212" w:lineRule="exact"/>
        <w:rPr>
          <w:sz w:val="20"/>
          <w:szCs w:val="20"/>
          <w:color w:val="auto"/>
        </w:rPr>
      </w:pPr>
    </w:p>
    <w:p>
      <w:pPr>
        <w:ind w:left="660" w:right="1199" w:hanging="328"/>
        <w:spacing w:after="0" w:line="236" w:lineRule="auto"/>
        <w:tabs>
          <w:tab w:leader="none" w:pos="633" w:val="left"/>
        </w:tabs>
        <w:numPr>
          <w:ilvl w:val="0"/>
          <w:numId w:val="4"/>
        </w:numPr>
        <w:rPr>
          <w:rFonts w:ascii="Arial" w:cs="Arial" w:eastAsia="Arial" w:hAnsi="Arial"/>
          <w:sz w:val="22"/>
          <w:szCs w:val="22"/>
          <w:color w:val="auto"/>
        </w:rPr>
      </w:pPr>
      <w:r>
        <w:rPr>
          <w:rFonts w:ascii="Arial" w:cs="Arial" w:eastAsia="Arial" w:hAnsi="Arial"/>
          <w:sz w:val="22"/>
          <w:szCs w:val="22"/>
          <w:color w:val="auto"/>
        </w:rPr>
        <w:t>Professional conferencing products used in large businesses and organizations such as enterprise, healthcare, education and distance learning, government, legal and finance organizations that integrate with leading video conferencing systems;</w:t>
      </w:r>
    </w:p>
    <w:p>
      <w:pPr>
        <w:spacing w:after="0" w:line="1" w:lineRule="exact"/>
        <w:rPr>
          <w:rFonts w:ascii="Arial" w:cs="Arial" w:eastAsia="Arial" w:hAnsi="Arial"/>
          <w:sz w:val="22"/>
          <w:szCs w:val="22"/>
          <w:color w:val="auto"/>
        </w:rPr>
      </w:pPr>
    </w:p>
    <w:p>
      <w:pPr>
        <w:ind w:left="660" w:right="1159" w:hanging="328"/>
        <w:spacing w:after="0" w:line="230" w:lineRule="auto"/>
        <w:tabs>
          <w:tab w:leader="none" w:pos="633" w:val="left"/>
        </w:tabs>
        <w:numPr>
          <w:ilvl w:val="0"/>
          <w:numId w:val="4"/>
        </w:numPr>
        <w:rPr>
          <w:rFonts w:ascii="Arial" w:cs="Arial" w:eastAsia="Arial" w:hAnsi="Arial"/>
          <w:sz w:val="22"/>
          <w:szCs w:val="22"/>
          <w:color w:val="auto"/>
        </w:rPr>
      </w:pPr>
      <w:r>
        <w:rPr>
          <w:rFonts w:ascii="Arial" w:cs="Arial" w:eastAsia="Arial" w:hAnsi="Arial"/>
          <w:sz w:val="22"/>
          <w:szCs w:val="22"/>
          <w:color w:val="auto"/>
        </w:rPr>
        <w:t>Premium conferencing products that are also scaled for smaller conferencing rooms and for small and medium businesses which integrate with leading video and web conferencing systems and applications;</w:t>
      </w:r>
    </w:p>
    <w:p>
      <w:pPr>
        <w:spacing w:after="0" w:line="2"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Traditional tabletop conferencing phones used in conference rooms and offices;</w:t>
      </w:r>
    </w:p>
    <w:p>
      <w:pPr>
        <w:ind w:left="660" w:right="1319" w:hanging="328"/>
        <w:spacing w:after="0" w:line="267" w:lineRule="auto"/>
        <w:tabs>
          <w:tab w:leader="none" w:pos="633" w:val="left"/>
        </w:tabs>
        <w:numPr>
          <w:ilvl w:val="0"/>
          <w:numId w:val="4"/>
        </w:numPr>
        <w:rPr>
          <w:rFonts w:ascii="Arial" w:cs="Arial" w:eastAsia="Arial" w:hAnsi="Arial"/>
          <w:sz w:val="19"/>
          <w:szCs w:val="19"/>
          <w:color w:val="auto"/>
        </w:rPr>
      </w:pPr>
      <w:r>
        <w:rPr>
          <w:rFonts w:ascii="Arial" w:cs="Arial" w:eastAsia="Arial" w:hAnsi="Arial"/>
          <w:sz w:val="19"/>
          <w:szCs w:val="19"/>
          <w:color w:val="auto"/>
        </w:rPr>
        <w:t>Personal conferencing products that enable affordable hands-free audio communications in new ways such as through PCs and portable laptops, tablets, smartphones and handsets;</w:t>
      </w:r>
    </w:p>
    <w:p>
      <w:pPr>
        <w:ind w:left="660" w:right="1459" w:hanging="328"/>
        <w:spacing w:after="0" w:line="230" w:lineRule="auto"/>
        <w:tabs>
          <w:tab w:leader="none" w:pos="633" w:val="left"/>
        </w:tabs>
        <w:numPr>
          <w:ilvl w:val="0"/>
          <w:numId w:val="4"/>
        </w:numPr>
        <w:rPr>
          <w:rFonts w:ascii="Arial" w:cs="Arial" w:eastAsia="Arial" w:hAnsi="Arial"/>
          <w:sz w:val="22"/>
          <w:szCs w:val="22"/>
          <w:color w:val="auto"/>
        </w:rPr>
      </w:pPr>
      <w:r>
        <w:rPr>
          <w:rFonts w:ascii="Arial" w:cs="Arial" w:eastAsia="Arial" w:hAnsi="Arial"/>
          <w:sz w:val="22"/>
          <w:szCs w:val="22"/>
          <w:color w:val="auto"/>
        </w:rPr>
        <w:t>COLLABORATE™ is an all-in-one voice, video and data collaboration solution, designed for organizations using unified communications or popular cloud video conferencing services delivering plug-and-play simplicity;</w:t>
      </w:r>
    </w:p>
    <w:p>
      <w:pPr>
        <w:spacing w:after="0" w:line="2" w:lineRule="exact"/>
        <w:rPr>
          <w:rFonts w:ascii="Arial" w:cs="Arial" w:eastAsia="Arial" w:hAnsi="Arial"/>
          <w:sz w:val="22"/>
          <w:szCs w:val="22"/>
          <w:color w:val="auto"/>
        </w:rPr>
      </w:pPr>
    </w:p>
    <w:p>
      <w:pPr>
        <w:ind w:left="660" w:right="1619" w:hanging="328"/>
        <w:spacing w:after="0" w:line="230" w:lineRule="auto"/>
        <w:tabs>
          <w:tab w:leader="none" w:pos="633" w:val="left"/>
        </w:tabs>
        <w:numPr>
          <w:ilvl w:val="0"/>
          <w:numId w:val="4"/>
        </w:numPr>
        <w:rPr>
          <w:rFonts w:ascii="Arial" w:cs="Arial" w:eastAsia="Arial" w:hAnsi="Arial"/>
          <w:sz w:val="22"/>
          <w:szCs w:val="22"/>
          <w:color w:val="auto"/>
        </w:rPr>
      </w:pPr>
      <w:r>
        <w:rPr>
          <w:rFonts w:ascii="Arial" w:cs="Arial" w:eastAsia="Arial" w:hAnsi="Arial"/>
          <w:sz w:val="22"/>
          <w:szCs w:val="22"/>
          <w:color w:val="auto"/>
        </w:rPr>
        <w:t>A full line of networked audio video multimedia distribution and control for a wide range of commercial and residential applications;</w:t>
      </w:r>
    </w:p>
    <w:p>
      <w:pPr>
        <w:spacing w:after="0" w:line="1" w:lineRule="exact"/>
        <w:rPr>
          <w:rFonts w:ascii="Arial" w:cs="Arial" w:eastAsia="Arial" w:hAnsi="Arial"/>
          <w:sz w:val="22"/>
          <w:szCs w:val="22"/>
          <w:color w:val="auto"/>
        </w:rPr>
      </w:pPr>
    </w:p>
    <w:p>
      <w:pPr>
        <w:ind w:left="660" w:right="1439" w:hanging="328"/>
        <w:spacing w:after="0" w:line="230" w:lineRule="auto"/>
        <w:tabs>
          <w:tab w:leader="none" w:pos="633" w:val="left"/>
        </w:tabs>
        <w:numPr>
          <w:ilvl w:val="0"/>
          <w:numId w:val="4"/>
        </w:numPr>
        <w:rPr>
          <w:rFonts w:ascii="Arial" w:cs="Arial" w:eastAsia="Arial" w:hAnsi="Arial"/>
          <w:sz w:val="22"/>
          <w:szCs w:val="22"/>
          <w:color w:val="auto"/>
        </w:rPr>
      </w:pPr>
      <w:r>
        <w:rPr>
          <w:rFonts w:ascii="Arial" w:cs="Arial" w:eastAsia="Arial" w:hAnsi="Arial"/>
          <w:sz w:val="22"/>
          <w:szCs w:val="22"/>
          <w:color w:val="auto"/>
        </w:rPr>
        <w:t>MagicBox media players, content creation, scheduling and database integration that deliver an end-to-end digital signage content management; and</w:t>
      </w:r>
    </w:p>
    <w:p>
      <w:pPr>
        <w:spacing w:after="0" w:line="1" w:lineRule="exact"/>
        <w:rPr>
          <w:rFonts w:ascii="Arial" w:cs="Arial" w:eastAsia="Arial" w:hAnsi="Arial"/>
          <w:sz w:val="22"/>
          <w:szCs w:val="22"/>
          <w:color w:val="auto"/>
        </w:rPr>
      </w:pPr>
    </w:p>
    <w:p>
      <w:pPr>
        <w:ind w:left="660" w:right="2259" w:hanging="328"/>
        <w:spacing w:after="0" w:line="256" w:lineRule="auto"/>
        <w:tabs>
          <w:tab w:leader="none" w:pos="633" w:val="left"/>
        </w:tabs>
        <w:numPr>
          <w:ilvl w:val="0"/>
          <w:numId w:val="4"/>
        </w:numPr>
        <w:rPr>
          <w:rFonts w:ascii="Arial" w:cs="Arial" w:eastAsia="Arial" w:hAnsi="Arial"/>
          <w:sz w:val="21"/>
          <w:szCs w:val="21"/>
          <w:color w:val="auto"/>
        </w:rPr>
      </w:pPr>
      <w:r>
        <w:rPr>
          <w:rFonts w:ascii="Arial" w:cs="Arial" w:eastAsia="Arial" w:hAnsi="Arial"/>
          <w:sz w:val="21"/>
          <w:szCs w:val="21"/>
          <w:color w:val="auto"/>
        </w:rPr>
        <w:t>A comprehensive portfolio of media carts that provide equipment mobility and make conferencing equipment, including our own, easy to access and use.</w:t>
      </w:r>
    </w:p>
    <w:p>
      <w:pPr>
        <w:spacing w:after="0" w:line="196" w:lineRule="exact"/>
        <w:rPr>
          <w:sz w:val="20"/>
          <w:szCs w:val="20"/>
          <w:color w:val="auto"/>
        </w:rPr>
      </w:pPr>
    </w:p>
    <w:p>
      <w:pPr>
        <w:ind w:right="1319"/>
        <w:spacing w:after="0"/>
        <w:rPr>
          <w:sz w:val="20"/>
          <w:szCs w:val="20"/>
          <w:color w:val="auto"/>
        </w:rPr>
      </w:pPr>
      <w:r>
        <w:rPr>
          <w:rFonts w:ascii="Arial" w:cs="Arial" w:eastAsia="Arial" w:hAnsi="Arial"/>
          <w:sz w:val="22"/>
          <w:szCs w:val="22"/>
          <w:color w:val="auto"/>
        </w:rPr>
        <w:t>We plan to continue to broaden our product offerings to meet the evolving needs of our customers, partners and sales channels to address changes in the markets we currently serve, and effectively target new markets for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Develop strategic partnerships</w:t>
      </w:r>
    </w:p>
    <w:p>
      <w:pPr>
        <w:spacing w:after="0" w:line="98" w:lineRule="exact"/>
        <w:rPr>
          <w:sz w:val="20"/>
          <w:szCs w:val="20"/>
          <w:color w:val="auto"/>
        </w:rPr>
      </w:pPr>
    </w:p>
    <w:p>
      <w:pPr>
        <w:ind w:right="1199"/>
        <w:spacing w:after="0" w:line="246" w:lineRule="auto"/>
        <w:rPr>
          <w:sz w:val="20"/>
          <w:szCs w:val="20"/>
          <w:color w:val="auto"/>
        </w:rPr>
      </w:pPr>
      <w:r>
        <w:rPr>
          <w:rFonts w:ascii="Arial" w:cs="Arial" w:eastAsia="Arial" w:hAnsi="Arial"/>
          <w:sz w:val="21"/>
          <w:szCs w:val="21"/>
          <w:color w:val="auto"/>
        </w:rPr>
        <w:t>To stay on the leading edge of product and market development, we plan to continue to identify partners with expertise in areas strategic to our growth objectives. We will work to develop partnerships with leaders in markets complementary to our products who can benefit from our products and technologies, and through whom we can access new market growth opportunities.</w:t>
      </w:r>
    </w:p>
    <w:p>
      <w:pPr>
        <w:ind w:left="660" w:right="1339" w:hanging="328"/>
        <w:spacing w:after="0" w:line="230" w:lineRule="auto"/>
        <w:tabs>
          <w:tab w:leader="none" w:pos="633" w:val="left"/>
        </w:tabs>
        <w:numPr>
          <w:ilvl w:val="0"/>
          <w:numId w:val="5"/>
        </w:numPr>
        <w:rPr>
          <w:rFonts w:ascii="Arial" w:cs="Arial" w:eastAsia="Arial" w:hAnsi="Arial"/>
          <w:sz w:val="22"/>
          <w:szCs w:val="22"/>
          <w:color w:val="auto"/>
        </w:rPr>
      </w:pPr>
      <w:r>
        <w:rPr>
          <w:rFonts w:ascii="Arial" w:cs="Arial" w:eastAsia="Arial" w:hAnsi="Arial"/>
          <w:sz w:val="22"/>
          <w:szCs w:val="22"/>
          <w:color w:val="auto"/>
        </w:rPr>
        <w:t>We continue to offer conferencing products suited to leading systems and applications provided by Avaya, Cisco, Crestron, IBM, Microsoft, Mitel and Skype;</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We have entered into channel partnerships with Ingram Micro, Synnex and others; and</w:t>
      </w: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We have interoperability, web collaboration and integration partners.</w:t>
      </w:r>
    </w:p>
    <w:p>
      <w:pPr>
        <w:spacing w:after="0" w:line="215" w:lineRule="exact"/>
        <w:rPr>
          <w:sz w:val="20"/>
          <w:szCs w:val="20"/>
          <w:color w:val="auto"/>
        </w:rPr>
      </w:pPr>
    </w:p>
    <w:p>
      <w:pPr>
        <w:ind w:right="1459"/>
        <w:spacing w:after="0" w:line="236" w:lineRule="auto"/>
        <w:rPr>
          <w:sz w:val="20"/>
          <w:szCs w:val="20"/>
          <w:color w:val="auto"/>
        </w:rPr>
      </w:pPr>
      <w:r>
        <w:rPr>
          <w:rFonts w:ascii="Arial" w:cs="Arial" w:eastAsia="Arial" w:hAnsi="Arial"/>
          <w:sz w:val="22"/>
          <w:szCs w:val="22"/>
          <w:color w:val="auto"/>
        </w:rPr>
        <w:t>We plan to broaden the application and adoption of our patented StreamNet technology by partnering with other market participants through technology licensing, joint product development, and co-marketing activities and agreements.</w:t>
      </w:r>
    </w:p>
    <w:p>
      <w:pPr>
        <w:spacing w:after="0" w:line="1" w:lineRule="exact"/>
        <w:rPr>
          <w:sz w:val="20"/>
          <w:szCs w:val="20"/>
          <w:color w:val="auto"/>
        </w:rPr>
      </w:pPr>
    </w:p>
    <w:p>
      <w:pPr>
        <w:ind w:left="660" w:right="1239" w:hanging="328"/>
        <w:spacing w:after="0" w:line="241" w:lineRule="auto"/>
        <w:tabs>
          <w:tab w:leader="none" w:pos="633" w:val="left"/>
        </w:tabs>
        <w:numPr>
          <w:ilvl w:val="0"/>
          <w:numId w:val="6"/>
        </w:numPr>
        <w:rPr>
          <w:rFonts w:ascii="Arial" w:cs="Arial" w:eastAsia="Arial" w:hAnsi="Arial"/>
          <w:sz w:val="21"/>
          <w:szCs w:val="21"/>
          <w:color w:val="auto"/>
        </w:rPr>
      </w:pPr>
      <w:r>
        <w:rPr>
          <w:rFonts w:ascii="Arial" w:cs="Arial" w:eastAsia="Arial" w:hAnsi="Arial"/>
          <w:sz w:val="21"/>
          <w:szCs w:val="21"/>
          <w:color w:val="auto"/>
        </w:rPr>
        <w:t>We have formed StreamNet Ready Partner Program (www.streamnetpartners.com) to enable key audiovisual manufacturers to integrate products seamlessly into ClearOne's TCP/IP standards based StreamNet multimedia distribution and control solutions;</w:t>
      </w:r>
    </w:p>
    <w:p>
      <w:pPr>
        <w:spacing w:after="0" w:line="1" w:lineRule="exact"/>
        <w:rPr>
          <w:rFonts w:ascii="Arial" w:cs="Arial" w:eastAsia="Arial" w:hAnsi="Arial"/>
          <w:sz w:val="21"/>
          <w:szCs w:val="21"/>
          <w:color w:val="auto"/>
        </w:rPr>
      </w:pPr>
    </w:p>
    <w:p>
      <w:pPr>
        <w:ind w:left="660" w:right="1319" w:hanging="328"/>
        <w:spacing w:after="0" w:line="267"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have joined AVnu Alliance (www.avnu.org) which is dedicated to enabling an ecosystem of affordable professional quality streaming for networked audio and video content; and</w:t>
      </w:r>
    </w:p>
    <w:p>
      <w:pPr>
        <w:ind w:left="660" w:right="1259" w:hanging="328"/>
        <w:spacing w:after="0" w:line="234" w:lineRule="auto"/>
        <w:tabs>
          <w:tab w:leader="none" w:pos="633" w:val="left"/>
        </w:tabs>
        <w:numPr>
          <w:ilvl w:val="0"/>
          <w:numId w:val="6"/>
        </w:numPr>
        <w:rPr>
          <w:rFonts w:ascii="Arial" w:cs="Arial" w:eastAsia="Arial" w:hAnsi="Arial"/>
          <w:sz w:val="22"/>
          <w:szCs w:val="22"/>
          <w:color w:val="auto"/>
        </w:rPr>
      </w:pPr>
      <w:r>
        <w:rPr>
          <w:rFonts w:ascii="Arial" w:cs="Arial" w:eastAsia="Arial" w:hAnsi="Arial"/>
          <w:sz w:val="22"/>
          <w:szCs w:val="22"/>
          <w:color w:val="auto"/>
        </w:rPr>
        <w:t>We also joined HDCP (www.digital-cp.com), which is a High-bandwidth Digital Content Protection (HDCP) specification developed by Intel Corporation to protect digital entertainment across the DVI/HDMI interface.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Strengthen existing customer and partner relationships through dedicated support</w:t>
      </w:r>
    </w:p>
    <w:p>
      <w:pPr>
        <w:spacing w:after="0" w:line="98" w:lineRule="exact"/>
        <w:rPr>
          <w:sz w:val="20"/>
          <w:szCs w:val="20"/>
          <w:color w:val="auto"/>
        </w:rPr>
      </w:pPr>
    </w:p>
    <w:p>
      <w:pPr>
        <w:ind w:right="1279"/>
        <w:spacing w:after="0" w:line="279" w:lineRule="auto"/>
        <w:rPr>
          <w:sz w:val="20"/>
          <w:szCs w:val="20"/>
          <w:color w:val="auto"/>
        </w:rPr>
      </w:pPr>
      <w:r>
        <w:rPr>
          <w:rFonts w:ascii="Arial" w:cs="Arial" w:eastAsia="Arial" w:hAnsi="Arial"/>
          <w:sz w:val="19"/>
          <w:szCs w:val="19"/>
          <w:color w:val="auto"/>
        </w:rPr>
        <w:t>We have developed a global reputation for our excellence in providing customers and partners with our pre-sales, post-sales, and technical support by dedicated teams. We believe our support is recognized as among the best in the industry and we will continue to invest in the necessary resources to ensure that our customers and partners have access to the information and resources they need to be successful in using or reselling our products. We also dedicate significant resources to provide various levels of product sales or certified product technical training based on their sales or technical needs.</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4</w:t>
      </w:r>
      <w:r>
        <w:rPr>
          <w:rFonts w:ascii="Arial" w:cs="Arial" w:eastAsia="Arial" w:hAnsi="Arial"/>
          <w:sz w:val="14"/>
          <w:szCs w:val="14"/>
          <w:color w:val="auto"/>
        </w:rPr>
        <w:t xml:space="preserve"> |</w:t>
      </w:r>
    </w:p>
    <w:p>
      <w:pPr>
        <w:sectPr>
          <w:pgSz w:w="11900" w:h="16838" w:orient="portrait"/>
          <w:cols w:equalWidth="0" w:num="1">
            <w:col w:w="10219"/>
          </w:cols>
          <w:pgMar w:left="240" w:top="111" w:right="1440" w:bottom="0" w:gutter="0" w:footer="0" w:header="0"/>
          <w:type w:val="continuous"/>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6326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Markets and Products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Audio Conferencing and Collaboration Products: Overview</w:t>
      </w:r>
    </w:p>
    <w:p>
      <w:pPr>
        <w:spacing w:after="0" w:line="98" w:lineRule="exact"/>
        <w:rPr>
          <w:sz w:val="20"/>
          <w:szCs w:val="20"/>
          <w:color w:val="auto"/>
        </w:rPr>
      </w:pPr>
    </w:p>
    <w:p>
      <w:pPr>
        <w:ind w:right="1199"/>
        <w:spacing w:after="0" w:line="273" w:lineRule="auto"/>
        <w:rPr>
          <w:sz w:val="20"/>
          <w:szCs w:val="20"/>
          <w:color w:val="auto"/>
        </w:rPr>
      </w:pPr>
      <w:r>
        <w:rPr>
          <w:rFonts w:ascii="Arial" w:cs="Arial" w:eastAsia="Arial" w:hAnsi="Arial"/>
          <w:sz w:val="19"/>
          <w:szCs w:val="19"/>
          <w:color w:val="auto"/>
        </w:rPr>
        <w:t>The performance and reliability of our high-quality conferencing and collaboration products enable effective, natural, and efficient communication among geographically separated enterprises, organizations or individuals. We offer a full range of audio conferencing products including (i) professional conferencing products used in enterprise, healthcare, education and distance learning, government, legal and finance organizations, (ii) mid-tier premium conferencing products for smaller rooms and small and medium businesses which interface with video and web conferencing systems, (iii) traditional tabletop conferencing phones used in conference rooms and offices, and (iv) affordable personal conferencing products that can be used with PCs, laptops, tablets, smartphones, and other portable devices. For all the fiscal periods reported in this Annual Report, our professional conferencing products and traditional tabletop conference phones have together contributed a minimum of 74% percent of our consolidated revenue.</w:t>
      </w:r>
    </w:p>
    <w:p>
      <w:pPr>
        <w:spacing w:after="0" w:line="200" w:lineRule="exact"/>
        <w:rPr>
          <w:sz w:val="20"/>
          <w:szCs w:val="20"/>
          <w:color w:val="auto"/>
        </w:rPr>
      </w:pPr>
    </w:p>
    <w:p>
      <w:pPr>
        <w:spacing w:after="0" w:line="232" w:lineRule="exact"/>
        <w:rPr>
          <w:sz w:val="20"/>
          <w:szCs w:val="20"/>
          <w:color w:val="auto"/>
        </w:rPr>
      </w:pPr>
    </w:p>
    <w:p>
      <w:pPr>
        <w:ind w:right="1159"/>
        <w:spacing w:after="0" w:line="279" w:lineRule="auto"/>
        <w:rPr>
          <w:sz w:val="20"/>
          <w:szCs w:val="20"/>
          <w:color w:val="auto"/>
        </w:rPr>
      </w:pPr>
      <w:r>
        <w:rPr>
          <w:rFonts w:ascii="Arial" w:cs="Arial" w:eastAsia="Arial" w:hAnsi="Arial"/>
          <w:sz w:val="19"/>
          <w:szCs w:val="19"/>
          <w:color w:val="auto"/>
        </w:rPr>
        <w:t>Our audio conferencing products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We believe the principal drivers of demand for audio conferencing products are the following:</w:t>
      </w:r>
    </w:p>
    <w:p>
      <w:pPr>
        <w:spacing w:after="0" w:line="233" w:lineRule="exact"/>
        <w:rPr>
          <w:sz w:val="20"/>
          <w:szCs w:val="20"/>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Availability of easy-to-use conferencing systems and applications;</w:t>
      </w:r>
    </w:p>
    <w:p>
      <w:pPr>
        <w:spacing w:after="0" w:line="8" w:lineRule="exact"/>
        <w:rPr>
          <w:rFonts w:ascii="Arial" w:cs="Arial" w:eastAsia="Arial" w:hAnsi="Arial"/>
          <w:sz w:val="22"/>
          <w:szCs w:val="22"/>
          <w:color w:val="auto"/>
        </w:rPr>
      </w:pPr>
    </w:p>
    <w:p>
      <w:pPr>
        <w:ind w:left="660" w:right="1599" w:hanging="328"/>
        <w:spacing w:after="0" w:line="230" w:lineRule="auto"/>
        <w:tabs>
          <w:tab w:leader="none" w:pos="633" w:val="left"/>
        </w:tabs>
        <w:numPr>
          <w:ilvl w:val="0"/>
          <w:numId w:val="7"/>
        </w:numPr>
        <w:rPr>
          <w:rFonts w:ascii="Arial" w:cs="Arial" w:eastAsia="Arial" w:hAnsi="Arial"/>
          <w:sz w:val="22"/>
          <w:szCs w:val="22"/>
          <w:color w:val="auto"/>
        </w:rPr>
      </w:pPr>
      <w:r>
        <w:rPr>
          <w:rFonts w:ascii="Arial" w:cs="Arial" w:eastAsia="Arial" w:hAnsi="Arial"/>
          <w:sz w:val="22"/>
          <w:szCs w:val="22"/>
          <w:color w:val="auto"/>
        </w:rPr>
        <w:t>Richer and clearer voice quality of collaborative communications compared to the quality of telephone handset speakerphones; and</w:t>
      </w:r>
    </w:p>
    <w:p>
      <w:pPr>
        <w:spacing w:after="0" w:line="1" w:lineRule="exact"/>
        <w:rPr>
          <w:rFonts w:ascii="Arial" w:cs="Arial" w:eastAsia="Arial" w:hAnsi="Arial"/>
          <w:sz w:val="22"/>
          <w:szCs w:val="22"/>
          <w:color w:val="auto"/>
        </w:rPr>
      </w:pPr>
    </w:p>
    <w:p>
      <w:pPr>
        <w:ind w:left="660" w:right="1979" w:hanging="328"/>
        <w:spacing w:after="0" w:line="237" w:lineRule="auto"/>
        <w:tabs>
          <w:tab w:leader="none" w:pos="633" w:val="left"/>
        </w:tabs>
        <w:numPr>
          <w:ilvl w:val="0"/>
          <w:numId w:val="7"/>
        </w:numPr>
        <w:rPr>
          <w:rFonts w:ascii="Arial" w:cs="Arial" w:eastAsia="Arial" w:hAnsi="Arial"/>
          <w:sz w:val="22"/>
          <w:szCs w:val="22"/>
          <w:color w:val="auto"/>
        </w:rPr>
      </w:pPr>
      <w:r>
        <w:rPr>
          <w:rFonts w:ascii="Arial" w:cs="Arial" w:eastAsia="Arial" w:hAnsi="Arial"/>
          <w:sz w:val="22"/>
          <w:szCs w:val="22"/>
          <w:color w:val="auto"/>
        </w:rPr>
        <w:t>Expansion of global, regional, and local corporate enterprises requiring increased use of collaboration tools and systems.</w:t>
      </w:r>
    </w:p>
    <w:p>
      <w:pPr>
        <w:spacing w:after="0" w:line="212" w:lineRule="exact"/>
        <w:rPr>
          <w:sz w:val="20"/>
          <w:szCs w:val="20"/>
          <w:color w:val="auto"/>
        </w:rPr>
      </w:pPr>
    </w:p>
    <w:p>
      <w:pPr>
        <w:ind w:right="1279"/>
        <w:spacing w:after="0" w:line="251" w:lineRule="auto"/>
        <w:rPr>
          <w:sz w:val="20"/>
          <w:szCs w:val="20"/>
          <w:color w:val="auto"/>
        </w:rPr>
      </w:pPr>
      <w:r>
        <w:rPr>
          <w:rFonts w:ascii="Arial" w:cs="Arial" w:eastAsia="Arial" w:hAnsi="Arial"/>
          <w:sz w:val="22"/>
          <w:szCs w:val="22"/>
          <w:color w:val="auto"/>
        </w:rPr>
        <w:t>Other factors we expect to have a significant impact on the demand for our audio conferencing systems include the following:</w:t>
      </w:r>
    </w:p>
    <w:p>
      <w:pPr>
        <w:spacing w:after="0" w:line="200" w:lineRule="exact"/>
        <w:rPr>
          <w:sz w:val="20"/>
          <w:szCs w:val="20"/>
          <w:color w:val="auto"/>
        </w:rPr>
      </w:pPr>
    </w:p>
    <w:p>
      <w:pPr>
        <w:ind w:left="660" w:right="1559" w:hanging="328"/>
        <w:spacing w:after="0" w:line="239" w:lineRule="auto"/>
        <w:tabs>
          <w:tab w:leader="none" w:pos="633" w:val="left"/>
        </w:tabs>
        <w:numPr>
          <w:ilvl w:val="0"/>
          <w:numId w:val="8"/>
        </w:numPr>
        <w:rPr>
          <w:rFonts w:ascii="Arial" w:cs="Arial" w:eastAsia="Arial" w:hAnsi="Arial"/>
          <w:sz w:val="22"/>
          <w:szCs w:val="22"/>
          <w:color w:val="auto"/>
        </w:rPr>
      </w:pPr>
      <w:r>
        <w:rPr>
          <w:rFonts w:ascii="Arial" w:cs="Arial" w:eastAsia="Arial" w:hAnsi="Arial"/>
          <w:sz w:val="22"/>
          <w:szCs w:val="22"/>
          <w:color w:val="auto"/>
        </w:rPr>
        <w:t>Availability of affordable and portable audio conferencing solutions for small businesses and home offices;</w:t>
      </w:r>
    </w:p>
    <w:p>
      <w:pPr>
        <w:ind w:left="620" w:hanging="288"/>
        <w:spacing w:after="0" w:line="230" w:lineRule="auto"/>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Growth of distance learning and corporate training programs;</w:t>
      </w:r>
    </w:p>
    <w:p>
      <w:pPr>
        <w:ind w:left="620" w:hanging="288"/>
        <w:spacing w:after="0" w:line="230" w:lineRule="auto"/>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Increasing adoption of tele-working and home offices;</w:t>
      </w:r>
    </w:p>
    <w:p>
      <w:pPr>
        <w:ind w:left="620" w:hanging="288"/>
        <w:spacing w:after="0" w:line="230" w:lineRule="auto"/>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Decreases in travel due to cost, inconvenience, and carbon footprint considerations;</w:t>
      </w:r>
    </w:p>
    <w:p>
      <w:pPr>
        <w:ind w:left="660" w:right="1159" w:hanging="328"/>
        <w:spacing w:after="0" w:line="230" w:lineRule="auto"/>
        <w:tabs>
          <w:tab w:leader="none" w:pos="633" w:val="left"/>
        </w:tabs>
        <w:numPr>
          <w:ilvl w:val="0"/>
          <w:numId w:val="8"/>
        </w:numPr>
        <w:rPr>
          <w:rFonts w:ascii="Arial" w:cs="Arial" w:eastAsia="Arial" w:hAnsi="Arial"/>
          <w:sz w:val="22"/>
          <w:szCs w:val="22"/>
          <w:color w:val="auto"/>
        </w:rPr>
      </w:pPr>
      <w:r>
        <w:rPr>
          <w:rFonts w:ascii="Arial" w:cs="Arial" w:eastAsia="Arial" w:hAnsi="Arial"/>
          <w:sz w:val="22"/>
          <w:szCs w:val="22"/>
          <w:color w:val="auto"/>
        </w:rPr>
        <w:t>Transition to Internet Protocol (IP) networks from traditional public switched telephone networks (PSTN) and the growing deployment of VoIP collaboration applications; and</w:t>
      </w:r>
    </w:p>
    <w:p>
      <w:pPr>
        <w:spacing w:after="0" w:line="1" w:lineRule="exact"/>
        <w:rPr>
          <w:rFonts w:ascii="Arial" w:cs="Arial" w:eastAsia="Arial" w:hAnsi="Arial"/>
          <w:sz w:val="22"/>
          <w:szCs w:val="22"/>
          <w:color w:val="auto"/>
        </w:rPr>
      </w:pPr>
    </w:p>
    <w:p>
      <w:pPr>
        <w:ind w:left="660" w:right="1799" w:hanging="328"/>
        <w:spacing w:after="0" w:line="308" w:lineRule="auto"/>
        <w:tabs>
          <w:tab w:leader="none" w:pos="633" w:val="left"/>
        </w:tabs>
        <w:numPr>
          <w:ilvl w:val="0"/>
          <w:numId w:val="8"/>
        </w:numPr>
        <w:rPr>
          <w:rFonts w:ascii="Arial" w:cs="Arial" w:eastAsia="Arial" w:hAnsi="Arial"/>
          <w:sz w:val="19"/>
          <w:szCs w:val="19"/>
          <w:color w:val="auto"/>
        </w:rPr>
      </w:pPr>
      <w:r>
        <w:rPr>
          <w:rFonts w:ascii="Arial" w:cs="Arial" w:eastAsia="Arial" w:hAnsi="Arial"/>
          <w:sz w:val="19"/>
          <w:szCs w:val="19"/>
          <w:color w:val="auto"/>
        </w:rPr>
        <w:t>Increased adoption of unified communication platforms that leverage the affordability and capability of personal computers as a central component of corporate communication.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Audio Conferencing Products: Professional Conferencing</w:t>
      </w:r>
    </w:p>
    <w:p>
      <w:pPr>
        <w:spacing w:after="0" w:line="98" w:lineRule="exact"/>
        <w:rPr>
          <w:sz w:val="20"/>
          <w:szCs w:val="20"/>
          <w:color w:val="auto"/>
        </w:rPr>
      </w:pPr>
    </w:p>
    <w:p>
      <w:pPr>
        <w:ind w:right="1439"/>
        <w:spacing w:after="0" w:line="236" w:lineRule="auto"/>
        <w:rPr>
          <w:sz w:val="20"/>
          <w:szCs w:val="20"/>
          <w:color w:val="auto"/>
        </w:rPr>
      </w:pPr>
      <w:r>
        <w:rPr>
          <w:rFonts w:ascii="Arial" w:cs="Arial" w:eastAsia="Arial" w:hAnsi="Arial"/>
          <w:sz w:val="22"/>
          <w:szCs w:val="22"/>
          <w:color w:val="auto"/>
        </w:rPr>
        <w:t>We occupy the number one position in the global professional audio conferencing market with nearly 50% of total global market share. We have been developing high-end, professional conferencing products since 1991 and believe we have established strong brand recognition for these products worldwide. Our professional conferencing products include the Converge® Pro and the Converge SR product lines.</w:t>
      </w:r>
    </w:p>
    <w:p>
      <w:pPr>
        <w:spacing w:after="0" w:line="215" w:lineRule="exact"/>
        <w:rPr>
          <w:sz w:val="20"/>
          <w:szCs w:val="20"/>
          <w:color w:val="auto"/>
        </w:rPr>
      </w:pPr>
    </w:p>
    <w:p>
      <w:pPr>
        <w:ind w:right="1179"/>
        <w:spacing w:after="0" w:line="275" w:lineRule="auto"/>
        <w:rPr>
          <w:sz w:val="20"/>
          <w:szCs w:val="20"/>
          <w:color w:val="auto"/>
        </w:rPr>
      </w:pPr>
      <w:r>
        <w:rPr>
          <w:rFonts w:ascii="Arial" w:cs="Arial" w:eastAsia="Arial" w:hAnsi="Arial"/>
          <w:sz w:val="19"/>
          <w:szCs w:val="19"/>
          <w:color w:val="auto"/>
        </w:rPr>
        <w:t>Our flagship Converge Pro product line leads our professionally installed audio products line. This latest generation professional product line delivers significant feature set and performance advancements compared to its predecessor XAP™, including superior proprietary acoustical echo cancellation, noise cancellation, full duplex performance, enhanced management capabilities, and simplified configuration utilities. The Converge Pro product line includes the Converge Pro 880, Converge Pro 880T, Converge Pro 880TA, Converge Pro 840, Converge Pro 8i, Converge Pro TH20 and Converge Pro VH20 which together offer various levels of integration and features to allow a commercial system integrator to optimize a system to fit diverse conferencing applications and environments.</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5</w:t>
      </w:r>
      <w:r>
        <w:rPr>
          <w:rFonts w:ascii="Arial" w:cs="Arial" w:eastAsia="Arial" w:hAnsi="Arial"/>
          <w:sz w:val="14"/>
          <w:szCs w:val="14"/>
          <w:color w:val="auto"/>
        </w:rPr>
        <w:t xml:space="preserve"> |</w:t>
      </w:r>
    </w:p>
    <w:p>
      <w:pPr>
        <w:sectPr>
          <w:pgSz w:w="11900" w:h="16838" w:orient="portrait"/>
          <w:cols w:equalWidth="0" w:num="1">
            <w:col w:w="10219"/>
          </w:cols>
          <w:pgMar w:left="240" w:top="111" w:right="1440" w:bottom="0" w:gutter="0" w:footer="0" w:header="0"/>
          <w:type w:val="continuous"/>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6326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1179"/>
        <w:spacing w:after="0" w:line="282" w:lineRule="auto"/>
        <w:rPr>
          <w:sz w:val="20"/>
          <w:szCs w:val="20"/>
          <w:color w:val="auto"/>
        </w:rPr>
      </w:pPr>
      <w:r>
        <w:rPr>
          <w:rFonts w:ascii="Arial" w:cs="Arial" w:eastAsia="Arial" w:hAnsi="Arial"/>
          <w:sz w:val="19"/>
          <w:szCs w:val="19"/>
          <w:color w:val="auto"/>
        </w:rPr>
        <w:t>The ClearOne Ceiling Microphone Array introduced in November 2011, enhances almost any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Audio Conferencing Products: Mid-Tier Premium Conferencing</w:t>
      </w:r>
    </w:p>
    <w:p>
      <w:pPr>
        <w:spacing w:after="0" w:line="98"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color w:val="auto"/>
        </w:rPr>
        <w:t>In order to better meet the needs of our larger customers with smaller conferencing rooms as well as small and medium businesses, we introduced the INTERACT product line in January 2010 as a mid-tier, lower cost, conferencing product line to replace the Converge 560/590 and RAV product lines.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 We believe this product line uniquely delivers superior enhanced audio performance at an economical price compared to other audio conference solutions available in the market today. The INTERACT Product line is designed for a wide variety of applications. Based on product configuration, these include:</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Unified Communications Clients</w:t>
            </w:r>
          </w:p>
        </w:tc>
        <w:tc>
          <w:tcPr>
            <w:tcW w:w="5440" w:type="dxa"/>
            <w:vAlign w:val="bottom"/>
          </w:tcPr>
          <w:p>
            <w:pPr>
              <w:ind w:left="200"/>
              <w:spacing w:after="0"/>
              <w:rPr>
                <w:sz w:val="20"/>
                <w:szCs w:val="20"/>
                <w:color w:val="auto"/>
              </w:rPr>
            </w:pPr>
            <w:r>
              <w:rPr>
                <w:rFonts w:ascii="Arial" w:cs="Arial" w:eastAsia="Arial" w:hAnsi="Arial"/>
                <w:sz w:val="18"/>
                <w:szCs w:val="18"/>
                <w:color w:val="auto"/>
              </w:rPr>
              <w:t>Avaya, Cisco, IBM, Microsft, Siemens, and others</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Internet Telephony</w:t>
            </w:r>
          </w:p>
        </w:tc>
        <w:tc>
          <w:tcPr>
            <w:tcW w:w="5440" w:type="dxa"/>
            <w:vAlign w:val="bottom"/>
          </w:tcPr>
          <w:p>
            <w:pPr>
              <w:ind w:left="200"/>
              <w:spacing w:after="0"/>
              <w:rPr>
                <w:sz w:val="20"/>
                <w:szCs w:val="20"/>
                <w:color w:val="auto"/>
              </w:rPr>
            </w:pPr>
            <w:r>
              <w:rPr>
                <w:rFonts w:ascii="Arial" w:cs="Arial" w:eastAsia="Arial" w:hAnsi="Arial"/>
                <w:sz w:val="18"/>
                <w:szCs w:val="18"/>
                <w:color w:val="auto"/>
              </w:rPr>
              <w:t>Google Talk, Skype, Vonage, and others</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Enterprise Telephony</w:t>
            </w:r>
          </w:p>
        </w:tc>
        <w:tc>
          <w:tcPr>
            <w:tcW w:w="5440" w:type="dxa"/>
            <w:vAlign w:val="bottom"/>
          </w:tcPr>
          <w:p>
            <w:pPr>
              <w:ind w:left="200"/>
              <w:spacing w:after="0"/>
              <w:rPr>
                <w:sz w:val="20"/>
                <w:szCs w:val="20"/>
                <w:color w:val="auto"/>
              </w:rPr>
            </w:pPr>
            <w:r>
              <w:rPr>
                <w:rFonts w:ascii="Arial" w:cs="Arial" w:eastAsia="Arial" w:hAnsi="Arial"/>
                <w:sz w:val="18"/>
                <w:szCs w:val="18"/>
                <w:color w:val="auto"/>
              </w:rPr>
              <w:t>Aastra, Avaya, Cisco, Mitel, and others</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VoIP Softphones</w:t>
            </w:r>
          </w:p>
        </w:tc>
        <w:tc>
          <w:tcPr>
            <w:tcW w:w="5440" w:type="dxa"/>
            <w:vAlign w:val="bottom"/>
          </w:tcPr>
          <w:p>
            <w:pPr>
              <w:ind w:left="200"/>
              <w:spacing w:after="0"/>
              <w:rPr>
                <w:sz w:val="20"/>
                <w:szCs w:val="20"/>
                <w:color w:val="auto"/>
              </w:rPr>
            </w:pPr>
            <w:r>
              <w:rPr>
                <w:rFonts w:ascii="Arial" w:cs="Arial" w:eastAsia="Arial" w:hAnsi="Arial"/>
                <w:sz w:val="18"/>
                <w:szCs w:val="18"/>
                <w:color w:val="auto"/>
              </w:rPr>
              <w:t>Avaya, Cisco, Mirial, and others</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Web Conferencing</w:t>
            </w:r>
          </w:p>
        </w:tc>
        <w:tc>
          <w:tcPr>
            <w:tcW w:w="5440" w:type="dxa"/>
            <w:vAlign w:val="bottom"/>
          </w:tcPr>
          <w:p>
            <w:pPr>
              <w:ind w:left="200"/>
              <w:spacing w:after="0"/>
              <w:rPr>
                <w:sz w:val="20"/>
                <w:szCs w:val="20"/>
                <w:color w:val="auto"/>
              </w:rPr>
            </w:pPr>
            <w:r>
              <w:rPr>
                <w:rFonts w:ascii="Arial" w:cs="Arial" w:eastAsia="Arial" w:hAnsi="Arial"/>
                <w:sz w:val="18"/>
                <w:szCs w:val="18"/>
                <w:color w:val="auto"/>
                <w:w w:val="92"/>
              </w:rPr>
              <w:t>IBM Workplace/SameTime, Microsoft Live Meeting, Cisco WebEx, and</w:t>
            </w:r>
          </w:p>
        </w:tc>
      </w:tr>
      <w:tr>
        <w:trPr>
          <w:trHeight w:val="230"/>
        </w:trPr>
        <w:tc>
          <w:tcPr>
            <w:tcW w:w="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others</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Instant Messenger</w:t>
            </w:r>
          </w:p>
        </w:tc>
        <w:tc>
          <w:tcPr>
            <w:tcW w:w="5440" w:type="dxa"/>
            <w:vAlign w:val="bottom"/>
          </w:tcPr>
          <w:p>
            <w:pPr>
              <w:ind w:left="200"/>
              <w:spacing w:after="0"/>
              <w:rPr>
                <w:sz w:val="20"/>
                <w:szCs w:val="20"/>
                <w:color w:val="auto"/>
              </w:rPr>
            </w:pPr>
            <w:r>
              <w:rPr>
                <w:rFonts w:ascii="Arial" w:cs="Arial" w:eastAsia="Arial" w:hAnsi="Arial"/>
                <w:sz w:val="18"/>
                <w:szCs w:val="18"/>
                <w:color w:val="auto"/>
              </w:rPr>
              <w:t>AOL, Microsoft MSN, Yahoo, and others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rPr>
              <w:t>·   Group Video Conferencing Codecs</w:t>
            </w:r>
          </w:p>
        </w:tc>
        <w:tc>
          <w:tcPr>
            <w:tcW w:w="5440" w:type="dxa"/>
            <w:vAlign w:val="bottom"/>
          </w:tcPr>
          <w:p>
            <w:pPr>
              <w:ind w:left="200"/>
              <w:spacing w:after="0"/>
              <w:rPr>
                <w:sz w:val="20"/>
                <w:szCs w:val="20"/>
                <w:color w:val="auto"/>
              </w:rPr>
            </w:pPr>
            <w:r>
              <w:rPr>
                <w:rFonts w:ascii="Arial" w:cs="Arial" w:eastAsia="Arial" w:hAnsi="Arial"/>
                <w:sz w:val="18"/>
                <w:szCs w:val="18"/>
                <w:color w:val="auto"/>
              </w:rPr>
              <w:t>Cisco/Tandberg, Logitech, Polycom, Sony, and others</w:t>
            </w:r>
          </w:p>
        </w:tc>
      </w:tr>
    </w:tbl>
    <w:p>
      <w:pPr>
        <w:spacing w:after="0" w:line="40"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Group Video Conferencing Soft Clients Cisco/Tandberg, Logitech, Polycom, and others</w:t>
      </w:r>
    </w:p>
    <w:p>
      <w:pPr>
        <w:spacing w:after="0" w:line="63" w:lineRule="exact"/>
        <w:rPr>
          <w:sz w:val="20"/>
          <w:szCs w:val="20"/>
          <w:color w:val="auto"/>
        </w:rPr>
      </w:pPr>
    </w:p>
    <w:p>
      <w:pPr>
        <w:ind w:left="340"/>
        <w:spacing w:after="0"/>
        <w:tabs>
          <w:tab w:leader="none" w:pos="600" w:val="left"/>
          <w:tab w:leader="none" w:pos="3560" w:val="left"/>
        </w:tabs>
        <w:rPr>
          <w:sz w:val="20"/>
          <w:szCs w:val="20"/>
          <w:color w:val="auto"/>
        </w:rPr>
      </w:pPr>
      <w:r>
        <w:rPr>
          <w:rFonts w:ascii="Arial" w:cs="Arial" w:eastAsia="Arial" w:hAnsi="Arial"/>
          <w:sz w:val="18"/>
          <w:szCs w:val="18"/>
          <w:color w:val="auto"/>
        </w:rPr>
        <w:t>·</w:t>
        <w:tab/>
        <w:t>Audio Playback</w:t>
      </w:r>
      <w:r>
        <w:rPr>
          <w:sz w:val="20"/>
          <w:szCs w:val="20"/>
          <w:color w:val="auto"/>
        </w:rPr>
        <w:tab/>
      </w:r>
      <w:r>
        <w:rPr>
          <w:rFonts w:ascii="Arial" w:cs="Arial" w:eastAsia="Arial" w:hAnsi="Arial"/>
          <w:sz w:val="16"/>
          <w:szCs w:val="16"/>
          <w:color w:val="auto"/>
        </w:rPr>
        <w:t>DVDs, VCRs, PCs, and audio sources</w:t>
      </w:r>
    </w:p>
    <w:p>
      <w:pPr>
        <w:spacing w:after="0" w:line="299"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color w:val="auto"/>
        </w:rPr>
        <w:t>INTERACT AT is designed for quick and easy installation for most room environments and is strategically positioned between our professional and traditional tabletop conferencing products in price and functionality. It is a complete, out-of-the-box solution that includes an audio mixer, 2 loudspeakers, 2 microphones, and a conference room controller device for the user that can be either wired or wireless. It is intended as an ideal system for smaller rooms in large enterprises or for small to medium businesses looking for lower cost and lower complexity, but a high quality audio conferencing solution that does not require the services and expense of a professional installation. The INTERACT AT is designed to be easy to set up as a stereo system and combines the sound quality of a professionally installed audio system with the simplicity of a traditional conference phone. The INTERACT AT replaced the RAV, which was discontinued in September 2010.</w:t>
      </w:r>
    </w:p>
    <w:p>
      <w:pPr>
        <w:spacing w:after="0" w:line="189" w:lineRule="exact"/>
        <w:rPr>
          <w:sz w:val="20"/>
          <w:szCs w:val="20"/>
          <w:color w:val="auto"/>
        </w:rPr>
      </w:pPr>
    </w:p>
    <w:p>
      <w:pPr>
        <w:ind w:right="1159"/>
        <w:spacing w:after="0" w:line="275" w:lineRule="auto"/>
        <w:rPr>
          <w:sz w:val="20"/>
          <w:szCs w:val="20"/>
          <w:color w:val="auto"/>
        </w:rPr>
      </w:pPr>
      <w:r>
        <w:rPr>
          <w:rFonts w:ascii="Arial" w:cs="Arial" w:eastAsia="Arial" w:hAnsi="Arial"/>
          <w:sz w:val="19"/>
          <w:szCs w:val="19"/>
          <w:color w:val="auto"/>
        </w:rPr>
        <w:t>INTERACT Pro is designed for professional installation at a total lower solution cost compared to the Converge Professional series for medium sized rooms or smaller rooms with more demanding room environments. The INTERACT Pro features stereo echo cancellation signal processing for unrivaled audio intelligibility. It includes professional connectors and audio performance adjustments that allow a professional installer to configure and optimize the system. The INTERACT Pro, unlike the AT, can be extended from 8 to 16 microphone inputs by the addition of an extension unit in the series, the INTERACT 8i, for medium sized rooms. The INTERACT Pro replaced the Converge 560 and Converge 590, which were discontinued in September 2010.</w:t>
      </w:r>
    </w:p>
    <w:p>
      <w:pPr>
        <w:spacing w:after="0" w:line="185" w:lineRule="exact"/>
        <w:rPr>
          <w:sz w:val="20"/>
          <w:szCs w:val="20"/>
          <w:color w:val="auto"/>
        </w:rPr>
      </w:pPr>
    </w:p>
    <w:p>
      <w:pPr>
        <w:ind w:right="1579"/>
        <w:spacing w:after="0" w:line="251" w:lineRule="auto"/>
        <w:rPr>
          <w:sz w:val="20"/>
          <w:szCs w:val="20"/>
          <w:color w:val="auto"/>
        </w:rPr>
      </w:pPr>
      <w:r>
        <w:rPr>
          <w:rFonts w:ascii="Arial" w:cs="Arial" w:eastAsia="Arial" w:hAnsi="Arial"/>
          <w:sz w:val="22"/>
          <w:szCs w:val="22"/>
          <w:color w:val="auto"/>
        </w:rPr>
        <w:t>The ClearOne Ceiling Microphone Array, discussed above, is also for larger customers with smaller conferencing rooms and small and medium businesses.</w:t>
      </w:r>
    </w:p>
    <w:p>
      <w:pPr>
        <w:spacing w:after="0" w:line="200" w:lineRule="exact"/>
        <w:rPr>
          <w:sz w:val="20"/>
          <w:szCs w:val="20"/>
          <w:color w:val="auto"/>
        </w:rPr>
      </w:pPr>
    </w:p>
    <w:p>
      <w:pPr>
        <w:ind w:right="1499"/>
        <w:spacing w:after="0"/>
        <w:rPr>
          <w:sz w:val="20"/>
          <w:szCs w:val="20"/>
          <w:color w:val="auto"/>
        </w:rPr>
      </w:pPr>
      <w:r>
        <w:rPr>
          <w:rFonts w:ascii="Arial" w:cs="Arial" w:eastAsia="Arial" w:hAnsi="Arial"/>
          <w:sz w:val="22"/>
          <w:szCs w:val="22"/>
          <w:color w:val="auto"/>
        </w:rPr>
        <w:t>COLLABORATE is an all-in-one voice, video and data collaboration solution designed for organizations using unified communications or popular cloud video conferencing services delivering plug-and-play simplicity.</w:t>
      </w:r>
    </w:p>
    <w:p>
      <w:pPr>
        <w:sectPr>
          <w:pgSz w:w="11900" w:h="16838" w:orient="portrait"/>
          <w:cols w:equalWidth="0" w:num="1">
            <w:col w:w="10219"/>
          </w:cols>
          <w:pgMar w:left="240" w:top="111" w:right="1440" w:bottom="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6</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3260" cy="36195"/>
                    </a:xfrm>
                    <a:prstGeom prst="rect">
                      <a:avLst/>
                    </a:prstGeom>
                    <a:noFill/>
                  </pic:spPr>
                </pic:pic>
              </a:graphicData>
            </a:graphic>
          </wp:anchor>
        </w:drawing>
      </w:r>
    </w:p>
    <w:p>
      <w:pPr>
        <w:sectPr>
          <w:pgSz w:w="11900" w:h="16838" w:orient="portrait"/>
          <w:cols w:equalWidth="0" w:num="1">
            <w:col w:w="10219"/>
          </w:cols>
          <w:pgMar w:left="240" w:top="111" w:right="1440" w:bottom="51" w:gutter="0" w:footer="0" w:header="0"/>
          <w:type w:val="continuous"/>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76326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326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Audio Conferencing Products: Traditional Tabletop Conferencing</w:t>
      </w:r>
    </w:p>
    <w:p>
      <w:pPr>
        <w:spacing w:after="0" w:line="98" w:lineRule="exact"/>
        <w:rPr>
          <w:sz w:val="20"/>
          <w:szCs w:val="20"/>
          <w:color w:val="auto"/>
        </w:rPr>
      </w:pPr>
    </w:p>
    <w:p>
      <w:pPr>
        <w:ind w:right="1379"/>
        <w:spacing w:after="0"/>
        <w:rPr>
          <w:sz w:val="20"/>
          <w:szCs w:val="20"/>
          <w:color w:val="auto"/>
        </w:rPr>
      </w:pPr>
      <w:r>
        <w:rPr>
          <w:rFonts w:ascii="Arial" w:cs="Arial" w:eastAsia="Arial" w:hAnsi="Arial"/>
          <w:sz w:val="22"/>
          <w:szCs w:val="22"/>
          <w:color w:val="auto"/>
        </w:rPr>
        <w:t>Our MAX® line of traditional tabletop conferencing phones utilizes many of our HDConference echo cancellation, noise cancellation, and audio processing technologies found in our professional audio conferencing products.</w:t>
      </w:r>
    </w:p>
    <w:p>
      <w:pPr>
        <w:spacing w:after="0" w:line="213" w:lineRule="exact"/>
        <w:rPr>
          <w:sz w:val="20"/>
          <w:szCs w:val="20"/>
          <w:color w:val="auto"/>
        </w:rPr>
      </w:pPr>
    </w:p>
    <w:p>
      <w:pPr>
        <w:ind w:right="1179"/>
        <w:spacing w:after="0" w:line="247" w:lineRule="auto"/>
        <w:rPr>
          <w:sz w:val="20"/>
          <w:szCs w:val="20"/>
          <w:color w:val="auto"/>
        </w:rPr>
      </w:pPr>
      <w:r>
        <w:rPr>
          <w:rFonts w:ascii="Arial" w:cs="Arial" w:eastAsia="Arial" w:hAnsi="Arial"/>
          <w:sz w:val="21"/>
          <w:szCs w:val="21"/>
          <w:color w:val="auto"/>
        </w:rPr>
        <w:t>MAX product line is comprised of the following product families: MAX EX and MAXAttach®; MAX Wireless and MAXAttach Wireless; and MAX IP and MAXAttach IP tabletop conferencing phones. MAX Wireless was the industry’s first wireless conferencing phone.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w:t>
      </w:r>
    </w:p>
    <w:p>
      <w:pPr>
        <w:spacing w:after="0" w:line="205" w:lineRule="exact"/>
        <w:rPr>
          <w:sz w:val="20"/>
          <w:szCs w:val="20"/>
          <w:color w:val="auto"/>
        </w:rPr>
      </w:pPr>
    </w:p>
    <w:p>
      <w:pPr>
        <w:ind w:right="1179"/>
        <w:spacing w:after="0" w:line="235" w:lineRule="auto"/>
        <w:rPr>
          <w:sz w:val="20"/>
          <w:szCs w:val="20"/>
          <w:color w:val="auto"/>
        </w:rPr>
      </w:pPr>
      <w:r>
        <w:rPr>
          <w:rFonts w:ascii="Arial" w:cs="Arial" w:eastAsia="Arial" w:hAnsi="Arial"/>
          <w:sz w:val="22"/>
          <w:szCs w:val="22"/>
          <w:color w:val="auto"/>
        </w:rPr>
        <w:t>MAX EX and MAXAttach wired phones also feature an industry-first capability – instead of just adding extension microphones for use in larger rooms, the conference phones can be daisy chained together, up to a total of four phones. This provides even distribution of microphones, loudspeakers, and controls for better sound quality and improved user access in medium to large conference rooms. In addition, all MAXAttach wired versions can be used separately when they are not needed in a daisy-chain configuration.</w:t>
      </w:r>
    </w:p>
    <w:p>
      <w:pPr>
        <w:spacing w:after="0" w:line="215" w:lineRule="exact"/>
        <w:rPr>
          <w:sz w:val="20"/>
          <w:szCs w:val="20"/>
          <w:color w:val="auto"/>
        </w:rPr>
      </w:pPr>
    </w:p>
    <w:p>
      <w:pPr>
        <w:ind w:right="1399"/>
        <w:spacing w:after="0" w:line="238" w:lineRule="auto"/>
        <w:rPr>
          <w:sz w:val="20"/>
          <w:szCs w:val="20"/>
          <w:color w:val="auto"/>
        </w:rPr>
      </w:pPr>
      <w:r>
        <w:rPr>
          <w:rFonts w:ascii="Arial" w:cs="Arial" w:eastAsia="Arial" w:hAnsi="Arial"/>
          <w:sz w:val="22"/>
          <w:szCs w:val="22"/>
          <w:color w:val="auto"/>
        </w:rPr>
        <w:t>MAX IP and MAXAttach IP are VoIP tabletop conference phones which are based on the industry-standard SIP signaling protocol. These phones can also be daisy-chained together, up to a total of four phones, providing outstanding room and control coverage that other VoIP conference phones on the market do not offer.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Audio Conferencing Products: Personal Conferencing Products</w:t>
      </w:r>
    </w:p>
    <w:p>
      <w:pPr>
        <w:spacing w:after="0" w:line="98" w:lineRule="exact"/>
        <w:rPr>
          <w:sz w:val="20"/>
          <w:szCs w:val="20"/>
          <w:color w:val="auto"/>
        </w:rPr>
      </w:pPr>
    </w:p>
    <w:p>
      <w:pPr>
        <w:ind w:right="1199"/>
        <w:spacing w:after="0" w:line="236" w:lineRule="auto"/>
        <w:rPr>
          <w:sz w:val="20"/>
          <w:szCs w:val="20"/>
          <w:color w:val="auto"/>
        </w:rPr>
      </w:pPr>
      <w:r>
        <w:rPr>
          <w:rFonts w:ascii="Arial" w:cs="Arial" w:eastAsia="Arial" w:hAnsi="Arial"/>
          <w:sz w:val="22"/>
          <w:szCs w:val="22"/>
          <w:color w:val="auto"/>
        </w:rPr>
        <w:t>Our industry leading CHAT® product line of affordable and stylish personal speaker phones, using ClearOnes’s HDConference technologies, provides full-duplex and rich full bandwidth frequency response for superior audio clarity. The CHATs are designed for a wide variety of applications and devices (fixed or portable) for greatly enhanced collaboration wherever and whenever needed, including the following:</w:t>
      </w:r>
    </w:p>
    <w:p>
      <w:pPr>
        <w:spacing w:after="0" w:line="2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w w:val="97"/>
              </w:rPr>
              <w:t>Unified Communications Clients</w:t>
            </w:r>
          </w:p>
        </w:tc>
        <w:tc>
          <w:tcPr>
            <w:tcW w:w="6020" w:type="dxa"/>
            <w:vAlign w:val="bottom"/>
          </w:tcPr>
          <w:p>
            <w:pPr>
              <w:ind w:left="120"/>
              <w:spacing w:after="0"/>
              <w:rPr>
                <w:sz w:val="20"/>
                <w:szCs w:val="20"/>
                <w:color w:val="auto"/>
              </w:rPr>
            </w:pPr>
            <w:r>
              <w:rPr>
                <w:rFonts w:ascii="Arial" w:cs="Arial" w:eastAsia="Arial" w:hAnsi="Arial"/>
                <w:sz w:val="18"/>
                <w:szCs w:val="18"/>
                <w:color w:val="auto"/>
              </w:rPr>
              <w:t>Avaya, Cisco, IBM, Microsft, Siemens, and others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Internet Telephony</w:t>
            </w:r>
          </w:p>
        </w:tc>
        <w:tc>
          <w:tcPr>
            <w:tcW w:w="6020" w:type="dxa"/>
            <w:vAlign w:val="bottom"/>
          </w:tcPr>
          <w:p>
            <w:pPr>
              <w:ind w:left="120"/>
              <w:spacing w:after="0"/>
              <w:rPr>
                <w:sz w:val="20"/>
                <w:szCs w:val="20"/>
                <w:color w:val="auto"/>
              </w:rPr>
            </w:pPr>
            <w:r>
              <w:rPr>
                <w:rFonts w:ascii="Arial" w:cs="Arial" w:eastAsia="Arial" w:hAnsi="Arial"/>
                <w:sz w:val="18"/>
                <w:szCs w:val="18"/>
                <w:color w:val="auto"/>
              </w:rPr>
              <w:t>Google Talk, Skype, Vonage, and others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Enterprise Telephony</w:t>
            </w:r>
          </w:p>
        </w:tc>
        <w:tc>
          <w:tcPr>
            <w:tcW w:w="6020" w:type="dxa"/>
            <w:vAlign w:val="bottom"/>
          </w:tcPr>
          <w:p>
            <w:pPr>
              <w:ind w:left="120"/>
              <w:spacing w:after="0"/>
              <w:rPr>
                <w:sz w:val="20"/>
                <w:szCs w:val="20"/>
                <w:color w:val="auto"/>
              </w:rPr>
            </w:pPr>
            <w:r>
              <w:rPr>
                <w:rFonts w:ascii="Arial" w:cs="Arial" w:eastAsia="Arial" w:hAnsi="Arial"/>
                <w:sz w:val="18"/>
                <w:szCs w:val="18"/>
                <w:color w:val="auto"/>
              </w:rPr>
              <w:t>Aastra, Avaya, Cisco, Mitel, and others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VoIP Softphones</w:t>
            </w:r>
          </w:p>
        </w:tc>
        <w:tc>
          <w:tcPr>
            <w:tcW w:w="6020" w:type="dxa"/>
            <w:vAlign w:val="bottom"/>
          </w:tcPr>
          <w:p>
            <w:pPr>
              <w:ind w:left="120"/>
              <w:spacing w:after="0"/>
              <w:rPr>
                <w:sz w:val="20"/>
                <w:szCs w:val="20"/>
                <w:color w:val="auto"/>
              </w:rPr>
            </w:pPr>
            <w:r>
              <w:rPr>
                <w:rFonts w:ascii="Arial" w:cs="Arial" w:eastAsia="Arial" w:hAnsi="Arial"/>
                <w:sz w:val="18"/>
                <w:szCs w:val="18"/>
                <w:color w:val="auto"/>
              </w:rPr>
              <w:t>Avaya, Cisco, Mirial, and others</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   Smartphones and Cell Phones</w:t>
            </w:r>
          </w:p>
        </w:tc>
        <w:tc>
          <w:tcPr>
            <w:tcW w:w="6020" w:type="dxa"/>
            <w:vAlign w:val="bottom"/>
          </w:tcPr>
          <w:p>
            <w:pPr>
              <w:ind w:left="120"/>
              <w:spacing w:after="0"/>
              <w:rPr>
                <w:sz w:val="20"/>
                <w:szCs w:val="20"/>
                <w:color w:val="auto"/>
              </w:rPr>
            </w:pPr>
            <w:r>
              <w:rPr>
                <w:rFonts w:ascii="Arial" w:cs="Arial" w:eastAsia="Arial" w:hAnsi="Arial"/>
                <w:sz w:val="18"/>
                <w:szCs w:val="18"/>
                <w:color w:val="auto"/>
              </w:rPr>
              <w:t>HTC, LG, Motorola, Nokia, RIM, and others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Web conferencing</w:t>
            </w:r>
          </w:p>
        </w:tc>
        <w:tc>
          <w:tcPr>
            <w:tcW w:w="6020" w:type="dxa"/>
            <w:vAlign w:val="bottom"/>
          </w:tcPr>
          <w:p>
            <w:pPr>
              <w:ind w:left="120"/>
              <w:spacing w:after="0"/>
              <w:rPr>
                <w:sz w:val="20"/>
                <w:szCs w:val="20"/>
                <w:color w:val="auto"/>
              </w:rPr>
            </w:pPr>
            <w:r>
              <w:rPr>
                <w:rFonts w:ascii="Arial" w:cs="Arial" w:eastAsia="Arial" w:hAnsi="Arial"/>
                <w:sz w:val="18"/>
                <w:szCs w:val="18"/>
                <w:color w:val="auto"/>
                <w:w w:val="95"/>
              </w:rPr>
              <w:t>IBM Workplace/SameTime, Microsoft Live Meeting, Cisco WebEx, and others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Instant Messenger</w:t>
            </w:r>
          </w:p>
        </w:tc>
        <w:tc>
          <w:tcPr>
            <w:tcW w:w="6020" w:type="dxa"/>
            <w:vAlign w:val="bottom"/>
          </w:tcPr>
          <w:p>
            <w:pPr>
              <w:ind w:left="120"/>
              <w:spacing w:after="0"/>
              <w:rPr>
                <w:sz w:val="20"/>
                <w:szCs w:val="20"/>
                <w:color w:val="auto"/>
              </w:rPr>
            </w:pPr>
            <w:r>
              <w:rPr>
                <w:rFonts w:ascii="Arial" w:cs="Arial" w:eastAsia="Arial" w:hAnsi="Arial"/>
                <w:sz w:val="18"/>
                <w:szCs w:val="18"/>
                <w:color w:val="auto"/>
              </w:rPr>
              <w:t>AOL, Microsoft MSN, Yahoo, and others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Desktop Video Conferencing</w:t>
            </w:r>
          </w:p>
        </w:tc>
        <w:tc>
          <w:tcPr>
            <w:tcW w:w="6020" w:type="dxa"/>
            <w:vAlign w:val="bottom"/>
          </w:tcPr>
          <w:p>
            <w:pPr>
              <w:ind w:left="120"/>
              <w:spacing w:after="0"/>
              <w:rPr>
                <w:sz w:val="20"/>
                <w:szCs w:val="20"/>
                <w:color w:val="auto"/>
              </w:rPr>
            </w:pPr>
            <w:r>
              <w:rPr>
                <w:rFonts w:ascii="Arial" w:cs="Arial" w:eastAsia="Arial" w:hAnsi="Arial"/>
                <w:sz w:val="18"/>
                <w:szCs w:val="18"/>
                <w:color w:val="auto"/>
              </w:rPr>
              <w:t>Cisco/Tandberg, Logitech, Polycom, Sony, and others</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Audio Playback</w:t>
            </w:r>
          </w:p>
        </w:tc>
        <w:tc>
          <w:tcPr>
            <w:tcW w:w="6020" w:type="dxa"/>
            <w:vAlign w:val="bottom"/>
          </w:tcPr>
          <w:p>
            <w:pPr>
              <w:ind w:left="120"/>
              <w:spacing w:after="0"/>
              <w:rPr>
                <w:sz w:val="20"/>
                <w:szCs w:val="20"/>
                <w:color w:val="auto"/>
              </w:rPr>
            </w:pPr>
            <w:r>
              <w:rPr>
                <w:rFonts w:ascii="Arial" w:cs="Arial" w:eastAsia="Arial" w:hAnsi="Arial"/>
                <w:sz w:val="18"/>
                <w:szCs w:val="18"/>
                <w:color w:val="auto"/>
                <w:w w:val="89"/>
              </w:rPr>
              <w:t>iPod, Quicktime, RealPlayer, Windows Media Player, and TeamSpeak, and others</w:t>
            </w:r>
          </w:p>
        </w:tc>
      </w:tr>
    </w:tbl>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PC-Based Gaming</w:t>
      </w:r>
    </w:p>
    <w:p>
      <w:pPr>
        <w:spacing w:after="0" w:line="231" w:lineRule="exact"/>
        <w:rPr>
          <w:sz w:val="20"/>
          <w:szCs w:val="20"/>
          <w:color w:val="auto"/>
        </w:rPr>
      </w:pPr>
    </w:p>
    <w:p>
      <w:pPr>
        <w:ind w:right="1139"/>
        <w:spacing w:after="0" w:line="297" w:lineRule="auto"/>
        <w:rPr>
          <w:sz w:val="20"/>
          <w:szCs w:val="20"/>
          <w:color w:val="auto"/>
        </w:rPr>
      </w:pPr>
      <w:r>
        <w:rPr>
          <w:rFonts w:ascii="Arial" w:cs="Arial" w:eastAsia="Arial" w:hAnsi="Arial"/>
          <w:sz w:val="19"/>
          <w:szCs w:val="19"/>
          <w:color w:val="auto"/>
        </w:rPr>
        <w:t>Our personal conferencing products have become popular with large and small enterprises and organizations alike. We have entered into partnerships with Avaya, IBM, Microsoft, Skype, and others to offer personal conferencing products uniquely suited for their enterprise systems and user applications.</w:t>
      </w:r>
    </w:p>
    <w:p>
      <w:pPr>
        <w:spacing w:after="0" w:line="161" w:lineRule="exact"/>
        <w:rPr>
          <w:sz w:val="20"/>
          <w:szCs w:val="20"/>
          <w:color w:val="auto"/>
        </w:rPr>
      </w:pPr>
    </w:p>
    <w:p>
      <w:pPr>
        <w:ind w:right="1179"/>
        <w:spacing w:after="0" w:line="248" w:lineRule="auto"/>
        <w:rPr>
          <w:sz w:val="20"/>
          <w:szCs w:val="20"/>
          <w:color w:val="auto"/>
        </w:rPr>
      </w:pPr>
      <w:r>
        <w:rPr>
          <w:rFonts w:ascii="Arial" w:cs="Arial" w:eastAsia="Arial" w:hAnsi="Arial"/>
          <w:sz w:val="21"/>
          <w:szCs w:val="21"/>
          <w:color w:val="auto"/>
        </w:rPr>
        <w:t>CHAT 50 is a personal speakerphone, about the size of a deck of cards, that connects to PCs and Macs, laptops, tablets, enterprise handsets, smartphones, cell phones, and MP3 players for rich, clear, hands-free audio and playback. It is an affordable and portable audio peripheral for greatly enhanced personal collaboration. The CHAT 50 attracted significant press coverage and has won much recognition since its introduction, including PC Magazine’s Editors’ Choice Award in March 2006 and PC Magazine’s Best for Business Products Award for 2007.</w:t>
      </w:r>
    </w:p>
    <w:p>
      <w:pPr>
        <w:sectPr>
          <w:pgSz w:w="11900" w:h="16838" w:orient="portrait"/>
          <w:cols w:equalWidth="0" w:num="1">
            <w:col w:w="10219"/>
          </w:cols>
          <w:pgMar w:left="240" w:top="112" w:right="1440" w:bottom="1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7</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158" w:gutter="0" w:footer="0" w:header="0"/>
          <w:type w:val="continuous"/>
        </w:sectPr>
      </w:pPr>
    </w:p>
    <w:bookmarkStart w:id="14" w:name="page15"/>
    <w:bookmarkEnd w:id="14"/>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1159"/>
        <w:spacing w:after="0" w:line="245" w:lineRule="auto"/>
        <w:rPr>
          <w:sz w:val="20"/>
          <w:szCs w:val="20"/>
          <w:color w:val="auto"/>
        </w:rPr>
      </w:pPr>
      <w:r>
        <w:rPr>
          <w:rFonts w:ascii="Arial" w:cs="Arial" w:eastAsia="Arial" w:hAnsi="Arial"/>
          <w:sz w:val="21"/>
          <w:szCs w:val="21"/>
          <w:color w:val="auto"/>
        </w:rPr>
        <w:t>CHAT 150 is for small group use. It offers many of the same device connectivity and application options as the CHAT 50, but features three microphones in larger elegant design for use by a larger number of participants compared to CHAT 50. Users have the ability to add a high-quality, full-duplex speaker phone to their enterprise telephone handsets such as Avaya and Cisco and still retain the full functionality of their client directory services that come with today’s VoIP telephone handsets, including access to company directory, voicemail, and audio bridge functions. CHAT 150 makes it possible to introduce rich, crystal clear conferencing capability without the need for introducing a separate traditional conference phone. The speakerphone can also be controlled through the CHAT client application.</w:t>
      </w:r>
    </w:p>
    <w:p>
      <w:pPr>
        <w:spacing w:after="0" w:line="212" w:lineRule="exact"/>
        <w:rPr>
          <w:sz w:val="20"/>
          <w:szCs w:val="20"/>
          <w:color w:val="auto"/>
        </w:rPr>
      </w:pPr>
    </w:p>
    <w:p>
      <w:pPr>
        <w:ind w:right="1219"/>
        <w:spacing w:after="0" w:line="279" w:lineRule="auto"/>
        <w:rPr>
          <w:sz w:val="20"/>
          <w:szCs w:val="20"/>
          <w:color w:val="auto"/>
        </w:rPr>
      </w:pPr>
      <w:r>
        <w:rPr>
          <w:rFonts w:ascii="Arial" w:cs="Arial" w:eastAsia="Arial" w:hAnsi="Arial"/>
          <w:sz w:val="19"/>
          <w:szCs w:val="19"/>
          <w:color w:val="auto"/>
        </w:rPr>
        <w:t>CHATAttach™ 150, introduced in October 2010, is for use in both small and mid-size conference rooms. It is comprised of two CHAT 150 speakerphones which can daisy-chain together to function as a single conferencing system to provide balanced distribution of microphones and loudspeakers for outstanding audio quality and coverage, as well as distributed access to mute and volume user controls through each pod or through the CHAT client application for ease-of-use. Similar to our other daisy-chainable products, the CHATAttach can be used as a pair or each pod can be used separately.</w:t>
      </w:r>
    </w:p>
    <w:p>
      <w:pPr>
        <w:spacing w:after="0" w:line="178" w:lineRule="exact"/>
        <w:rPr>
          <w:sz w:val="20"/>
          <w:szCs w:val="20"/>
          <w:color w:val="auto"/>
        </w:rPr>
      </w:pPr>
    </w:p>
    <w:p>
      <w:pPr>
        <w:ind w:right="1179"/>
        <w:spacing w:after="0" w:line="279" w:lineRule="auto"/>
        <w:rPr>
          <w:sz w:val="20"/>
          <w:szCs w:val="20"/>
          <w:color w:val="auto"/>
        </w:rPr>
      </w:pPr>
      <w:r>
        <w:rPr>
          <w:rFonts w:ascii="Arial" w:cs="Arial" w:eastAsia="Arial" w:hAnsi="Arial"/>
          <w:sz w:val="19"/>
          <w:szCs w:val="19"/>
          <w:color w:val="auto"/>
        </w:rPr>
        <w:t>CHAT 70 and CHAT 170 are USB only, personal and small group speakerphones, both compatible to work with Microsoft's Lync unified communications platform and also with other unified communication applications. These products provide the same advanced audio signal processing technologies as other CHAT products. True to their plug-and-play capabilities, CHAT 70 and CHAT 170 require no driver downloads or installations and facilitate all incoming Lync Communicator calls to ring into these products. The speakerphones can also be controlled through the Lync client application.</w:t>
      </w:r>
    </w:p>
    <w:p>
      <w:pPr>
        <w:spacing w:after="0" w:line="178" w:lineRule="exact"/>
        <w:rPr>
          <w:sz w:val="20"/>
          <w:szCs w:val="20"/>
          <w:color w:val="auto"/>
        </w:rPr>
      </w:pPr>
    </w:p>
    <w:p>
      <w:pPr>
        <w:ind w:right="1159"/>
        <w:spacing w:after="0" w:line="234" w:lineRule="auto"/>
        <w:rPr>
          <w:sz w:val="20"/>
          <w:szCs w:val="20"/>
          <w:color w:val="auto"/>
        </w:rPr>
      </w:pPr>
      <w:r>
        <w:rPr>
          <w:rFonts w:ascii="Arial" w:cs="Arial" w:eastAsia="Arial" w:hAnsi="Arial"/>
          <w:sz w:val="22"/>
          <w:szCs w:val="22"/>
          <w:color w:val="auto"/>
        </w:rPr>
        <w:t>CHATAttach 170 was introduced in December 2010 to enhance collaboration in larger offices or conference rooms where the Microsoft Lync unified communications platform is used. The CHATAttach 170 requires no driver downloads or installations for Lync. Users plug it in and all incoming calls ring into the CHATAttach 170. The balanced distribution of microphones and loudspeakers provided by the CHATAttach 170, as well as distributed access to mute and volume user controls through each pod or through the Lync client application, provide ease-of-use benefits for larger group conferencing venues using Lync.</w:t>
      </w:r>
    </w:p>
    <w:p>
      <w:pPr>
        <w:spacing w:after="0" w:line="218" w:lineRule="exact"/>
        <w:rPr>
          <w:sz w:val="20"/>
          <w:szCs w:val="20"/>
          <w:color w:val="auto"/>
        </w:rPr>
      </w:pPr>
    </w:p>
    <w:p>
      <w:pPr>
        <w:ind w:right="1279"/>
        <w:spacing w:after="0" w:line="282" w:lineRule="auto"/>
        <w:rPr>
          <w:sz w:val="20"/>
          <w:szCs w:val="20"/>
          <w:color w:val="auto"/>
        </w:rPr>
      </w:pPr>
      <w:r>
        <w:rPr>
          <w:rFonts w:ascii="Arial" w:cs="Arial" w:eastAsia="Arial" w:hAnsi="Arial"/>
          <w:sz w:val="19"/>
          <w:szCs w:val="19"/>
          <w:color w:val="auto"/>
        </w:rPr>
        <w:t>CHAT 60 and CHAT 160 are personal and small group speakerphones that are USB only, and are both certified by Skype as optimized for use with Skype’s internet telephony platform. These products provide users of Skype with the same features and benefits as the CHAT 50 series and require no driver downloads or installations, enabling all incoming Skype calls to ring on the CHAT 60 or CHAT 160. The speakerphones can also be controlled through the Skype client application.</w:t>
      </w:r>
    </w:p>
    <w:p>
      <w:pPr>
        <w:spacing w:after="0" w:line="175" w:lineRule="exact"/>
        <w:rPr>
          <w:sz w:val="20"/>
          <w:szCs w:val="20"/>
          <w:color w:val="auto"/>
        </w:rPr>
      </w:pPr>
    </w:p>
    <w:p>
      <w:pPr>
        <w:ind w:right="1279"/>
        <w:spacing w:after="0" w:line="234" w:lineRule="auto"/>
        <w:rPr>
          <w:sz w:val="20"/>
          <w:szCs w:val="20"/>
          <w:color w:val="auto"/>
        </w:rPr>
      </w:pPr>
      <w:r>
        <w:rPr>
          <w:rFonts w:ascii="Arial" w:cs="Arial" w:eastAsia="Arial" w:hAnsi="Arial"/>
          <w:sz w:val="22"/>
          <w:szCs w:val="22"/>
          <w:color w:val="auto"/>
        </w:rPr>
        <w:t>CHATAttach 160 was introduced in November 2010 to enhance collaboration in larger offices or conference rooms where the Skype internet telephony platform is used. The CHATAttach 160 requires no driver downloads or installations for Skype. Users plug it in and all incoming calls ring into the CHATAttach 160. The balanced distribution of microphones and loudspeakers provided by the CHATAttach 160, as well as distributed access to mute and volume user controls through each pod or through the Skype client application, provide ease-of-use benefits for larger group conferencing venues using Skype.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Multimedia Streaming and Control Products: Overview</w:t>
      </w:r>
    </w:p>
    <w:p>
      <w:pPr>
        <w:spacing w:after="0" w:line="98" w:lineRule="exact"/>
        <w:rPr>
          <w:sz w:val="20"/>
          <w:szCs w:val="20"/>
          <w:color w:val="auto"/>
        </w:rPr>
      </w:pPr>
    </w:p>
    <w:p>
      <w:pPr>
        <w:ind w:right="1199"/>
        <w:spacing w:after="0" w:line="272" w:lineRule="auto"/>
        <w:rPr>
          <w:sz w:val="20"/>
          <w:szCs w:val="20"/>
          <w:color w:val="auto"/>
        </w:rPr>
      </w:pPr>
      <w:r>
        <w:rPr>
          <w:rFonts w:ascii="Arial" w:cs="Arial" w:eastAsia="Arial" w:hAnsi="Arial"/>
          <w:sz w:val="19"/>
          <w:szCs w:val="19"/>
          <w:color w:val="auto"/>
        </w:rPr>
        <w:t>Our Multimedia Streaming and Control Products are comprised of commercial and residential product lines. VIEW, the ClearOne brand introduced in 2010 targeted for commercial products, and NetStreams® DigiLinX, the ClearOne brand for residential products, deliver the ultimate IP A/V experience by streaming time sensitive high definition audio and video and control over TCP/IP networks. ClearOne’s products are designed for commercial and residential use to offer outstanding levels of performance, functionality, simplicity, reliability, and scalability. By combining audio and 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Other NetStreams residential brands include non-IP multimedia distribution solutions for the more economical and smaller scale multimedia residential streaming applications.</w:t>
      </w:r>
    </w:p>
    <w:p>
      <w:pPr>
        <w:sectPr>
          <w:pgSz w:w="11900" w:h="16838" w:orient="portrait"/>
          <w:cols w:equalWidth="0" w:num="1">
            <w:col w:w="10219"/>
          </w:cols>
          <w:pgMar w:left="240" w:top="112" w:right="1440" w:bottom="1016" w:gutter="0" w:footer="0" w:header="0"/>
        </w:sectPr>
      </w:pPr>
    </w:p>
    <w:bookmarkStart w:id="15" w:name="page16"/>
    <w:bookmarkEnd w:id="15"/>
    <w:p>
      <w:pPr>
        <w:ind w:left="3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8</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5763260"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spacing w:after="0" w:line="108" w:lineRule="exact"/>
        <w:rPr>
          <w:sz w:val="20"/>
          <w:szCs w:val="20"/>
          <w:color w:val="auto"/>
        </w:rPr>
      </w:pPr>
    </w:p>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Multimedia Streaming and Control Products: VIEW and DigiLinX</w:t>
      </w:r>
    </w:p>
    <w:p>
      <w:pPr>
        <w:spacing w:after="0" w:line="98" w:lineRule="exact"/>
        <w:rPr>
          <w:sz w:val="20"/>
          <w:szCs w:val="20"/>
          <w:color w:val="auto"/>
        </w:rPr>
      </w:pPr>
    </w:p>
    <w:p>
      <w:pPr>
        <w:ind w:right="1259"/>
        <w:spacing w:after="0" w:line="275" w:lineRule="auto"/>
        <w:rPr>
          <w:sz w:val="20"/>
          <w:szCs w:val="20"/>
          <w:color w:val="auto"/>
        </w:rPr>
      </w:pPr>
      <w:r>
        <w:rPr>
          <w:rFonts w:ascii="Arial" w:cs="Arial" w:eastAsia="Arial" w:hAnsi="Arial"/>
          <w:sz w:val="19"/>
          <w:szCs w:val="19"/>
          <w:color w:val="auto"/>
        </w:rPr>
        <w:t xml:space="preserve">The ClearOne VIEW and NetStreams DigiLinX branded products are powered by ClearOne's newly patented StreamNet® technology and </w:t>
      </w:r>
      <w:r>
        <w:rPr>
          <w:rFonts w:ascii="Arial" w:cs="Arial" w:eastAsia="Arial" w:hAnsi="Arial"/>
          <w:sz w:val="19"/>
          <w:szCs w:val="19"/>
          <w:i w:val="1"/>
          <w:iCs w:val="1"/>
          <w:color w:val="auto"/>
        </w:rPr>
        <w:t>Perfect Pixel</w:t>
      </w:r>
      <w:r>
        <w:rPr>
          <w:rFonts w:ascii="Arial" w:cs="Arial" w:eastAsia="Arial" w:hAnsi="Arial"/>
          <w:sz w:val="19"/>
          <w:szCs w:val="19"/>
          <w:color w:val="auto"/>
        </w:rPr>
        <w:t xml:space="preserve">, a combination of ClearOne’s proprietary and advanced algorithms for audio and video packet delivery optimization and error concealment insuring reliable delivery and avoiding dropped content across the IP network with perfect delivery synchronization to all endpoints within a millisecond. These product solutions enable drastic improvements in flexibility, scalability and price to performance over traditional multimedia streaming methods to effectively harness </w:t>
      </w:r>
      <w:r>
        <w:rPr>
          <w:rFonts w:ascii="Arial" w:cs="Arial" w:eastAsia="Arial" w:hAnsi="Arial"/>
          <w:sz w:val="19"/>
          <w:szCs w:val="19"/>
          <w:i w:val="1"/>
          <w:iCs w:val="1"/>
          <w:color w:val="auto"/>
        </w:rPr>
        <w:t>the Power of AV over IP</w:t>
      </w:r>
      <w:r>
        <w:rPr>
          <w:rFonts w:ascii="Arial" w:cs="Arial" w:eastAsia="Arial" w:hAnsi="Arial"/>
          <w:sz w:val="19"/>
          <w:szCs w:val="19"/>
          <w:color w:val="auto"/>
        </w:rPr>
        <w:t xml:space="preserve"> over existing Internet Protocol networks for the bourgeoning digital signage, and enterprise multimedia streaming markets.</w:t>
      </w:r>
    </w:p>
    <w:p>
      <w:pPr>
        <w:spacing w:after="0" w:line="185" w:lineRule="exact"/>
        <w:rPr>
          <w:sz w:val="20"/>
          <w:szCs w:val="20"/>
          <w:color w:val="auto"/>
        </w:rPr>
      </w:pPr>
    </w:p>
    <w:p>
      <w:pPr>
        <w:ind w:right="1139"/>
        <w:spacing w:after="0" w:line="245" w:lineRule="auto"/>
        <w:rPr>
          <w:sz w:val="20"/>
          <w:szCs w:val="20"/>
          <w:color w:val="auto"/>
        </w:rPr>
      </w:pPr>
      <w:r>
        <w:rPr>
          <w:rFonts w:ascii="Arial" w:cs="Arial" w:eastAsia="Arial" w:hAnsi="Arial"/>
          <w:sz w:val="21"/>
          <w:szCs w:val="21"/>
          <w:color w:val="auto"/>
        </w:rPr>
        <w:t>Both the ClearOne VIEW and NetStreams DigilinX are easy to use and create a web where all streaming multimedia and control functions reside on one network making for a truly integrated and interactive experience. A user can activate and control a single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DigiLinX systems have no limits on the numbers of sources, displays, or amplifiers in a project and can be used in areas from residential homes with a few rooms to large-scale commercial projects.</w:t>
      </w:r>
    </w:p>
    <w:p>
      <w:pPr>
        <w:spacing w:after="0" w:line="212" w:lineRule="exact"/>
        <w:rPr>
          <w:sz w:val="20"/>
          <w:szCs w:val="20"/>
          <w:color w:val="auto"/>
        </w:rPr>
      </w:pPr>
    </w:p>
    <w:p>
      <w:pPr>
        <w:ind w:right="1219"/>
        <w:spacing w:after="0" w:line="272" w:lineRule="auto"/>
        <w:rPr>
          <w:sz w:val="20"/>
          <w:szCs w:val="20"/>
          <w:color w:val="auto"/>
        </w:rPr>
      </w:pPr>
      <w:r>
        <w:rPr>
          <w:rFonts w:ascii="Arial" w:cs="Arial" w:eastAsia="Arial" w:hAnsi="Arial"/>
          <w:sz w:val="19"/>
          <w:szCs w:val="19"/>
          <w:color w:val="auto"/>
        </w:rPr>
        <w:t>Multimedia content and control are carried over existing network wiring obviating the necessity to pull separate infrastructure cable for audio, video, and another cable infrastructure system for controlling the sources and displays. Converting an audio or video signal to TCP/IP preserves the digital quality of the signal across the network. Unlike analog systems, which lose quality over long distances, TCP/IP packets are decoded to retain the same digital quality as they were encoded. Whether the multimedia streaming is being sent to the next floor or across an expansive campus, it arrives just as it was sent. ClearOne’s multimedia streaming and control products also allow for decentralization of switching equipment. Each StreamNet product for each node contains the needed processing and interfaces for its functionality. The VIEW and DigiLinX graphical user interface (GUI) are dynamically generated based on the devices connected on the network and require no additional programming. The GUIs include everything needed to easily control a system and any third party equipment, saving time and money on costly user interface design and programming.</w:t>
      </w:r>
    </w:p>
    <w:p>
      <w:pPr>
        <w:spacing w:after="0" w:line="189" w:lineRule="exact"/>
        <w:rPr>
          <w:sz w:val="20"/>
          <w:szCs w:val="20"/>
          <w:color w:val="auto"/>
        </w:rPr>
      </w:pPr>
    </w:p>
    <w:p>
      <w:pPr>
        <w:ind w:right="1179"/>
        <w:spacing w:after="0" w:line="245" w:lineRule="auto"/>
        <w:rPr>
          <w:sz w:val="20"/>
          <w:szCs w:val="20"/>
          <w:color w:val="auto"/>
        </w:rPr>
      </w:pPr>
      <w:r>
        <w:rPr>
          <w:rFonts w:ascii="Arial" w:cs="Arial" w:eastAsia="Arial" w:hAnsi="Arial"/>
          <w:sz w:val="21"/>
          <w:szCs w:val="21"/>
          <w:color w:val="auto"/>
        </w:rPr>
        <w:t>ClearOne's patented StreamNet encompasses several protocols, conventions, and technologies to insure outstanding quality of audio and video distribution over TCP/IP. StreamNet technology provides an end-to-end all digital solution with 1 millisecond A/V signal synchronization, automatic device discovery and configuration, self-healing, remote access for control, software upgrades and more. One of the fundamental problems with using TCP/IP to distribute digital audio to multiple zones is the synchronization of playback. Without synchronization, audio can sputter, cut out, or have strong echo effects from room to room, sometimes playing several seconds apart. ClearOne’s StreamNet technology ensures that audio and/or video content is synchronized to less than a millisecond of each device, preventing undesirable echo or latency.</w:t>
      </w:r>
    </w:p>
    <w:p>
      <w:pPr>
        <w:spacing w:after="0" w:line="212" w:lineRule="exact"/>
        <w:rPr>
          <w:sz w:val="20"/>
          <w:szCs w:val="20"/>
          <w:color w:val="auto"/>
        </w:rPr>
      </w:pPr>
    </w:p>
    <w:p>
      <w:pPr>
        <w:ind w:right="1219"/>
        <w:spacing w:after="0"/>
        <w:rPr>
          <w:sz w:val="20"/>
          <w:szCs w:val="20"/>
          <w:color w:val="auto"/>
        </w:rPr>
      </w:pPr>
      <w:r>
        <w:rPr>
          <w:rFonts w:ascii="Arial" w:cs="Arial" w:eastAsia="Arial" w:hAnsi="Arial"/>
          <w:sz w:val="22"/>
          <w:szCs w:val="22"/>
          <w:color w:val="auto"/>
        </w:rPr>
        <w:t>The latest addition of our Digital Encoder and Digital Decoder products with DVI/HDMI input and output enhances the flexibility of complete AV distribution system and makes it as easy to use as analog devices.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Multimedia Streaming and Control Products: Non-IP Products</w:t>
      </w:r>
    </w:p>
    <w:p>
      <w:pPr>
        <w:spacing w:after="0" w:line="98" w:lineRule="exact"/>
        <w:rPr>
          <w:sz w:val="20"/>
          <w:szCs w:val="20"/>
          <w:color w:val="auto"/>
        </w:rPr>
      </w:pPr>
    </w:p>
    <w:p>
      <w:pPr>
        <w:ind w:right="1219"/>
        <w:spacing w:after="0" w:line="245" w:lineRule="auto"/>
        <w:rPr>
          <w:sz w:val="20"/>
          <w:szCs w:val="20"/>
          <w:color w:val="auto"/>
        </w:rPr>
      </w:pPr>
      <w:r>
        <w:rPr>
          <w:rFonts w:ascii="Arial" w:cs="Arial" w:eastAsia="Arial" w:hAnsi="Arial"/>
          <w:sz w:val="21"/>
          <w:szCs w:val="21"/>
          <w:color w:val="auto"/>
        </w:rPr>
        <w:t>Musica, a NetStreams branded residential audio streaming system, is designed to deliver superior audio performance and features interactive keypads that are designed to be very easy to use. The advanced design of the Musica system places digital amplifiers in each zone, behind each keypad, rather than in one central location. This improves sound quality by reducing noise, distortion and power losses as well as increasing reliability and simplifying the installation. Any Musica keypad can be upgraded to include a digital FM Tuner, allowing every zone an independent selection of radio stations. Audio Ports of Musica are highly flexible, allowing the output of the distributed audio to be coupled with a powered subwoofer or external amplifier, as well as the input of a local source such as a television monitor or cable box.</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MagicBox Digital Signage Products</w:t>
      </w:r>
    </w:p>
    <w:p>
      <w:pPr>
        <w:spacing w:after="0" w:line="98" w:lineRule="exact"/>
        <w:rPr>
          <w:sz w:val="20"/>
          <w:szCs w:val="20"/>
          <w:color w:val="auto"/>
        </w:rPr>
      </w:pPr>
    </w:p>
    <w:p>
      <w:pPr>
        <w:ind w:right="1379"/>
        <w:spacing w:after="0" w:line="251" w:lineRule="auto"/>
        <w:rPr>
          <w:sz w:val="20"/>
          <w:szCs w:val="20"/>
          <w:color w:val="auto"/>
        </w:rPr>
      </w:pPr>
      <w:r>
        <w:rPr>
          <w:rFonts w:ascii="Arial" w:cs="Arial" w:eastAsia="Arial" w:hAnsi="Arial"/>
          <w:sz w:val="22"/>
          <w:szCs w:val="22"/>
          <w:color w:val="auto"/>
        </w:rPr>
        <w:t>We make digital signage and video messaging systems with an emphasis on ease of use and flexibility with hardware and software applications.</w:t>
      </w:r>
    </w:p>
    <w:p>
      <w:pPr>
        <w:spacing w:after="0" w:line="200" w:lineRule="exact"/>
        <w:rPr>
          <w:sz w:val="20"/>
          <w:szCs w:val="20"/>
          <w:color w:val="auto"/>
        </w:rPr>
      </w:pPr>
    </w:p>
    <w:p>
      <w:pPr>
        <w:ind w:right="1279"/>
        <w:spacing w:after="0" w:line="328" w:lineRule="auto"/>
        <w:rPr>
          <w:sz w:val="20"/>
          <w:szCs w:val="20"/>
          <w:color w:val="auto"/>
        </w:rPr>
      </w:pPr>
      <w:r>
        <w:rPr>
          <w:rFonts w:ascii="Arial" w:cs="Arial" w:eastAsia="Arial" w:hAnsi="Arial"/>
          <w:sz w:val="19"/>
          <w:szCs w:val="19"/>
          <w:color w:val="auto"/>
        </w:rPr>
        <w:t>Our Aavelin branded media players come with different hardware configurations for Digital Signage applications. Using the Composer software application with Aavelin media players, the contents can be</w:t>
      </w:r>
    </w:p>
    <w:p>
      <w:pPr>
        <w:sectPr>
          <w:pgSz w:w="11900" w:h="16946" w:orient="portrait"/>
          <w:cols w:equalWidth="0" w:num="1">
            <w:col w:w="10219"/>
          </w:cols>
          <w:pgMar w:left="240" w:top="112" w:right="1440" w:bottom="0" w:gutter="0" w:footer="0" w:header="0"/>
        </w:sectPr>
      </w:pPr>
    </w:p>
    <w:bookmarkStart w:id="17" w:name="page18"/>
    <w:bookmarkEnd w:id="17"/>
    <w:p>
      <w:pPr>
        <w:spacing w:after="0"/>
        <w:rPr>
          <w:sz w:val="20"/>
          <w:szCs w:val="20"/>
          <w:color w:val="auto"/>
        </w:rPr>
      </w:pPr>
      <w:r>
        <w:rPr>
          <w:rFonts w:ascii="Arial" w:cs="Arial" w:eastAsia="Arial" w:hAnsi="Arial"/>
          <w:sz w:val="19"/>
          <w:szCs w:val="19"/>
          <w:color w:val="auto"/>
        </w:rPr>
        <w:t>managed, scheduled and published to one or many media players to display on screens.</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9</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18" w:name="page19"/>
    <w:bookmarkEnd w:id="18"/>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jc w:val="both"/>
        <w:ind w:right="1439"/>
        <w:spacing w:after="0"/>
        <w:rPr>
          <w:sz w:val="20"/>
          <w:szCs w:val="20"/>
          <w:color w:val="auto"/>
        </w:rPr>
      </w:pPr>
      <w:r>
        <w:rPr>
          <w:rFonts w:ascii="Arial" w:cs="Arial" w:eastAsia="Arial" w:hAnsi="Arial"/>
          <w:sz w:val="22"/>
          <w:szCs w:val="22"/>
          <w:color w:val="auto"/>
        </w:rPr>
        <w:t>Our RoomRoster branded room information solution is a combination of display and data wrapped in one design. It consists of the room sign and database integration used to display room schedules and other information in real-time.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Media Carts</w:t>
      </w:r>
    </w:p>
    <w:p>
      <w:pPr>
        <w:spacing w:after="0" w:line="98" w:lineRule="exact"/>
        <w:rPr>
          <w:sz w:val="20"/>
          <w:szCs w:val="20"/>
          <w:color w:val="auto"/>
        </w:rPr>
      </w:pPr>
    </w:p>
    <w:p>
      <w:pPr>
        <w:ind w:right="1539"/>
        <w:spacing w:after="0" w:line="238" w:lineRule="auto"/>
        <w:rPr>
          <w:sz w:val="20"/>
          <w:szCs w:val="20"/>
          <w:color w:val="auto"/>
        </w:rPr>
      </w:pPr>
      <w:r>
        <w:rPr>
          <w:rFonts w:ascii="Arial" w:cs="Arial" w:eastAsia="Arial" w:hAnsi="Arial"/>
          <w:sz w:val="22"/>
          <w:szCs w:val="22"/>
          <w:color w:val="auto"/>
        </w:rPr>
        <w:t>We complement our audio conferencing products with media carts for audio and video conferencing access and mobility. Our wide selection makes conferencing easier and more convenient. Our media carts are designed to be highly durable and functional while also providing the style and elegance required for conferencing settings.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and Sales</w:t>
      </w:r>
    </w:p>
    <w:p>
      <w:pPr>
        <w:spacing w:after="0" w:line="239" w:lineRule="exact"/>
        <w:rPr>
          <w:sz w:val="20"/>
          <w:szCs w:val="20"/>
          <w:color w:val="auto"/>
        </w:rPr>
      </w:pPr>
    </w:p>
    <w:p>
      <w:pPr>
        <w:ind w:right="1219"/>
        <w:spacing w:after="0" w:line="275" w:lineRule="auto"/>
        <w:rPr>
          <w:sz w:val="20"/>
          <w:szCs w:val="20"/>
          <w:color w:val="auto"/>
        </w:rPr>
      </w:pPr>
      <w:r>
        <w:rPr>
          <w:rFonts w:ascii="Arial" w:cs="Arial" w:eastAsia="Arial" w:hAnsi="Arial"/>
          <w:sz w:val="19"/>
          <w:szCs w:val="19"/>
          <w:color w:val="auto"/>
        </w:rPr>
        <w:t>We primarily use a two-tier channel model through which we sell our commercial products to a worldwide network of independent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audio-video consultants. We also sell our commercial products directly to certain dealers, systems integrators, value-added resellers, and end-users. We sell our residential products through a global network of residential electronics dealers, system integrators, and other value-added resellers.</w:t>
      </w:r>
    </w:p>
    <w:p>
      <w:pPr>
        <w:spacing w:after="0" w:line="185" w:lineRule="exact"/>
        <w:rPr>
          <w:sz w:val="20"/>
          <w:szCs w:val="20"/>
          <w:color w:val="auto"/>
        </w:rPr>
      </w:pPr>
    </w:p>
    <w:p>
      <w:pPr>
        <w:ind w:right="1179"/>
        <w:spacing w:after="0" w:line="273" w:lineRule="auto"/>
        <w:rPr>
          <w:sz w:val="20"/>
          <w:szCs w:val="20"/>
          <w:color w:val="auto"/>
        </w:rPr>
      </w:pPr>
      <w:r>
        <w:rPr>
          <w:rFonts w:ascii="Arial" w:cs="Arial" w:eastAsia="Arial" w:hAnsi="Arial"/>
          <w:sz w:val="19"/>
          <w:szCs w:val="19"/>
          <w:color w:val="auto"/>
        </w:rPr>
        <w:t>During the year ended December 31, 2011, approximately $29.2 million, or 63 percent, of our total product sales were generated in the United States and product sales of approximately $16.8 million, or 37 percent, were generated outside the United States. Revenue from product sales to customers outside of the United States accounted for approximately 37 percent of our total product sales for the year ended December 31, 2010. We sell directly to our distributors, resellers and end users in approximately 62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Direct Distributors and resellers</w:t>
      </w:r>
    </w:p>
    <w:p>
      <w:pPr>
        <w:spacing w:after="0" w:line="98" w:lineRule="exact"/>
        <w:rPr>
          <w:sz w:val="20"/>
          <w:szCs w:val="20"/>
          <w:color w:val="auto"/>
        </w:rPr>
      </w:pPr>
    </w:p>
    <w:p>
      <w:pPr>
        <w:ind w:right="1319"/>
        <w:spacing w:after="0" w:line="246" w:lineRule="auto"/>
        <w:rPr>
          <w:sz w:val="20"/>
          <w:szCs w:val="20"/>
          <w:color w:val="auto"/>
        </w:rPr>
      </w:pPr>
      <w:r>
        <w:rPr>
          <w:rFonts w:ascii="Arial" w:cs="Arial" w:eastAsia="Arial" w:hAnsi="Arial"/>
          <w:sz w:val="21"/>
          <w:szCs w:val="21"/>
          <w:color w:val="auto"/>
        </w:rPr>
        <w:t>We sell our products directly to approximately 190 distributors and resellers throughout the world. Distributors and resellers purchase our products at a discount from list price and resell them on a non-exclusive basis to independent systems integrators, dealers, and other value-added resellers.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Independent Integrators, Dealers, and Resellers</w:t>
      </w:r>
    </w:p>
    <w:p>
      <w:pPr>
        <w:spacing w:after="0" w:line="98" w:lineRule="exact"/>
        <w:rPr>
          <w:sz w:val="20"/>
          <w:szCs w:val="20"/>
          <w:color w:val="auto"/>
        </w:rPr>
      </w:pPr>
    </w:p>
    <w:p>
      <w:pPr>
        <w:ind w:right="1199"/>
        <w:spacing w:after="0" w:line="273" w:lineRule="auto"/>
        <w:rPr>
          <w:sz w:val="20"/>
          <w:szCs w:val="20"/>
          <w:color w:val="auto"/>
        </w:rPr>
      </w:pPr>
      <w:r>
        <w:rPr>
          <w:rFonts w:ascii="Arial" w:cs="Arial" w:eastAsia="Arial" w:hAnsi="Arial"/>
          <w:sz w:val="19"/>
          <w:szCs w:val="19"/>
          <w:color w:val="auto"/>
        </w:rPr>
        <w:t>Our direct distributors and resellers sell our commercial products worldwide to hundreds of independent system integrators, telephony value-added resellers, IT value-added resellers, and PC dealers on a non-exclusive basis. 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Our residential dealers, system integrators, and other value-added resellers work in a similar fashion to our commercial dealers as they sell our products to end-users. We maintain close working relationships with our reseller partners and offer them education and training on all of our products.</w:t>
      </w:r>
    </w:p>
    <w:p>
      <w:pPr>
        <w:sectPr>
          <w:pgSz w:w="11900" w:h="16838" w:orient="portrait"/>
          <w:cols w:equalWidth="0" w:num="1">
            <w:col w:w="10219"/>
          </w:cols>
          <w:pgMar w:left="240" w:top="112" w:right="1440" w:bottom="7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10</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780" w:gutter="0" w:footer="0" w:header="0"/>
          <w:type w:val="continuous"/>
        </w:sectPr>
      </w:pPr>
    </w:p>
    <w:bookmarkStart w:id="19" w:name="page20"/>
    <w:bookmarkEnd w:id="19"/>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Marketing</w:t>
      </w:r>
    </w:p>
    <w:p>
      <w:pPr>
        <w:spacing w:after="0" w:line="98" w:lineRule="exact"/>
        <w:rPr>
          <w:sz w:val="20"/>
          <w:szCs w:val="20"/>
          <w:color w:val="auto"/>
        </w:rPr>
      </w:pPr>
    </w:p>
    <w:p>
      <w:pPr>
        <w:ind w:right="1139"/>
        <w:spacing w:after="0" w:line="245" w:lineRule="auto"/>
        <w:rPr>
          <w:sz w:val="20"/>
          <w:szCs w:val="20"/>
          <w:color w:val="auto"/>
        </w:rPr>
      </w:pPr>
      <w:r>
        <w:rPr>
          <w:rFonts w:ascii="Arial" w:cs="Arial" w:eastAsia="Arial" w:hAnsi="Arial"/>
          <w:sz w:val="21"/>
          <w:szCs w:val="21"/>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also market our NetStreams branded residential products on our website www.netstreams.com, our MagicBox branded digital signage products on our website www.magicboxinc.com, and ClearOne branded commercial products on our website www.clearone.com. We also conduct public relations initiatives to get press coverage and product reviews in industry and non-industry publications alike.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p>
    <w:p>
      <w:pPr>
        <w:spacing w:after="0" w:line="239" w:lineRule="exact"/>
        <w:rPr>
          <w:sz w:val="20"/>
          <w:szCs w:val="20"/>
          <w:color w:val="auto"/>
        </w:rPr>
      </w:pPr>
    </w:p>
    <w:p>
      <w:pPr>
        <w:ind w:right="1219"/>
        <w:spacing w:after="0" w:line="271" w:lineRule="auto"/>
        <w:rPr>
          <w:sz w:val="20"/>
          <w:szCs w:val="20"/>
          <w:color w:val="auto"/>
        </w:rPr>
      </w:pPr>
      <w:r>
        <w:rPr>
          <w:rFonts w:ascii="Arial" w:cs="Arial" w:eastAsia="Arial" w:hAnsi="Arial"/>
          <w:sz w:val="19"/>
          <w:szCs w:val="19"/>
          <w:color w:val="auto"/>
        </w:rPr>
        <w:t>We do not get any reports from our distributors and resellers to identify our end-users. Hence we do not know whether any end-user accounted for more than 10 percent of our total revenue during any of the periods reported in this Annual Report. However, revenues included sales to two distributors, Starin Marketing and VSO Marketing, that represented approximately 30% of consolidated revenue during the year ended December 31, 2011, with each of these distributors accounting for more than 10 percent of the consolidated revenue during that period. During the year ended December 31, 2010, revenues included sales to two distributors, namely NewComm Distributing and Starin Marketing, that represented 32.5% of the consolidated revenue, with each of these distributors accounting for more than 10 percent of the consolidated revenue during that period. As discussed above, these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As of December 31, 2011, our shipped orders on which we had not recognized revenue were $3.4 million and our backlog of unshipped orders was approximately $490,000.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ind w:right="1159"/>
        <w:spacing w:after="0" w:line="272" w:lineRule="auto"/>
        <w:rPr>
          <w:sz w:val="20"/>
          <w:szCs w:val="20"/>
          <w:color w:val="auto"/>
        </w:rPr>
      </w:pPr>
      <w:r>
        <w:rPr>
          <w:rFonts w:ascii="Arial" w:cs="Arial" w:eastAsia="Arial" w:hAnsi="Arial"/>
          <w:sz w:val="19"/>
          <w:szCs w:val="19"/>
          <w:color w:val="auto"/>
        </w:rPr>
        <w:t>The conferencing and the networked multimedia and control distribution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We believe the principal factors driving sales are the following:</w:t>
      </w:r>
    </w:p>
    <w:p>
      <w:pPr>
        <w:spacing w:after="0" w:line="233"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Quality, features and functionality, and ease of use of the products;</w:t>
      </w:r>
    </w:p>
    <w:p>
      <w:pPr>
        <w:spacing w:after="0" w:line="8"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Broad and deep global channel partnerships;</w:t>
      </w:r>
    </w:p>
    <w:p>
      <w:pPr>
        <w:ind w:left="620" w:hanging="288"/>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Significant established history of successful worldwide installations for diverse vertical markets;</w:t>
      </w:r>
    </w:p>
    <w:p>
      <w:pPr>
        <w:spacing w:after="0" w:line="24" w:lineRule="exact"/>
        <w:rPr>
          <w:rFonts w:ascii="Arial" w:cs="Arial" w:eastAsia="Arial" w:hAnsi="Arial"/>
          <w:sz w:val="19"/>
          <w:szCs w:val="19"/>
          <w:color w:val="auto"/>
        </w:rPr>
      </w:pPr>
    </w:p>
    <w:p>
      <w:pPr>
        <w:ind w:left="620" w:hanging="288"/>
        <w:spacing w:after="0" w:line="230" w:lineRule="auto"/>
        <w:tabs>
          <w:tab w:leader="none" w:pos="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Brand name recognition and acceptance;</w:t>
      </w:r>
    </w:p>
    <w:p>
      <w:pPr>
        <w:ind w:left="620" w:hanging="288"/>
        <w:spacing w:after="0" w:line="230" w:lineRule="auto"/>
        <w:tabs>
          <w:tab w:leader="none" w:pos="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Quality of customer and partner sales and technical support services; and</w:t>
      </w:r>
    </w:p>
    <w:p>
      <w:pPr>
        <w:ind w:left="620" w:hanging="288"/>
        <w:spacing w:after="0"/>
        <w:tabs>
          <w:tab w:leader="none" w:pos="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Effective sales and marketing.</w:t>
      </w:r>
    </w:p>
    <w:p>
      <w:pPr>
        <w:spacing w:after="0" w:line="215" w:lineRule="exact"/>
        <w:rPr>
          <w:sz w:val="20"/>
          <w:szCs w:val="20"/>
          <w:color w:val="auto"/>
        </w:rPr>
      </w:pPr>
    </w:p>
    <w:p>
      <w:pPr>
        <w:ind w:right="1259"/>
        <w:spacing w:after="0" w:line="245" w:lineRule="auto"/>
        <w:rPr>
          <w:sz w:val="20"/>
          <w:szCs w:val="20"/>
          <w:color w:val="auto"/>
        </w:rPr>
      </w:pPr>
      <w:r>
        <w:rPr>
          <w:rFonts w:ascii="Arial" w:cs="Arial" w:eastAsia="Arial" w:hAnsi="Arial"/>
          <w:sz w:val="21"/>
          <w:szCs w:val="21"/>
          <w:color w:val="auto"/>
        </w:rPr>
        <w:t>In the professional audio conferencing systems and sound reinforcement markets, our main competitors include Biamp Systems, Harman International, Lectrosonics, Peavey, Polycom, and Shure and their original equipment manufacturing (OEM) partners, with several other companies potentially poised to enter the market. We occupy the number one position in the global professional audio conferencing market with nearly 50% of the global market share. We have uniquely contributed to the professional conferencing market with three generations of products: the introduction of the Audio Perfect (“AP”) product line a number of years ago, followed by the XAP product line and subsequently the Converge Pro product line. We believe we continue to have a strong reputation with the system integrators and audio visual consultants.</w:t>
      </w:r>
    </w:p>
    <w:p>
      <w:pPr>
        <w:sectPr>
          <w:pgSz w:w="11900" w:h="16838" w:orient="portrait"/>
          <w:cols w:equalWidth="0" w:num="1">
            <w:col w:w="10219"/>
          </w:cols>
          <w:pgMar w:left="240" w:top="111" w:right="1440" w:bottom="553"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11</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576326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1" w:name="page22"/>
    <w:bookmarkEnd w:id="21"/>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1179"/>
        <w:spacing w:after="0" w:line="247" w:lineRule="auto"/>
        <w:rPr>
          <w:sz w:val="20"/>
          <w:szCs w:val="20"/>
          <w:color w:val="auto"/>
        </w:rPr>
      </w:pPr>
      <w:r>
        <w:rPr>
          <w:rFonts w:ascii="Arial" w:cs="Arial" w:eastAsia="Arial" w:hAnsi="Arial"/>
          <w:sz w:val="21"/>
          <w:szCs w:val="21"/>
          <w:color w:val="auto"/>
        </w:rPr>
        <w:t>In the traditional tabletop conferencing market, we face significant competition from Konftel (now part of Avaya), LifeSize (now part of Logitech), Panasonic and Polycom, and especially from their OEM partnerships. A significant portion of the tabletop market is covered by sales through OEM partnerships. While we believe MAX products have unique features like the ability to attach or daisy chain multiple phones together and have superior quality as a result of our proprietary digital signal processing technologies, our limited OEM partnerships and pricing pressures from higher volume competitors limit our ability to expand our existing share of this market.</w:t>
      </w:r>
    </w:p>
    <w:p>
      <w:pPr>
        <w:spacing w:after="0" w:line="205" w:lineRule="exact"/>
        <w:rPr>
          <w:sz w:val="20"/>
          <w:szCs w:val="20"/>
          <w:color w:val="auto"/>
        </w:rPr>
      </w:pPr>
    </w:p>
    <w:p>
      <w:pPr>
        <w:ind w:right="1199"/>
        <w:spacing w:after="0" w:line="238" w:lineRule="auto"/>
        <w:rPr>
          <w:sz w:val="20"/>
          <w:szCs w:val="20"/>
          <w:color w:val="auto"/>
        </w:rPr>
      </w:pPr>
      <w:r>
        <w:rPr>
          <w:rFonts w:ascii="Arial" w:cs="Arial" w:eastAsia="Arial" w:hAnsi="Arial"/>
          <w:sz w:val="22"/>
          <w:szCs w:val="22"/>
          <w:color w:val="auto"/>
        </w:rPr>
        <w:t>Our primary competitors in the personal conferencing market are GN Netcom, Phoenix Audio, Plantronics, Polycom, Yamaha and their OEM partners. We believe that our CHAT product line offers unique advantages as a result of their superior audio performance and their ability to connect to multiple devices for a variety of applications.</w:t>
      </w:r>
    </w:p>
    <w:p>
      <w:pPr>
        <w:spacing w:after="0" w:line="212" w:lineRule="exact"/>
        <w:rPr>
          <w:sz w:val="20"/>
          <w:szCs w:val="20"/>
          <w:color w:val="auto"/>
        </w:rPr>
      </w:pPr>
    </w:p>
    <w:p>
      <w:pPr>
        <w:ind w:right="1139"/>
        <w:spacing w:after="0" w:line="247" w:lineRule="auto"/>
        <w:rPr>
          <w:sz w:val="20"/>
          <w:szCs w:val="20"/>
          <w:color w:val="auto"/>
        </w:rPr>
      </w:pPr>
      <w:r>
        <w:rPr>
          <w:rFonts w:ascii="Arial" w:cs="Arial" w:eastAsia="Arial" w:hAnsi="Arial"/>
          <w:sz w:val="21"/>
          <w:szCs w:val="21"/>
          <w:color w:val="auto"/>
        </w:rPr>
        <w:t>Our networked multimedia streaming and control products face intense competition from a few well-established corporations of diversified capabilities and strengths. In the commercial streaming multimedia and control market, our main competitors include AMX, BiAmp, Crestron, Extron, Haivision. In the residential streaming multimedia and control market, our main competitors include AMX, Crestron, ELAN, and Russound. We believe that our pioneering and patented StreamNet technology delivers superior audio and video streaming performance and flexibility and provides us with a competitive edge over other industry players.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In digital signage, our primary competitors include Scala, Tightrope and Visix.</w:t>
      </w:r>
    </w:p>
    <w:p>
      <w:pPr>
        <w:spacing w:after="0" w:line="233" w:lineRule="exact"/>
        <w:rPr>
          <w:sz w:val="20"/>
          <w:szCs w:val="20"/>
          <w:color w:val="auto"/>
        </w:rPr>
      </w:pPr>
    </w:p>
    <w:p>
      <w:pPr>
        <w:ind w:right="1559"/>
        <w:spacing w:after="0" w:line="287" w:lineRule="auto"/>
        <w:rPr>
          <w:sz w:val="20"/>
          <w:szCs w:val="20"/>
          <w:color w:val="auto"/>
        </w:rPr>
      </w:pPr>
      <w:r>
        <w:rPr>
          <w:rFonts w:ascii="Arial" w:cs="Arial" w:eastAsia="Arial" w:hAnsi="Arial"/>
          <w:sz w:val="19"/>
          <w:szCs w:val="19"/>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We cannot provide assurance that we will continue to compete effectively in the markets we serve.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Environment</w:t>
      </w:r>
    </w:p>
    <w:p>
      <w:pPr>
        <w:spacing w:after="0" w:line="239" w:lineRule="exact"/>
        <w:rPr>
          <w:sz w:val="20"/>
          <w:szCs w:val="20"/>
          <w:color w:val="auto"/>
        </w:rPr>
      </w:pPr>
    </w:p>
    <w:p>
      <w:pPr>
        <w:ind w:right="1319"/>
        <w:spacing w:after="0" w:line="249" w:lineRule="auto"/>
        <w:rPr>
          <w:sz w:val="20"/>
          <w:szCs w:val="20"/>
          <w:color w:val="auto"/>
        </w:rPr>
      </w:pPr>
      <w:r>
        <w:rPr>
          <w:rFonts w:ascii="Arial" w:cs="Arial" w:eastAsia="Arial" w:hAnsi="Arial"/>
          <w:sz w:val="21"/>
          <w:szCs w:val="21"/>
          <w:color w:val="auto"/>
        </w:rPr>
        <w:t>Regulations regarding product safety, product operational agency compliance, the materials used in manufacturing, the process of disposing of electronic equipment and the efficient use of energy require additional time to obtain regulatory approvals of new products in both domestic and international markets. Such regulations may impact our ability to expand our sales in a timely and cost-effective manner and as a result, our business could be harmed.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Availability of Raw Materials</w:t>
      </w:r>
    </w:p>
    <w:p>
      <w:pPr>
        <w:spacing w:after="0" w:line="239" w:lineRule="exact"/>
        <w:rPr>
          <w:sz w:val="20"/>
          <w:szCs w:val="20"/>
          <w:color w:val="auto"/>
        </w:rPr>
      </w:pPr>
    </w:p>
    <w:p>
      <w:pPr>
        <w:ind w:right="1219"/>
        <w:spacing w:after="0" w:line="238" w:lineRule="auto"/>
        <w:rPr>
          <w:sz w:val="20"/>
          <w:szCs w:val="20"/>
          <w:color w:val="auto"/>
        </w:rPr>
      </w:pPr>
      <w:r>
        <w:rPr>
          <w:rFonts w:ascii="Arial" w:cs="Arial" w:eastAsia="Arial" w:hAnsi="Arial"/>
          <w:sz w:val="22"/>
          <w:szCs w:val="22"/>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w:t>
      </w:r>
    </w:p>
    <w:p>
      <w:pPr>
        <w:spacing w:after="0" w:line="212" w:lineRule="exact"/>
        <w:rPr>
          <w:sz w:val="20"/>
          <w:szCs w:val="20"/>
          <w:color w:val="auto"/>
        </w:rPr>
      </w:pPr>
    </w:p>
    <w:p>
      <w:pPr>
        <w:ind w:right="1159"/>
        <w:spacing w:after="0" w:line="252" w:lineRule="auto"/>
        <w:rPr>
          <w:sz w:val="20"/>
          <w:szCs w:val="20"/>
          <w:color w:val="auto"/>
        </w:rPr>
      </w:pPr>
      <w:r>
        <w:rPr>
          <w:rFonts w:ascii="Arial" w:cs="Arial" w:eastAsia="Arial" w:hAnsi="Arial"/>
          <w:sz w:val="21"/>
          <w:szCs w:val="21"/>
          <w:color w:val="auto"/>
        </w:rPr>
        <w:t>We continually work with our EMS providers to seek alternative sources for all our components and raw materials requirements to ensure higher quality and better pricing. Most of our EMS providers and their vendors are qualified by Corporate Quality Assurance. We work with our EMS providers to ensure that raw materials and components conform to our specifications.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39" w:lineRule="exact"/>
        <w:rPr>
          <w:sz w:val="20"/>
          <w:szCs w:val="20"/>
          <w:color w:val="auto"/>
        </w:rPr>
      </w:pPr>
    </w:p>
    <w:p>
      <w:pPr>
        <w:ind w:right="1839"/>
        <w:spacing w:after="0" w:line="251" w:lineRule="auto"/>
        <w:rPr>
          <w:sz w:val="20"/>
          <w:szCs w:val="20"/>
          <w:color w:val="auto"/>
        </w:rPr>
      </w:pPr>
      <w:r>
        <w:rPr>
          <w:rFonts w:ascii="Arial" w:cs="Arial" w:eastAsia="Arial" w:hAnsi="Arial"/>
          <w:sz w:val="22"/>
          <w:szCs w:val="22"/>
          <w:color w:val="auto"/>
        </w:rPr>
        <w:t>Currently, all of our products are manufactured by EMS providers. Our primary EMS provider is Flextronics.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239" w:lineRule="exact"/>
        <w:rPr>
          <w:sz w:val="20"/>
          <w:szCs w:val="20"/>
          <w:color w:val="auto"/>
        </w:rPr>
      </w:pPr>
    </w:p>
    <w:p>
      <w:pPr>
        <w:ind w:right="1199"/>
        <w:spacing w:after="0" w:line="287" w:lineRule="auto"/>
        <w:rPr>
          <w:sz w:val="20"/>
          <w:szCs w:val="20"/>
          <w:color w:val="auto"/>
        </w:rPr>
      </w:pPr>
      <w:r>
        <w:rPr>
          <w:rFonts w:ascii="Arial" w:cs="Arial" w:eastAsia="Arial" w:hAnsi="Arial"/>
          <w:sz w:val="19"/>
          <w:szCs w:val="19"/>
          <w:color w:val="auto"/>
        </w:rPr>
        <w:t>Our commercial audio conferencing products and media carts revenue has historically been strongest during the third and fourth quarters, though the variations between the quarters are not consistently significant. There can be no assurance that any historic sales patterns will continue and, as a result, sales for any prior quarter are not necessarily indicative of the sales to be expected in any future quarter.</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12</w:t>
      </w:r>
      <w:r>
        <w:rPr>
          <w:rFonts w:ascii="Arial" w:cs="Arial" w:eastAsia="Arial" w:hAnsi="Arial"/>
          <w:sz w:val="14"/>
          <w:szCs w:val="14"/>
          <w:color w:val="auto"/>
        </w:rPr>
        <w:t xml:space="preserve"> |</w:t>
      </w:r>
    </w:p>
    <w:p>
      <w:pPr>
        <w:sectPr>
          <w:pgSz w:w="11900" w:h="16838" w:orient="portrait"/>
          <w:cols w:equalWidth="0" w:num="1">
            <w:col w:w="10219"/>
          </w:cols>
          <w:pgMar w:left="240" w:top="111" w:right="1440" w:bottom="0" w:gutter="0" w:footer="0" w:header="0"/>
          <w:type w:val="continuous"/>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6326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ITEM 1 – BUSINESS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Product Development</w:t>
      </w:r>
    </w:p>
    <w:p>
      <w:pPr>
        <w:spacing w:after="0" w:line="239" w:lineRule="exact"/>
        <w:rPr>
          <w:sz w:val="20"/>
          <w:szCs w:val="20"/>
          <w:color w:val="auto"/>
        </w:rPr>
      </w:pPr>
    </w:p>
    <w:p>
      <w:pPr>
        <w:ind w:right="1139"/>
        <w:spacing w:after="0" w:line="252" w:lineRule="auto"/>
        <w:rPr>
          <w:sz w:val="20"/>
          <w:szCs w:val="20"/>
          <w:color w:val="auto"/>
        </w:rPr>
      </w:pPr>
      <w:r>
        <w:rPr>
          <w:rFonts w:ascii="Arial" w:cs="Arial" w:eastAsia="Arial" w:hAnsi="Arial"/>
          <w:sz w:val="21"/>
          <w:szCs w:val="21"/>
          <w:color w:val="auto"/>
        </w:rPr>
        <w:t>We are committed to research and product development and view our continued investment in research and product development as a key ingredient to our long-term business success. Our research and product development expenditures were approximately $7.1 million during the year ended December 31, 2011 and $7.7 million during the year ended December 31, 2010.</w:t>
      </w:r>
    </w:p>
    <w:p>
      <w:pPr>
        <w:spacing w:after="0" w:line="201" w:lineRule="exact"/>
        <w:rPr>
          <w:sz w:val="20"/>
          <w:szCs w:val="20"/>
          <w:color w:val="auto"/>
        </w:rPr>
      </w:pPr>
    </w:p>
    <w:p>
      <w:pPr>
        <w:ind w:right="1399"/>
        <w:spacing w:after="0" w:line="279" w:lineRule="auto"/>
        <w:rPr>
          <w:sz w:val="20"/>
          <w:szCs w:val="20"/>
          <w:color w:val="auto"/>
        </w:rPr>
      </w:pPr>
      <w:r>
        <w:rPr>
          <w:rFonts w:ascii="Arial" w:cs="Arial" w:eastAsia="Arial" w:hAnsi="Arial"/>
          <w:sz w:val="19"/>
          <w:szCs w:val="19"/>
          <w:color w:val="auto"/>
        </w:rPr>
        <w:t>Our core competencies in research and product development include (a) many audio technologies, including acoustic echo cancellation, noise cancellation and other advanced adaptive digital signal processing technologies, and (b) networking and multimedia streaming technologies. We also have expertise in wireless technologies, VoIP, software and network application, and digital signage system development. We believe that continued investment in our core technological competencies is vital to developing new products and to enhancing existing products.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 and Other Proprietary Rights</w:t>
      </w:r>
    </w:p>
    <w:p>
      <w:pPr>
        <w:spacing w:after="0" w:line="239" w:lineRule="exact"/>
        <w:rPr>
          <w:sz w:val="20"/>
          <w:szCs w:val="20"/>
          <w:color w:val="auto"/>
        </w:rPr>
      </w:pPr>
    </w:p>
    <w:p>
      <w:pPr>
        <w:ind w:right="1179"/>
        <w:spacing w:after="0" w:line="252" w:lineRule="auto"/>
        <w:rPr>
          <w:sz w:val="20"/>
          <w:szCs w:val="20"/>
          <w:color w:val="auto"/>
        </w:rPr>
      </w:pPr>
      <w:r>
        <w:rPr>
          <w:rFonts w:ascii="Arial" w:cs="Arial" w:eastAsia="Arial" w:hAnsi="Arial"/>
          <w:sz w:val="21"/>
          <w:szCs w:val="21"/>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201" w:lineRule="exact"/>
        <w:rPr>
          <w:sz w:val="20"/>
          <w:szCs w:val="20"/>
          <w:color w:val="auto"/>
        </w:rPr>
      </w:pPr>
    </w:p>
    <w:p>
      <w:pPr>
        <w:ind w:right="1159"/>
        <w:spacing w:after="0" w:line="282" w:lineRule="auto"/>
        <w:rPr>
          <w:sz w:val="20"/>
          <w:szCs w:val="20"/>
          <w:color w:val="auto"/>
        </w:rPr>
      </w:pPr>
      <w:r>
        <w:rPr>
          <w:rFonts w:ascii="Arial" w:cs="Arial" w:eastAsia="Arial" w:hAnsi="Arial"/>
          <w:sz w:val="19"/>
          <w:szCs w:val="19"/>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ind w:right="1239"/>
        <w:spacing w:after="0" w:line="287" w:lineRule="auto"/>
        <w:rPr>
          <w:sz w:val="20"/>
          <w:szCs w:val="20"/>
          <w:color w:val="auto"/>
        </w:rPr>
      </w:pPr>
      <w:r>
        <w:rPr>
          <w:rFonts w:ascii="Arial" w:cs="Arial" w:eastAsia="Arial" w:hAnsi="Arial"/>
          <w:sz w:val="19"/>
          <w:szCs w:val="19"/>
          <w:color w:val="auto"/>
        </w:rPr>
        <w:t>As of December 31, 2011, we had 139 full-time employees. Of these employees, 86 were located in our Salt Lake City office, 49 in other U.S. locations, two in the United Kingdom and two in Asia. None of our employees is subject to a collective bargaining agreement and we believe our relationship with our employees is good. We also hire contractors with specific skill sets to meet our operational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13</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4" w:name="page25"/>
    <w:bookmarkEnd w:id="24"/>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ITEM 1A – RISK FACTORS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58" w:lineRule="exact"/>
        <w:rPr>
          <w:sz w:val="20"/>
          <w:szCs w:val="20"/>
          <w:color w:val="auto"/>
        </w:rPr>
      </w:pPr>
    </w:p>
    <w:p>
      <w:pPr>
        <w:ind w:right="1179"/>
        <w:spacing w:after="0" w:line="211" w:lineRule="auto"/>
        <w:rPr>
          <w:sz w:val="20"/>
          <w:szCs w:val="20"/>
          <w:color w:val="auto"/>
        </w:rPr>
      </w:pPr>
      <w:r>
        <w:rPr>
          <w:rFonts w:ascii="Arial" w:cs="Arial" w:eastAsia="Arial" w:hAnsi="Arial"/>
          <w:sz w:val="21"/>
          <w:szCs w:val="21"/>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Relating to Our Business</w:t>
      </w:r>
    </w:p>
    <w:p>
      <w:pPr>
        <w:spacing w:after="0" w:line="166" w:lineRule="exact"/>
        <w:rPr>
          <w:sz w:val="20"/>
          <w:szCs w:val="20"/>
          <w:color w:val="auto"/>
        </w:rPr>
      </w:pPr>
    </w:p>
    <w:p>
      <w:pPr>
        <w:ind w:right="1339"/>
        <w:spacing w:after="0" w:line="251" w:lineRule="auto"/>
        <w:rPr>
          <w:sz w:val="20"/>
          <w:szCs w:val="20"/>
          <w:color w:val="auto"/>
        </w:rPr>
      </w:pPr>
      <w:r>
        <w:rPr>
          <w:rFonts w:ascii="Arial" w:cs="Arial" w:eastAsia="Arial" w:hAnsi="Arial"/>
          <w:sz w:val="22"/>
          <w:szCs w:val="22"/>
          <w:i w:val="1"/>
          <w:iCs w:val="1"/>
          <w:color w:val="0000FF"/>
        </w:rPr>
        <w:t>We face intense competition in all markets for our products and services and our operating results will be adversely affected if we cannot compete effectively against other companies.</w:t>
      </w:r>
    </w:p>
    <w:p>
      <w:pPr>
        <w:spacing w:after="0" w:line="52" w:lineRule="exact"/>
        <w:rPr>
          <w:sz w:val="20"/>
          <w:szCs w:val="20"/>
          <w:color w:val="auto"/>
        </w:rPr>
      </w:pPr>
    </w:p>
    <w:p>
      <w:pPr>
        <w:ind w:right="1139"/>
        <w:spacing w:after="0" w:line="233" w:lineRule="auto"/>
        <w:rPr>
          <w:sz w:val="20"/>
          <w:szCs w:val="20"/>
          <w:color w:val="auto"/>
        </w:rPr>
      </w:pPr>
      <w:r>
        <w:rPr>
          <w:rFonts w:ascii="Arial" w:cs="Arial" w:eastAsia="Arial" w:hAnsi="Arial"/>
          <w:sz w:val="19"/>
          <w:szCs w:val="19"/>
          <w:color w:val="auto"/>
        </w:rPr>
        <w:t>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i w:val="1"/>
          <w:iCs w:val="1"/>
          <w:color w:val="0000FF"/>
        </w:rPr>
        <w:t>Difficulties in estimating customer demand in our products segment could harm our profit margins.</w:t>
      </w:r>
    </w:p>
    <w:p>
      <w:pPr>
        <w:spacing w:after="0" w:line="119" w:lineRule="exact"/>
        <w:rPr>
          <w:sz w:val="20"/>
          <w:szCs w:val="20"/>
          <w:color w:val="auto"/>
        </w:rPr>
      </w:pPr>
    </w:p>
    <w:p>
      <w:pPr>
        <w:ind w:right="1179"/>
        <w:spacing w:after="0" w:line="228" w:lineRule="auto"/>
        <w:rPr>
          <w:sz w:val="20"/>
          <w:szCs w:val="20"/>
          <w:color w:val="auto"/>
        </w:rPr>
      </w:pPr>
      <w:r>
        <w:rPr>
          <w:rFonts w:ascii="Arial" w:cs="Arial" w:eastAsia="Arial" w:hAnsi="Arial"/>
          <w:sz w:val="19"/>
          <w:szCs w:val="19"/>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Our sales depend to a certain extent on government funding and regulation.</w:t>
      </w:r>
    </w:p>
    <w:p>
      <w:pPr>
        <w:spacing w:after="0" w:line="85" w:lineRule="exact"/>
        <w:rPr>
          <w:sz w:val="20"/>
          <w:szCs w:val="20"/>
          <w:color w:val="auto"/>
        </w:rPr>
      </w:pPr>
    </w:p>
    <w:p>
      <w:pPr>
        <w:ind w:right="1299"/>
        <w:spacing w:after="0" w:line="238" w:lineRule="auto"/>
        <w:rPr>
          <w:sz w:val="20"/>
          <w:szCs w:val="20"/>
          <w:color w:val="auto"/>
        </w:rPr>
      </w:pPr>
      <w:r>
        <w:rPr>
          <w:rFonts w:ascii="Arial" w:cs="Arial" w:eastAsia="Arial" w:hAnsi="Arial"/>
          <w:sz w:val="19"/>
          <w:szCs w:val="19"/>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146" w:lineRule="exact"/>
        <w:rPr>
          <w:sz w:val="20"/>
          <w:szCs w:val="20"/>
          <w:color w:val="auto"/>
        </w:rPr>
      </w:pPr>
    </w:p>
    <w:p>
      <w:pPr>
        <w:ind w:right="1259"/>
        <w:spacing w:after="0" w:line="251" w:lineRule="auto"/>
        <w:rPr>
          <w:sz w:val="20"/>
          <w:szCs w:val="20"/>
          <w:color w:val="auto"/>
        </w:rPr>
      </w:pPr>
      <w:r>
        <w:rPr>
          <w:rFonts w:ascii="Arial" w:cs="Arial" w:eastAsia="Arial" w:hAnsi="Arial"/>
          <w:sz w:val="22"/>
          <w:szCs w:val="22"/>
          <w:i w:val="1"/>
          <w:iCs w:val="1"/>
          <w:color w:val="0000FF"/>
        </w:rPr>
        <w:t>Environmental laws and regulations subject us to a number of risks and could result in significant costs and impact on revenue.</w:t>
      </w:r>
    </w:p>
    <w:p>
      <w:pPr>
        <w:spacing w:after="0" w:line="52" w:lineRule="exact"/>
        <w:rPr>
          <w:sz w:val="20"/>
          <w:szCs w:val="20"/>
          <w:color w:val="auto"/>
        </w:rPr>
      </w:pPr>
    </w:p>
    <w:p>
      <w:pPr>
        <w:ind w:right="1299"/>
        <w:spacing w:after="0" w:line="243" w:lineRule="auto"/>
        <w:rPr>
          <w:sz w:val="20"/>
          <w:szCs w:val="20"/>
          <w:color w:val="auto"/>
        </w:rPr>
      </w:pPr>
      <w:r>
        <w:rPr>
          <w:rFonts w:ascii="Arial" w:cs="Arial" w:eastAsia="Arial" w:hAnsi="Arial"/>
          <w:sz w:val="19"/>
          <w:szCs w:val="19"/>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i w:val="1"/>
          <w:iCs w:val="1"/>
          <w:color w:val="0000FF"/>
        </w:rPr>
        <w:t>Our profitability may be adversely affected by our continuing dependence on our distribution channels.</w:t>
      </w:r>
    </w:p>
    <w:p>
      <w:pPr>
        <w:spacing w:after="0" w:line="119" w:lineRule="exact"/>
        <w:rPr>
          <w:sz w:val="20"/>
          <w:szCs w:val="20"/>
          <w:color w:val="auto"/>
        </w:rPr>
      </w:pPr>
    </w:p>
    <w:p>
      <w:pPr>
        <w:ind w:right="1239"/>
        <w:spacing w:after="0" w:line="210" w:lineRule="auto"/>
        <w:rPr>
          <w:sz w:val="20"/>
          <w:szCs w:val="20"/>
          <w:color w:val="auto"/>
        </w:rPr>
      </w:pPr>
      <w:r>
        <w:rPr>
          <w:rFonts w:ascii="Arial" w:cs="Arial" w:eastAsia="Arial" w:hAnsi="Arial"/>
          <w:sz w:val="21"/>
          <w:szCs w:val="21"/>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 could adversely affect our net revenue and profit margins.</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14</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25" w:name="page26"/>
    <w:bookmarkEnd w:id="25"/>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ITEM 1A – RISK FACTORS</w:t>
      </w:r>
    </w:p>
    <w:p>
      <w:pPr>
        <w:spacing w:after="0" w:line="202" w:lineRule="exact"/>
        <w:rPr>
          <w:sz w:val="20"/>
          <w:szCs w:val="20"/>
          <w:color w:val="auto"/>
        </w:rPr>
      </w:pPr>
    </w:p>
    <w:p>
      <w:pPr>
        <w:ind w:right="1159"/>
        <w:spacing w:after="0" w:line="210" w:lineRule="auto"/>
        <w:rPr>
          <w:sz w:val="20"/>
          <w:szCs w:val="20"/>
          <w:color w:val="auto"/>
        </w:rPr>
      </w:pPr>
      <w:r>
        <w:rPr>
          <w:rFonts w:ascii="Arial" w:cs="Arial" w:eastAsia="Arial" w:hAnsi="Arial"/>
          <w:sz w:val="21"/>
          <w:szCs w:val="21"/>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33" w:lineRule="exact"/>
        <w:rPr>
          <w:sz w:val="20"/>
          <w:szCs w:val="20"/>
          <w:color w:val="auto"/>
        </w:rPr>
      </w:pPr>
    </w:p>
    <w:p>
      <w:pPr>
        <w:ind w:right="1159"/>
        <w:spacing w:after="0" w:line="232" w:lineRule="auto"/>
        <w:rPr>
          <w:sz w:val="20"/>
          <w:szCs w:val="20"/>
          <w:color w:val="auto"/>
        </w:rPr>
      </w:pPr>
      <w:r>
        <w:rPr>
          <w:rFonts w:ascii="Arial" w:cs="Arial" w:eastAsia="Arial" w:hAnsi="Arial"/>
          <w:sz w:val="19"/>
          <w:szCs w:val="19"/>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be adversely affected if we reduce product prices significantly or distributors happen to have significant inventory on-hand of the affected product at the time of a price reduction. Further, if we do not have sufficient cash resources to compensate distributors on terms satisfactory to them or us, our price protection obligations may prevent us from reacting quickly to competitive market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i w:val="1"/>
          <w:iCs w:val="1"/>
          <w:color w:val="0000FF"/>
        </w:rPr>
        <w:t>Product development delays or defects could harm our competitive position and reduce our revenue.</w:t>
      </w:r>
    </w:p>
    <w:p>
      <w:pPr>
        <w:spacing w:after="0" w:line="119" w:lineRule="exact"/>
        <w:rPr>
          <w:sz w:val="20"/>
          <w:szCs w:val="20"/>
          <w:color w:val="auto"/>
        </w:rPr>
      </w:pPr>
    </w:p>
    <w:p>
      <w:pPr>
        <w:ind w:right="1159"/>
        <w:spacing w:after="0" w:line="232" w:lineRule="auto"/>
        <w:rPr>
          <w:sz w:val="20"/>
          <w:szCs w:val="20"/>
          <w:color w:val="auto"/>
        </w:rPr>
      </w:pPr>
      <w:r>
        <w:rPr>
          <w:rFonts w:ascii="Arial" w:cs="Arial" w:eastAsia="Arial" w:hAnsi="Arial"/>
          <w:sz w:val="19"/>
          <w:szCs w:val="19"/>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 the following :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34" w:lineRule="exact"/>
        <w:rPr>
          <w:sz w:val="20"/>
          <w:szCs w:val="20"/>
          <w:color w:val="auto"/>
        </w:rPr>
      </w:pPr>
    </w:p>
    <w:p>
      <w:pPr>
        <w:ind w:right="1739"/>
        <w:spacing w:after="0" w:line="219" w:lineRule="auto"/>
        <w:rPr>
          <w:sz w:val="20"/>
          <w:szCs w:val="20"/>
          <w:color w:val="auto"/>
        </w:rPr>
      </w:pPr>
      <w:r>
        <w:rPr>
          <w:rFonts w:ascii="Arial" w:cs="Arial" w:eastAsia="Arial" w:hAnsi="Arial"/>
          <w:sz w:val="21"/>
          <w:szCs w:val="21"/>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45" w:lineRule="exact"/>
        <w:rPr>
          <w:sz w:val="20"/>
          <w:szCs w:val="20"/>
          <w:color w:val="auto"/>
        </w:rPr>
      </w:pPr>
    </w:p>
    <w:p>
      <w:pPr>
        <w:ind w:right="1579"/>
        <w:spacing w:after="0" w:line="251" w:lineRule="auto"/>
        <w:rPr>
          <w:sz w:val="20"/>
          <w:szCs w:val="20"/>
          <w:color w:val="auto"/>
        </w:rPr>
      </w:pPr>
      <w:r>
        <w:rPr>
          <w:rFonts w:ascii="Arial" w:cs="Arial" w:eastAsia="Arial" w:hAnsi="Arial"/>
          <w:sz w:val="22"/>
          <w:szCs w:val="22"/>
          <w:i w:val="1"/>
          <w:iCs w:val="1"/>
          <w:color w:val="0000FF"/>
        </w:rPr>
        <w:t>We rely on reporting of distribution channel inventory by our distributors to recognize revenue from product sales to them, which could turn out to be inaccurate.</w:t>
      </w:r>
    </w:p>
    <w:p>
      <w:pPr>
        <w:spacing w:after="0" w:line="52" w:lineRule="exact"/>
        <w:rPr>
          <w:sz w:val="20"/>
          <w:szCs w:val="20"/>
          <w:color w:val="auto"/>
        </w:rPr>
      </w:pPr>
    </w:p>
    <w:p>
      <w:pPr>
        <w:ind w:right="1239"/>
        <w:spacing w:after="0" w:line="235" w:lineRule="auto"/>
        <w:rPr>
          <w:sz w:val="20"/>
          <w:szCs w:val="20"/>
          <w:color w:val="auto"/>
        </w:rPr>
      </w:pPr>
      <w:r>
        <w:rPr>
          <w:rFonts w:ascii="Arial" w:cs="Arial" w:eastAsia="Arial" w:hAnsi="Arial"/>
          <w:sz w:val="19"/>
          <w:szCs w:val="19"/>
          <w:color w:val="auto"/>
        </w:rPr>
        <w:t>We defer recognition of revenue from product sales to distributors until the return privilege has expired, which approximates when product is sold-through to customers of our distributors. At each quarter-end, we evaluate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periodically audit a limited number of distributors.</w:t>
      </w:r>
    </w:p>
    <w:p>
      <w:pPr>
        <w:spacing w:after="0" w:line="148" w:lineRule="exact"/>
        <w:rPr>
          <w:sz w:val="20"/>
          <w:szCs w:val="20"/>
          <w:color w:val="auto"/>
        </w:rPr>
      </w:pPr>
    </w:p>
    <w:p>
      <w:pPr>
        <w:ind w:right="1959"/>
        <w:spacing w:after="0" w:line="251" w:lineRule="auto"/>
        <w:rPr>
          <w:sz w:val="20"/>
          <w:szCs w:val="20"/>
          <w:color w:val="auto"/>
        </w:rPr>
      </w:pPr>
      <w:r>
        <w:rPr>
          <w:rFonts w:ascii="Arial" w:cs="Arial" w:eastAsia="Arial" w:hAnsi="Arial"/>
          <w:sz w:val="22"/>
          <w:szCs w:val="22"/>
          <w:i w:val="1"/>
          <w:iCs w:val="1"/>
          <w:color w:val="0000FF"/>
        </w:rPr>
        <w:t>We depend on an outsourced manufacturing strategy, and any disruption in their services could negatively impact our product availability and revenues.</w:t>
      </w:r>
    </w:p>
    <w:p>
      <w:pPr>
        <w:spacing w:after="0" w:line="52" w:lineRule="exact"/>
        <w:rPr>
          <w:sz w:val="20"/>
          <w:szCs w:val="20"/>
          <w:color w:val="auto"/>
        </w:rPr>
      </w:pPr>
    </w:p>
    <w:p>
      <w:pPr>
        <w:ind w:right="1139"/>
        <w:spacing w:after="0" w:line="229" w:lineRule="auto"/>
        <w:rPr>
          <w:sz w:val="20"/>
          <w:szCs w:val="20"/>
          <w:color w:val="auto"/>
        </w:rPr>
      </w:pPr>
      <w:r>
        <w:rPr>
          <w:rFonts w:ascii="Arial" w:cs="Arial" w:eastAsia="Arial" w:hAnsi="Arial"/>
          <w:sz w:val="19"/>
          <w:szCs w:val="19"/>
          <w:color w:val="auto"/>
        </w:rPr>
        <w:t>We outsource the manufacturing of all of our products to electronics manufacturing services ("EMS") providers located in both the U.S. and Asia. If any of these EMS providers experiences difficulties in obtaining sufficient supplies of components, component prices significantly exceeding anticipated costs, an interruption in their operations, or otherwise suffers capacity constraints, we would experience a delay in shipping these products, which would have a negative impact on our revenue. Should there be any disruption in services due to natural disaster, such as the natural disaster in Japan in 2011, economic or political difficulties, transportation restrictions, acts of terror, quarantines or other restrictions associated with infectious diseases, or other similar events, or any other reason, such disruption would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15</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26" w:name="page27"/>
    <w:bookmarkEnd w:id="26"/>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ITEM 1A – RISK FACTORS</w:t>
      </w:r>
    </w:p>
    <w:p>
      <w:pPr>
        <w:spacing w:after="0" w:line="202" w:lineRule="exact"/>
        <w:rPr>
          <w:sz w:val="20"/>
          <w:szCs w:val="20"/>
          <w:color w:val="auto"/>
        </w:rPr>
      </w:pPr>
    </w:p>
    <w:p>
      <w:pPr>
        <w:ind w:right="1259"/>
        <w:spacing w:after="0" w:line="213" w:lineRule="auto"/>
        <w:rPr>
          <w:sz w:val="20"/>
          <w:szCs w:val="20"/>
          <w:color w:val="auto"/>
        </w:rPr>
      </w:pPr>
      <w:r>
        <w:rPr>
          <w:rFonts w:ascii="Arial" w:cs="Arial" w:eastAsia="Arial" w:hAnsi="Arial"/>
          <w:sz w:val="21"/>
          <w:szCs w:val="21"/>
          <w:color w:val="auto"/>
        </w:rPr>
        <w:t>Switching from one EMS provider to another is an expensive, difficult and a time consuming process, with serious risks to our ability to successfully transfer our manufacturing operations. Our operations and consequently our revenues and profitability would be materially adversely affected if we are forced to switch from any of our EMS providers due to any of a number of factors, including financial difficulties faced by the manufacturer, disagreements in pricing negotiations between us and the manufacturer and organizational changes in the manufacturer.</w:t>
      </w:r>
    </w:p>
    <w:p>
      <w:pPr>
        <w:spacing w:after="0" w:line="132" w:lineRule="exact"/>
        <w:rPr>
          <w:sz w:val="20"/>
          <w:szCs w:val="20"/>
          <w:color w:val="auto"/>
        </w:rPr>
      </w:pPr>
    </w:p>
    <w:p>
      <w:pPr>
        <w:ind w:right="1199"/>
        <w:spacing w:after="0" w:line="213" w:lineRule="auto"/>
        <w:rPr>
          <w:sz w:val="20"/>
          <w:szCs w:val="20"/>
          <w:color w:val="auto"/>
        </w:rPr>
      </w:pPr>
      <w:r>
        <w:rPr>
          <w:rFonts w:ascii="Arial" w:cs="Arial" w:eastAsia="Arial" w:hAnsi="Arial"/>
          <w:sz w:val="21"/>
          <w:szCs w:val="21"/>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146" w:lineRule="exact"/>
        <w:rPr>
          <w:sz w:val="20"/>
          <w:szCs w:val="20"/>
          <w:color w:val="auto"/>
        </w:rPr>
      </w:pPr>
    </w:p>
    <w:p>
      <w:pPr>
        <w:ind w:right="1259"/>
        <w:spacing w:after="0" w:line="251" w:lineRule="auto"/>
        <w:rPr>
          <w:sz w:val="20"/>
          <w:szCs w:val="20"/>
          <w:color w:val="auto"/>
        </w:rPr>
      </w:pPr>
      <w:r>
        <w:rPr>
          <w:rFonts w:ascii="Arial" w:cs="Arial" w:eastAsia="Arial" w:hAnsi="Arial"/>
          <w:sz w:val="22"/>
          <w:szCs w:val="22"/>
          <w:i w:val="1"/>
          <w:iCs w:val="1"/>
          <w:color w:val="0000FF"/>
        </w:rPr>
        <w:t>Global economic conditions have adversely affected our business in the past and could adversely affect our revenues and harm our business in the future.</w:t>
      </w:r>
    </w:p>
    <w:p>
      <w:pPr>
        <w:spacing w:after="0" w:line="38" w:lineRule="exact"/>
        <w:rPr>
          <w:sz w:val="20"/>
          <w:szCs w:val="20"/>
          <w:color w:val="auto"/>
        </w:rPr>
      </w:pPr>
    </w:p>
    <w:p>
      <w:pPr>
        <w:ind w:right="1159"/>
        <w:spacing w:after="0" w:line="271" w:lineRule="auto"/>
        <w:rPr>
          <w:sz w:val="20"/>
          <w:szCs w:val="20"/>
          <w:color w:val="auto"/>
        </w:rPr>
      </w:pPr>
      <w:r>
        <w:rPr>
          <w:rFonts w:ascii="Arial" w:cs="Arial" w:eastAsia="Arial" w:hAnsi="Arial"/>
          <w:sz w:val="19"/>
          <w:szCs w:val="19"/>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the recent sovereign debt crisis in Europe, domestic debt and budget issues, the possibility of a slowdown in China’s economic growth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98" w:lineRule="exact"/>
        <w:rPr>
          <w:sz w:val="20"/>
          <w:szCs w:val="20"/>
          <w:color w:val="auto"/>
        </w:rPr>
      </w:pPr>
    </w:p>
    <w:p>
      <w:pPr>
        <w:ind w:right="1139"/>
        <w:spacing w:after="0" w:line="279" w:lineRule="auto"/>
        <w:rPr>
          <w:sz w:val="20"/>
          <w:szCs w:val="20"/>
          <w:color w:val="auto"/>
        </w:rPr>
      </w:pPr>
      <w:r>
        <w:rPr>
          <w:rFonts w:ascii="Arial" w:cs="Arial" w:eastAsia="Arial" w:hAnsi="Arial"/>
          <w:sz w:val="19"/>
          <w:szCs w:val="19"/>
          <w:color w:val="auto"/>
        </w:rPr>
        <w:t>These adverse economic conditions can negatively impact our business, particularly our revenue potential, losses on investments and the collectability of our accounts receivable, by causing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and decreased customer ability to pay their obligations when they become due to us.</w:t>
      </w:r>
    </w:p>
    <w:p>
      <w:pPr>
        <w:spacing w:after="0" w:line="178" w:lineRule="exact"/>
        <w:rPr>
          <w:sz w:val="20"/>
          <w:szCs w:val="20"/>
          <w:color w:val="auto"/>
        </w:rPr>
      </w:pPr>
    </w:p>
    <w:p>
      <w:pPr>
        <w:ind w:right="1899"/>
        <w:spacing w:after="0" w:line="326" w:lineRule="auto"/>
        <w:rPr>
          <w:sz w:val="20"/>
          <w:szCs w:val="20"/>
          <w:color w:val="auto"/>
        </w:rPr>
      </w:pPr>
      <w:r>
        <w:rPr>
          <w:rFonts w:ascii="Arial" w:cs="Arial" w:eastAsia="Arial" w:hAnsi="Arial"/>
          <w:sz w:val="19"/>
          <w:szCs w:val="19"/>
          <w:i w:val="1"/>
          <w:iCs w:val="1"/>
          <w:color w:val="0000FF"/>
        </w:rPr>
        <w:t>We are a smaller company than some of our competitors and may be more susceptible to market fluctuations, other adverse events, increased costs and less favorable purchasing terms.</w:t>
      </w:r>
    </w:p>
    <w:p>
      <w:pPr>
        <w:spacing w:after="0" w:line="1" w:lineRule="exact"/>
        <w:rPr>
          <w:sz w:val="20"/>
          <w:szCs w:val="20"/>
          <w:color w:val="auto"/>
        </w:rPr>
      </w:pPr>
    </w:p>
    <w:p>
      <w:pPr>
        <w:ind w:right="1239"/>
        <w:spacing w:after="0" w:line="246" w:lineRule="auto"/>
        <w:rPr>
          <w:sz w:val="20"/>
          <w:szCs w:val="20"/>
          <w:color w:val="auto"/>
        </w:rPr>
      </w:pPr>
      <w:r>
        <w:rPr>
          <w:rFonts w:ascii="Arial" w:cs="Arial" w:eastAsia="Arial" w:hAnsi="Arial"/>
          <w:sz w:val="21"/>
          <w:szCs w:val="21"/>
          <w:color w:val="auto"/>
        </w:rPr>
        <w:t>Since we are a smaller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All of these outcomes may result in our products being more costly to manufacture and less competitive. Any such unfavorable market fluctuations, reductions in customer spending or increased manufacturing costs could have a negative impact on our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i w:val="1"/>
          <w:iCs w:val="1"/>
          <w:color w:val="0000FF"/>
        </w:rPr>
        <w:t>Difficulties in integrating past or potential future acquisitions could adversely affect our business.</w:t>
      </w:r>
    </w:p>
    <w:p>
      <w:pPr>
        <w:spacing w:after="0" w:line="96" w:lineRule="exact"/>
        <w:rPr>
          <w:sz w:val="20"/>
          <w:szCs w:val="20"/>
          <w:color w:val="auto"/>
        </w:rPr>
      </w:pPr>
    </w:p>
    <w:p>
      <w:pPr>
        <w:ind w:right="1459"/>
        <w:spacing w:after="0" w:line="227" w:lineRule="auto"/>
        <w:rPr>
          <w:sz w:val="20"/>
          <w:szCs w:val="20"/>
          <w:color w:val="auto"/>
        </w:rPr>
      </w:pPr>
      <w:r>
        <w:rPr>
          <w:rFonts w:ascii="Arial" w:cs="Arial" w:eastAsia="Arial" w:hAnsi="Arial"/>
          <w:sz w:val="19"/>
          <w:szCs w:val="19"/>
          <w:color w:val="auto"/>
        </w:rPr>
        <w:t>We acquired NetStreams, a pioneer in digital media networks based on Internet Protocol (TCP/IP), in November 2009 and MagicBox, a leading provider of digital signage services, in September 2011. In addition, we acquired substantially all of the assets of VCON Video Conferencing, Ltd, a high-performance, end-to-end, software video conferencing solutions company in Israel, in February</w:t>
      </w:r>
    </w:p>
    <w:p>
      <w:pPr>
        <w:spacing w:after="0" w:line="2" w:lineRule="exact"/>
        <w:rPr>
          <w:sz w:val="20"/>
          <w:szCs w:val="20"/>
          <w:color w:val="auto"/>
        </w:rPr>
      </w:pPr>
    </w:p>
    <w:p>
      <w:pPr>
        <w:ind w:right="1219"/>
        <w:spacing w:after="0" w:line="207" w:lineRule="auto"/>
        <w:rPr>
          <w:sz w:val="20"/>
          <w:szCs w:val="20"/>
          <w:color w:val="auto"/>
        </w:rPr>
      </w:pPr>
      <w:r>
        <w:rPr>
          <w:rFonts w:ascii="Arial" w:cs="Arial" w:eastAsia="Arial" w:hAnsi="Arial"/>
          <w:sz w:val="21"/>
          <w:szCs w:val="21"/>
          <w:color w:val="auto"/>
        </w:rPr>
        <w:t>2012.The efficient and effective integration of these businesses into our organization is important to our growth. Any acquisition involves numerous risks, including difficulties in integrating the operations, technologies and products of the acquired companies, the diversion of our management's attention from other business concerns, and the potential loss of key customers or employees of an acquired company. Failure to achieve the anticipated benefits of this and any future acquisitions or to successfully integrate the operations of this or any other companies we acquire, could also harm our business, results of operations and cash flows. Additionally, we cannot assure you that we will not incur material charges in future periods to reflect additional costs associated with acquisitions or any future acquisitions we may make.</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16</w:t>
      </w:r>
      <w:r>
        <w:rPr>
          <w:rFonts w:ascii="Arial" w:cs="Arial" w:eastAsia="Arial" w:hAnsi="Arial"/>
          <w:sz w:val="14"/>
          <w:szCs w:val="14"/>
          <w:color w:val="auto"/>
        </w:rPr>
        <w:t xml:space="preserve"> |</w:t>
      </w:r>
    </w:p>
    <w:p>
      <w:pPr>
        <w:sectPr>
          <w:pgSz w:w="11900" w:h="16838" w:orient="portrait"/>
          <w:cols w:equalWidth="0" w:num="1">
            <w:col w:w="10219"/>
          </w:cols>
          <w:pgMar w:left="240" w:top="111" w:right="1440" w:bottom="0" w:gutter="0" w:footer="0" w:header="0"/>
          <w:type w:val="continuous"/>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76326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ITEM 1A –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i w:val="1"/>
          <w:iCs w:val="1"/>
          <w:color w:val="0000FF"/>
        </w:rPr>
        <w:t>Conditions in Israel and the Middle East may affect the operations of our new subsidiary in Israel.</w:t>
      </w:r>
    </w:p>
    <w:p>
      <w:pPr>
        <w:spacing w:after="0" w:line="110" w:lineRule="exact"/>
        <w:rPr>
          <w:sz w:val="20"/>
          <w:szCs w:val="20"/>
          <w:color w:val="auto"/>
        </w:rPr>
      </w:pPr>
    </w:p>
    <w:p>
      <w:pPr>
        <w:ind w:right="1179"/>
        <w:spacing w:after="0" w:line="277" w:lineRule="auto"/>
        <w:rPr>
          <w:sz w:val="20"/>
          <w:szCs w:val="20"/>
          <w:color w:val="auto"/>
        </w:rPr>
      </w:pPr>
      <w:r>
        <w:rPr>
          <w:rFonts w:ascii="Arial" w:cs="Arial" w:eastAsia="Arial" w:hAnsi="Arial"/>
          <w:sz w:val="19"/>
          <w:szCs w:val="19"/>
          <w:color w:val="auto"/>
        </w:rPr>
        <w:t>We have recently formed a subsidiary located in Israel in connection with the acquisition of the assets of VCON Video Conferencing, Ltd.. Accordingly, political, economic, security and military conditions in the Middle East in general, and in Israel in particular, directly affect our Israeli subsidiary’s operations. Since the establishment of the State of Israel in 1948, a number of armed conflicts have taken place between Israel and its Arab neighbors and a state of hostility, varying in degree and intensity, has led to security and economic problems for Israel. Despite negotiations to effect peace between Israel and its Arab neighbors, the future of these peace efforts is uncertain.</w:t>
      </w:r>
    </w:p>
    <w:p>
      <w:pPr>
        <w:spacing w:after="0" w:line="180" w:lineRule="exact"/>
        <w:rPr>
          <w:sz w:val="20"/>
          <w:szCs w:val="20"/>
          <w:color w:val="auto"/>
        </w:rPr>
      </w:pPr>
    </w:p>
    <w:p>
      <w:pPr>
        <w:ind w:right="1139"/>
        <w:spacing w:after="0" w:line="234" w:lineRule="auto"/>
        <w:rPr>
          <w:sz w:val="20"/>
          <w:szCs w:val="20"/>
          <w:color w:val="auto"/>
        </w:rPr>
      </w:pPr>
      <w:r>
        <w:rPr>
          <w:rFonts w:ascii="Arial" w:cs="Arial" w:eastAsia="Arial" w:hAnsi="Arial"/>
          <w:sz w:val="22"/>
          <w:szCs w:val="22"/>
          <w:color w:val="auto"/>
        </w:rPr>
        <w:t>In early 2011, riots and popular uprisings in various countries in the Middle East have led to severe political instability in those countries. This instability may lead to deterioration of the political and trade relationships that exist between the State of Israel and these countries. In addition, this instability may affect the economy in the Middle East as well as the global economy and marketplace. Any armed conflicts or political instability in the region, including acts of terrorism or any other hostilities involving or threatening Israel, would likely negatively affect business conditions and could make it more difficult for us to conduct our operations in Israel, which could increase our costs and adversely affect our financial results.</w:t>
      </w:r>
    </w:p>
    <w:p>
      <w:pPr>
        <w:spacing w:after="0" w:line="215"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i w:val="1"/>
          <w:iCs w:val="1"/>
          <w:color w:val="0000FF"/>
        </w:rPr>
        <w:t>Product obsolescence could harm demand for our products and could adversely affect our revenue and our results of operations.</w:t>
      </w:r>
    </w:p>
    <w:p>
      <w:pPr>
        <w:spacing w:after="0" w:line="52" w:lineRule="exact"/>
        <w:rPr>
          <w:sz w:val="20"/>
          <w:szCs w:val="20"/>
          <w:color w:val="auto"/>
        </w:rPr>
      </w:pPr>
    </w:p>
    <w:p>
      <w:pPr>
        <w:ind w:right="1159"/>
        <w:spacing w:after="0" w:line="232" w:lineRule="auto"/>
        <w:rPr>
          <w:sz w:val="20"/>
          <w:szCs w:val="20"/>
          <w:color w:val="auto"/>
        </w:rPr>
      </w:pPr>
      <w:r>
        <w:rPr>
          <w:rFonts w:ascii="Arial" w:cs="Arial" w:eastAsia="Arial" w:hAnsi="Arial"/>
          <w:sz w:val="19"/>
          <w:szCs w:val="19"/>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47" w:lineRule="exact"/>
        <w:rPr>
          <w:sz w:val="20"/>
          <w:szCs w:val="20"/>
          <w:color w:val="auto"/>
        </w:rPr>
      </w:pPr>
    </w:p>
    <w:p>
      <w:pPr>
        <w:ind w:right="1459"/>
        <w:spacing w:after="0" w:line="251" w:lineRule="auto"/>
        <w:rPr>
          <w:sz w:val="20"/>
          <w:szCs w:val="20"/>
          <w:color w:val="auto"/>
        </w:rPr>
      </w:pPr>
      <w:r>
        <w:rPr>
          <w:rFonts w:ascii="Arial" w:cs="Arial" w:eastAsia="Arial" w:hAnsi="Arial"/>
          <w:sz w:val="22"/>
          <w:szCs w:val="22"/>
          <w:i w:val="1"/>
          <w:iCs w:val="1"/>
          <w:color w:val="0000FF"/>
        </w:rPr>
        <w:t>If we are unable to protect our intellectual property rights or have insufficient proprietary rights, our business would be materially impaired.</w:t>
      </w:r>
    </w:p>
    <w:p>
      <w:pPr>
        <w:spacing w:after="0" w:line="52" w:lineRule="exact"/>
        <w:rPr>
          <w:sz w:val="20"/>
          <w:szCs w:val="20"/>
          <w:color w:val="auto"/>
        </w:rPr>
      </w:pPr>
    </w:p>
    <w:p>
      <w:pPr>
        <w:ind w:right="1139"/>
        <w:spacing w:after="0" w:line="206" w:lineRule="auto"/>
        <w:rPr>
          <w:sz w:val="20"/>
          <w:szCs w:val="20"/>
          <w:color w:val="auto"/>
        </w:rPr>
      </w:pPr>
      <w:r>
        <w:rPr>
          <w:rFonts w:ascii="Arial" w:cs="Arial" w:eastAsia="Arial" w:hAnsi="Arial"/>
          <w:sz w:val="21"/>
          <w:szCs w:val="21"/>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Our industry is characterized by vigorous protection of intellectual property rights. Such claims and the resulting litigation are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42" w:lineRule="exact"/>
        <w:rPr>
          <w:sz w:val="20"/>
          <w:szCs w:val="20"/>
          <w:color w:val="auto"/>
        </w:rPr>
      </w:pPr>
    </w:p>
    <w:p>
      <w:pPr>
        <w:ind w:right="1139"/>
        <w:spacing w:after="0" w:line="219" w:lineRule="auto"/>
        <w:rPr>
          <w:sz w:val="20"/>
          <w:szCs w:val="20"/>
          <w:color w:val="auto"/>
        </w:rPr>
      </w:pPr>
      <w:r>
        <w:rPr>
          <w:rFonts w:ascii="Arial" w:cs="Arial" w:eastAsia="Arial" w:hAnsi="Arial"/>
          <w:sz w:val="21"/>
          <w:szCs w:val="21"/>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 With respect to any patent application we have filed, we cannot ensure that a patent will be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17</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9" w:name="page30"/>
    <w:bookmarkEnd w:id="29"/>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ITEM 1A – RISK FACTORS</w:t>
      </w:r>
    </w:p>
    <w:p>
      <w:pPr>
        <w:spacing w:after="0" w:line="216" w:lineRule="exact"/>
        <w:rPr>
          <w:sz w:val="20"/>
          <w:szCs w:val="20"/>
          <w:color w:val="auto"/>
        </w:rPr>
      </w:pPr>
    </w:p>
    <w:p>
      <w:pPr>
        <w:ind w:right="2259"/>
        <w:spacing w:after="0" w:line="251" w:lineRule="auto"/>
        <w:rPr>
          <w:sz w:val="20"/>
          <w:szCs w:val="20"/>
          <w:color w:val="auto"/>
        </w:rPr>
      </w:pPr>
      <w:r>
        <w:rPr>
          <w:rFonts w:ascii="Arial" w:cs="Arial" w:eastAsia="Arial" w:hAnsi="Arial"/>
          <w:sz w:val="22"/>
          <w:szCs w:val="22"/>
          <w:i w:val="1"/>
          <w:iCs w:val="1"/>
          <w:color w:val="0000FF"/>
        </w:rPr>
        <w:t>International sales account for a significant portion of our net revenue and risks inherent in international sales could harm our business.</w:t>
      </w:r>
    </w:p>
    <w:p>
      <w:pPr>
        <w:spacing w:after="0" w:line="52" w:lineRule="exact"/>
        <w:rPr>
          <w:sz w:val="20"/>
          <w:szCs w:val="20"/>
          <w:color w:val="auto"/>
        </w:rPr>
      </w:pPr>
    </w:p>
    <w:p>
      <w:pPr>
        <w:ind w:right="1279"/>
        <w:spacing w:after="0" w:line="235" w:lineRule="auto"/>
        <w:rPr>
          <w:sz w:val="20"/>
          <w:szCs w:val="20"/>
          <w:color w:val="auto"/>
        </w:rPr>
      </w:pPr>
      <w:r>
        <w:rPr>
          <w:rFonts w:ascii="Arial" w:cs="Arial" w:eastAsia="Arial" w:hAnsi="Arial"/>
          <w:sz w:val="19"/>
          <w:szCs w:val="19"/>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34"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unexpected changes in, or the imposition of, additional legislative or regulatory requirements;</w:t>
      </w:r>
    </w:p>
    <w:p>
      <w:pPr>
        <w:spacing w:after="0" w:line="2" w:lineRule="exact"/>
        <w:rPr>
          <w:rFonts w:ascii="Arial" w:cs="Arial" w:eastAsia="Arial" w:hAnsi="Arial"/>
          <w:sz w:val="19"/>
          <w:szCs w:val="19"/>
          <w:color w:val="auto"/>
        </w:rPr>
      </w:pP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unique or more onerous environmental regulations;</w:t>
      </w: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fluctuating exchange rates;</w:t>
      </w: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tariffs and other barriers;</w:t>
      </w: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difficulties in staffing and managing foreign sales operations;</w:t>
      </w: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import and export restrictions;</w:t>
      </w: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greater difficulties in accounts receivable collection and longer payment cycles;</w:t>
      </w: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potentially adverse tax consequences;</w:t>
      </w:r>
    </w:p>
    <w:p>
      <w:pPr>
        <w:ind w:left="620" w:hanging="288"/>
        <w:spacing w:after="0" w:line="192" w:lineRule="auto"/>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potential hostilities and changes in diplomatic and trade relationships; and</w:t>
      </w:r>
    </w:p>
    <w:p>
      <w:pPr>
        <w:ind w:left="660" w:right="1499" w:hanging="328"/>
        <w:spacing w:after="0" w:line="228" w:lineRule="auto"/>
        <w:tabs>
          <w:tab w:leader="none" w:pos="633" w:val="left"/>
        </w:tabs>
        <w:numPr>
          <w:ilvl w:val="0"/>
          <w:numId w:val="12"/>
        </w:numPr>
        <w:rPr>
          <w:rFonts w:ascii="Arial" w:cs="Arial" w:eastAsia="Arial" w:hAnsi="Arial"/>
          <w:sz w:val="21"/>
          <w:szCs w:val="21"/>
          <w:color w:val="auto"/>
        </w:rPr>
      </w:pPr>
      <w:r>
        <w:rPr>
          <w:rFonts w:ascii="Arial" w:cs="Arial" w:eastAsia="Arial" w:hAnsi="Arial"/>
          <w:sz w:val="21"/>
          <w:szCs w:val="21"/>
          <w:color w:val="auto"/>
        </w:rPr>
        <w:t>disruption in services due to natural disaster, economic or political difficulties, transportation, quarantines or other restrictions associated with infectious diseases.</w:t>
      </w:r>
    </w:p>
    <w:p>
      <w:pPr>
        <w:spacing w:after="0" w:line="144" w:lineRule="exact"/>
        <w:rPr>
          <w:sz w:val="20"/>
          <w:szCs w:val="20"/>
          <w:color w:val="auto"/>
        </w:rPr>
      </w:pPr>
    </w:p>
    <w:p>
      <w:pPr>
        <w:ind w:right="1239"/>
        <w:spacing w:after="0" w:line="318" w:lineRule="auto"/>
        <w:rPr>
          <w:sz w:val="20"/>
          <w:szCs w:val="20"/>
          <w:color w:val="auto"/>
        </w:rPr>
      </w:pPr>
      <w:r>
        <w:rPr>
          <w:rFonts w:ascii="Arial" w:cs="Arial" w:eastAsia="Arial" w:hAnsi="Arial"/>
          <w:sz w:val="19"/>
          <w:szCs w:val="19"/>
          <w:i w:val="1"/>
          <w:iCs w:val="1"/>
          <w:color w:val="0000FF"/>
        </w:rPr>
        <w:t>We may not be able to hire and retain qualified key and highly-skilled technical employees, which could affect our ability to compete effectively and may cause our revenue and profitability to decline.</w:t>
      </w:r>
    </w:p>
    <w:p>
      <w:pPr>
        <w:spacing w:after="0" w:line="2" w:lineRule="exact"/>
        <w:rPr>
          <w:sz w:val="20"/>
          <w:szCs w:val="20"/>
          <w:color w:val="auto"/>
        </w:rPr>
      </w:pPr>
    </w:p>
    <w:p>
      <w:pPr>
        <w:ind w:right="1159"/>
        <w:spacing w:after="0" w:line="227" w:lineRule="auto"/>
        <w:rPr>
          <w:sz w:val="20"/>
          <w:szCs w:val="20"/>
          <w:color w:val="auto"/>
        </w:rPr>
      </w:pPr>
      <w:r>
        <w:rPr>
          <w:rFonts w:ascii="Arial" w:cs="Arial" w:eastAsia="Arial" w:hAnsi="Arial"/>
          <w:sz w:val="19"/>
          <w:szCs w:val="19"/>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147" w:lineRule="exact"/>
        <w:rPr>
          <w:sz w:val="20"/>
          <w:szCs w:val="20"/>
          <w:color w:val="auto"/>
        </w:rPr>
      </w:pPr>
    </w:p>
    <w:p>
      <w:pPr>
        <w:ind w:right="1619"/>
        <w:spacing w:after="0" w:line="251" w:lineRule="auto"/>
        <w:rPr>
          <w:sz w:val="20"/>
          <w:szCs w:val="20"/>
          <w:color w:val="auto"/>
        </w:rPr>
      </w:pPr>
      <w:r>
        <w:rPr>
          <w:rFonts w:ascii="Arial" w:cs="Arial" w:eastAsia="Arial" w:hAnsi="Arial"/>
          <w:sz w:val="22"/>
          <w:szCs w:val="22"/>
          <w:i w:val="1"/>
          <w:iCs w:val="1"/>
          <w:color w:val="0000FF"/>
        </w:rPr>
        <w:t>We rely on third-party technology and license agreements, the loss of any of which could negatively impact our business.</w:t>
      </w:r>
    </w:p>
    <w:p>
      <w:pPr>
        <w:spacing w:after="0" w:line="52" w:lineRule="exact"/>
        <w:rPr>
          <w:sz w:val="20"/>
          <w:szCs w:val="20"/>
          <w:color w:val="auto"/>
        </w:rPr>
      </w:pPr>
    </w:p>
    <w:p>
      <w:pPr>
        <w:ind w:right="1219"/>
        <w:spacing w:after="0" w:line="203" w:lineRule="auto"/>
        <w:rPr>
          <w:sz w:val="20"/>
          <w:szCs w:val="20"/>
          <w:color w:val="auto"/>
        </w:rPr>
      </w:pPr>
      <w:r>
        <w:rPr>
          <w:rFonts w:ascii="Arial" w:cs="Arial" w:eastAsia="Arial" w:hAnsi="Arial"/>
          <w:sz w:val="22"/>
          <w:szCs w:val="22"/>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We may have difficulty in collecting outstanding receivables.</w:t>
      </w:r>
    </w:p>
    <w:p>
      <w:pPr>
        <w:spacing w:after="0" w:line="85" w:lineRule="exact"/>
        <w:rPr>
          <w:sz w:val="20"/>
          <w:szCs w:val="20"/>
          <w:color w:val="auto"/>
        </w:rPr>
      </w:pPr>
    </w:p>
    <w:p>
      <w:pPr>
        <w:ind w:right="1219"/>
        <w:spacing w:after="0" w:line="213" w:lineRule="auto"/>
        <w:rPr>
          <w:sz w:val="20"/>
          <w:szCs w:val="20"/>
          <w:color w:val="auto"/>
        </w:rPr>
      </w:pPr>
      <w:r>
        <w:rPr>
          <w:rFonts w:ascii="Arial" w:cs="Arial" w:eastAsia="Arial" w:hAnsi="Arial"/>
          <w:sz w:val="21"/>
          <w:szCs w:val="21"/>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18</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30" w:name="page31"/>
    <w:bookmarkEnd w:id="30"/>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ITEM 1A –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Interruptions to our business could adversely affect our operations.</w:t>
      </w:r>
    </w:p>
    <w:p>
      <w:pPr>
        <w:spacing w:after="0" w:line="85" w:lineRule="exact"/>
        <w:rPr>
          <w:sz w:val="20"/>
          <w:szCs w:val="20"/>
          <w:color w:val="auto"/>
        </w:rPr>
      </w:pPr>
    </w:p>
    <w:p>
      <w:pPr>
        <w:ind w:right="1139"/>
        <w:spacing w:after="0" w:line="210" w:lineRule="auto"/>
        <w:rPr>
          <w:sz w:val="20"/>
          <w:szCs w:val="20"/>
          <w:color w:val="auto"/>
        </w:rPr>
      </w:pPr>
      <w:r>
        <w:rPr>
          <w:rFonts w:ascii="Arial" w:cs="Arial" w:eastAsia="Arial" w:hAnsi="Arial"/>
          <w:sz w:val="21"/>
          <w:szCs w:val="21"/>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 based problems. To help guard against such risks, we carry business interruption loss insurance to help compensate us for losses that may occur, but we cannot assure that such coverage would protect us from all such possible losses.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Relating to Share Ownership</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0000FF"/>
        </w:rPr>
        <w:t>Our stock price fluctuates as a result of the conduct of our business and stock market fluctuations.</w:t>
      </w:r>
    </w:p>
    <w:p>
      <w:pPr>
        <w:spacing w:after="0" w:line="119" w:lineRule="exact"/>
        <w:rPr>
          <w:sz w:val="20"/>
          <w:szCs w:val="20"/>
          <w:color w:val="auto"/>
        </w:rPr>
      </w:pPr>
    </w:p>
    <w:p>
      <w:pPr>
        <w:ind w:right="1219"/>
        <w:spacing w:after="0" w:line="197" w:lineRule="auto"/>
        <w:rPr>
          <w:sz w:val="20"/>
          <w:szCs w:val="20"/>
          <w:color w:val="auto"/>
        </w:rPr>
      </w:pPr>
      <w:r>
        <w:rPr>
          <w:rFonts w:ascii="Arial" w:cs="Arial" w:eastAsia="Arial" w:hAnsi="Arial"/>
          <w:sz w:val="22"/>
          <w:szCs w:val="22"/>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3" w:lineRule="exact"/>
        <w:rPr>
          <w:sz w:val="20"/>
          <w:szCs w:val="20"/>
          <w:color w:val="auto"/>
        </w:rPr>
      </w:pPr>
    </w:p>
    <w:p>
      <w:pPr>
        <w:ind w:left="660" w:right="1499" w:hanging="328"/>
        <w:spacing w:after="0" w:line="222" w:lineRule="auto"/>
        <w:tabs>
          <w:tab w:leader="none" w:pos="633" w:val="left"/>
        </w:tabs>
        <w:numPr>
          <w:ilvl w:val="0"/>
          <w:numId w:val="13"/>
        </w:numPr>
        <w:rPr>
          <w:rFonts w:ascii="Arial" w:cs="Arial" w:eastAsia="Arial" w:hAnsi="Arial"/>
          <w:sz w:val="19"/>
          <w:szCs w:val="19"/>
          <w:color w:val="auto"/>
        </w:rPr>
      </w:pPr>
      <w:r>
        <w:rPr>
          <w:rFonts w:ascii="Arial" w:cs="Arial" w:eastAsia="Arial" w:hAnsi="Arial"/>
          <w:sz w:val="19"/>
          <w:szCs w:val="19"/>
          <w:color w:val="auto"/>
        </w:rPr>
        <w:t>statements or changes in opinions, ratings, or earnings estimates made by brokerage firms or industry analysts relating to the market in which we do business or relating to us specifically;</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disparity between our reported results and the projections of analysts;</w:t>
      </w:r>
    </w:p>
    <w:p>
      <w:pPr>
        <w:ind w:left="660" w:right="1819" w:hanging="328"/>
        <w:spacing w:after="0" w:line="192" w:lineRule="auto"/>
        <w:tabs>
          <w:tab w:leader="none" w:pos="633"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shift in sales mix of products that we currently sell to a sales mix of lower-gross profit product offerings;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level and mix of inventory levels held by our distributors;</w:t>
      </w:r>
    </w:p>
    <w:p>
      <w:pPr>
        <w:ind w:left="620" w:hanging="288"/>
        <w:spacing w:after="0" w:line="201" w:lineRule="auto"/>
        <w:tabs>
          <w:tab w:leader="none" w:pos="62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announcement of new products or product enhancements by us or our competitors;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technological innovations by us or our competitors;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success in meeting targeted availability dates for new or redesigned products;</w:t>
      </w:r>
    </w:p>
    <w:p>
      <w:pPr>
        <w:ind w:left="620" w:hanging="288"/>
        <w:spacing w:after="0" w:line="222"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ability to profitably and efficiently manage our supplies of products and key components;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ability to maintain profitable relationships with our customers;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ability to maintain an appropriate cost structure;</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quarterly variations in our results of operations;</w:t>
      </w:r>
    </w:p>
    <w:p>
      <w:pPr>
        <w:ind w:left="660" w:right="1739" w:hanging="328"/>
        <w:spacing w:after="0" w:line="192" w:lineRule="auto"/>
        <w:tabs>
          <w:tab w:leader="none" w:pos="633" w:val="left"/>
        </w:tabs>
        <w:numPr>
          <w:ilvl w:val="0"/>
          <w:numId w:val="13"/>
        </w:numPr>
        <w:rPr>
          <w:rFonts w:ascii="Arial" w:cs="Arial" w:eastAsia="Arial" w:hAnsi="Arial"/>
          <w:sz w:val="22"/>
          <w:szCs w:val="22"/>
          <w:color w:val="auto"/>
        </w:rPr>
      </w:pPr>
      <w:r>
        <w:rPr>
          <w:rFonts w:ascii="Arial" w:cs="Arial" w:eastAsia="Arial" w:hAnsi="Arial"/>
          <w:sz w:val="22"/>
          <w:szCs w:val="22"/>
          <w:color w:val="auto"/>
        </w:rPr>
        <w:t>general consumer confidence or general market conditions or market conditions specific to technology industries;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domestic and international economic conditions;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unexpected changes in regulatory requirements and tariffs;</w:t>
      </w:r>
    </w:p>
    <w:p>
      <w:pPr>
        <w:ind w:left="620" w:hanging="288"/>
        <w:spacing w:after="0" w:line="192" w:lineRule="auto"/>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our ability to report financial information in a timely manner; and</w:t>
      </w:r>
    </w:p>
    <w:p>
      <w:pPr>
        <w:ind w:left="620" w:hanging="288"/>
        <w:spacing w:after="0"/>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markets in which our stock is traded.</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i w:val="1"/>
          <w:iCs w:val="1"/>
          <w:color w:val="0000FF"/>
        </w:rPr>
        <w:t>Rights to acquire our common stock could result in dilution to other holders of our common stock.</w:t>
      </w:r>
    </w:p>
    <w:p>
      <w:pPr>
        <w:spacing w:after="0" w:line="96" w:lineRule="exact"/>
        <w:rPr>
          <w:sz w:val="20"/>
          <w:szCs w:val="20"/>
          <w:color w:val="auto"/>
        </w:rPr>
      </w:pPr>
    </w:p>
    <w:p>
      <w:pPr>
        <w:ind w:right="1159"/>
        <w:spacing w:after="0" w:line="232" w:lineRule="auto"/>
        <w:rPr>
          <w:sz w:val="20"/>
          <w:szCs w:val="20"/>
          <w:color w:val="auto"/>
        </w:rPr>
      </w:pPr>
      <w:r>
        <w:rPr>
          <w:rFonts w:ascii="Arial" w:cs="Arial" w:eastAsia="Arial" w:hAnsi="Arial"/>
          <w:sz w:val="19"/>
          <w:szCs w:val="19"/>
          <w:color w:val="auto"/>
        </w:rPr>
        <w:t>As of December 31, 2011, we had outstanding options to acquire approximately 1.2 million shares of our common stock at a weighted average exercise price of $4.50 per share. An additional 501,000 shares remain available for grant under our 2007 Equity Incentive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47" w:lineRule="exact"/>
        <w:rPr>
          <w:sz w:val="20"/>
          <w:szCs w:val="20"/>
          <w:color w:val="auto"/>
        </w:rPr>
      </w:pPr>
    </w:p>
    <w:p>
      <w:pPr>
        <w:ind w:right="1339"/>
        <w:spacing w:after="0" w:line="251" w:lineRule="auto"/>
        <w:rPr>
          <w:sz w:val="20"/>
          <w:szCs w:val="20"/>
          <w:color w:val="auto"/>
        </w:rPr>
      </w:pPr>
      <w:r>
        <w:rPr>
          <w:rFonts w:ascii="Arial" w:cs="Arial" w:eastAsia="Arial" w:hAnsi="Arial"/>
          <w:sz w:val="22"/>
          <w:szCs w:val="22"/>
          <w:i w:val="1"/>
          <w:iCs w:val="1"/>
          <w:color w:val="0000FF"/>
        </w:rPr>
        <w:t>Sales of additional shares of our common stock could have a negative effect on the market price of our common stock.</w:t>
      </w:r>
    </w:p>
    <w:p>
      <w:pPr>
        <w:spacing w:after="0" w:line="52" w:lineRule="exact"/>
        <w:rPr>
          <w:sz w:val="20"/>
          <w:szCs w:val="20"/>
          <w:color w:val="auto"/>
        </w:rPr>
      </w:pPr>
    </w:p>
    <w:p>
      <w:pPr>
        <w:ind w:right="1139"/>
        <w:spacing w:after="0" w:line="232" w:lineRule="auto"/>
        <w:rPr>
          <w:sz w:val="20"/>
          <w:szCs w:val="20"/>
          <w:color w:val="auto"/>
        </w:rPr>
      </w:pPr>
      <w:r>
        <w:rPr>
          <w:rFonts w:ascii="Arial" w:cs="Arial" w:eastAsia="Arial" w:hAnsi="Arial"/>
          <w:sz w:val="19"/>
          <w:szCs w:val="19"/>
          <w:color w:val="auto"/>
        </w:rPr>
        <w:t>Sales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19</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31" w:name="page32"/>
    <w:bookmarkEnd w:id="31"/>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ITEM 1A –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0000FF"/>
        </w:rPr>
        <w:t>We have previously identified material weaknesses in our internal controls.</w:t>
      </w:r>
    </w:p>
    <w:p>
      <w:pPr>
        <w:spacing w:after="0" w:line="85" w:lineRule="exact"/>
        <w:rPr>
          <w:sz w:val="20"/>
          <w:szCs w:val="20"/>
          <w:color w:val="auto"/>
        </w:rPr>
      </w:pPr>
    </w:p>
    <w:p>
      <w:pPr>
        <w:ind w:right="1199"/>
        <w:spacing w:after="0" w:line="237" w:lineRule="auto"/>
        <w:rPr>
          <w:sz w:val="20"/>
          <w:szCs w:val="20"/>
          <w:color w:val="auto"/>
        </w:rPr>
      </w:pPr>
      <w:r>
        <w:rPr>
          <w:rFonts w:ascii="Arial" w:cs="Arial" w:eastAsia="Arial" w:hAnsi="Arial"/>
          <w:sz w:val="21"/>
          <w:szCs w:val="21"/>
          <w:color w:val="auto"/>
        </w:rPr>
        <w:t>In our Form 10-K for the fiscal year ending June 30, 2006 and Form 10-K/A-2 for the fiscal year ending June 30, 2008, we reported and identified a material weakness in our internal controls.</w:t>
      </w:r>
    </w:p>
    <w:p>
      <w:pPr>
        <w:spacing w:after="0" w:line="131" w:lineRule="exact"/>
        <w:rPr>
          <w:sz w:val="20"/>
          <w:szCs w:val="20"/>
          <w:color w:val="auto"/>
        </w:rPr>
      </w:pPr>
    </w:p>
    <w:p>
      <w:pPr>
        <w:ind w:right="1139"/>
        <w:spacing w:after="0" w:line="238" w:lineRule="auto"/>
        <w:rPr>
          <w:sz w:val="20"/>
          <w:szCs w:val="20"/>
          <w:color w:val="auto"/>
        </w:rPr>
      </w:pPr>
      <w:r>
        <w:rPr>
          <w:rFonts w:ascii="Arial" w:cs="Arial" w:eastAsia="Arial" w:hAnsi="Arial"/>
          <w:sz w:val="19"/>
          <w:szCs w:val="19"/>
          <w:color w:val="auto"/>
        </w:rPr>
        <w:t>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20</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2" w:name="page33"/>
    <w:bookmarkEnd w:id="32"/>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58" w:lineRule="exact"/>
        <w:rPr>
          <w:sz w:val="20"/>
          <w:szCs w:val="20"/>
          <w:color w:val="auto"/>
        </w:rPr>
      </w:pPr>
    </w:p>
    <w:p>
      <w:pPr>
        <w:ind w:right="1579"/>
        <w:spacing w:after="0" w:line="214" w:lineRule="auto"/>
        <w:rPr>
          <w:sz w:val="20"/>
          <w:szCs w:val="20"/>
          <w:color w:val="auto"/>
        </w:rPr>
      </w:pPr>
      <w:r>
        <w:rPr>
          <w:rFonts w:ascii="Arial" w:cs="Arial" w:eastAsia="Arial" w:hAnsi="Arial"/>
          <w:sz w:val="22"/>
          <w:szCs w:val="22"/>
          <w:color w:val="auto"/>
        </w:rPr>
        <w:t>We currently occupy a 31,279 square-foot facility in Salt Lake City, Utah under the terms of an operating lease expiring in May 2016 which supports our principal administrative, sales, marketing, customer support, and research and product development facility.</w:t>
      </w:r>
    </w:p>
    <w:p>
      <w:pPr>
        <w:spacing w:after="0" w:line="134" w:lineRule="exact"/>
        <w:rPr>
          <w:sz w:val="20"/>
          <w:szCs w:val="20"/>
          <w:color w:val="auto"/>
        </w:rPr>
      </w:pPr>
    </w:p>
    <w:p>
      <w:pPr>
        <w:ind w:right="1559"/>
        <w:spacing w:after="0" w:line="253" w:lineRule="auto"/>
        <w:rPr>
          <w:sz w:val="20"/>
          <w:szCs w:val="20"/>
          <w:color w:val="auto"/>
        </w:rPr>
      </w:pPr>
      <w:r>
        <w:rPr>
          <w:rFonts w:ascii="Arial" w:cs="Arial" w:eastAsia="Arial" w:hAnsi="Arial"/>
          <w:sz w:val="19"/>
          <w:szCs w:val="19"/>
          <w:color w:val="auto"/>
        </w:rPr>
        <w:t>We occupy a 40,000 square-foot warehouse in Salt Lake City under the terms of an operating lease expiring in December 2017 which serves as our primary inventory fulfillment and repair center. Our earlier lease for the 23,712 square-foot warehouse in Salt Lake City terminated in January 2012.</w:t>
      </w:r>
    </w:p>
    <w:p>
      <w:pPr>
        <w:spacing w:after="0" w:line="119" w:lineRule="exact"/>
        <w:rPr>
          <w:sz w:val="20"/>
          <w:szCs w:val="20"/>
          <w:color w:val="auto"/>
        </w:rPr>
      </w:pPr>
    </w:p>
    <w:p>
      <w:pPr>
        <w:ind w:right="1319"/>
        <w:spacing w:after="0" w:line="209" w:lineRule="auto"/>
        <w:rPr>
          <w:sz w:val="20"/>
          <w:szCs w:val="20"/>
          <w:color w:val="auto"/>
        </w:rPr>
      </w:pPr>
      <w:r>
        <w:rPr>
          <w:rFonts w:ascii="Arial" w:cs="Arial" w:eastAsia="Arial" w:hAnsi="Arial"/>
          <w:sz w:val="22"/>
          <w:szCs w:val="22"/>
          <w:color w:val="auto"/>
        </w:rPr>
        <w:t>We also lease approximately 5,600 square-feet of warehouse space in Hong Kong under an operating lease which expires in February 2014 to support our partners and customers located in the Asia-Pacific region. Our earlier leases for smaller Hong Kong warehouses totaling 3,700 square-feet expired in February 2012.</w:t>
      </w:r>
    </w:p>
    <w:p>
      <w:pPr>
        <w:spacing w:after="0" w:line="145" w:lineRule="exact"/>
        <w:rPr>
          <w:sz w:val="20"/>
          <w:szCs w:val="20"/>
          <w:color w:val="auto"/>
        </w:rPr>
      </w:pPr>
    </w:p>
    <w:p>
      <w:pPr>
        <w:ind w:right="1739"/>
        <w:spacing w:after="0" w:line="297" w:lineRule="auto"/>
        <w:rPr>
          <w:sz w:val="20"/>
          <w:szCs w:val="20"/>
          <w:color w:val="auto"/>
        </w:rPr>
      </w:pPr>
      <w:r>
        <w:rPr>
          <w:rFonts w:ascii="Arial" w:cs="Arial" w:eastAsia="Arial" w:hAnsi="Arial"/>
          <w:sz w:val="19"/>
          <w:szCs w:val="19"/>
          <w:color w:val="auto"/>
        </w:rPr>
        <w:t>We also occupy a 9,400 square-foot facility in Austin, Texas under the terms of an operating lease expiring in May 2012, which serves as an additional facility to support our administrative, sales, marketing, customer support, and research and development activities.</w:t>
      </w:r>
    </w:p>
    <w:p>
      <w:pPr>
        <w:spacing w:after="0" w:line="107" w:lineRule="exact"/>
        <w:rPr>
          <w:sz w:val="20"/>
          <w:szCs w:val="20"/>
          <w:color w:val="auto"/>
        </w:rPr>
      </w:pPr>
    </w:p>
    <w:p>
      <w:pPr>
        <w:ind w:right="1379"/>
        <w:spacing w:after="0" w:line="214" w:lineRule="auto"/>
        <w:rPr>
          <w:sz w:val="20"/>
          <w:szCs w:val="20"/>
          <w:color w:val="auto"/>
        </w:rPr>
      </w:pPr>
      <w:r>
        <w:rPr>
          <w:rFonts w:ascii="Arial" w:cs="Arial" w:eastAsia="Arial" w:hAnsi="Arial"/>
          <w:sz w:val="22"/>
          <w:szCs w:val="22"/>
          <w:color w:val="auto"/>
        </w:rPr>
        <w:t>In addition to the above, we also occupy a 2,264 square-foot office space in Corvallis, Oregon under a month-to-month operating lease to support our digital signage business operations and research and development facilities.</w:t>
      </w:r>
    </w:p>
    <w:p>
      <w:pPr>
        <w:spacing w:after="0" w:line="134" w:lineRule="exact"/>
        <w:rPr>
          <w:sz w:val="20"/>
          <w:szCs w:val="20"/>
          <w:color w:val="auto"/>
        </w:rPr>
      </w:pPr>
    </w:p>
    <w:p>
      <w:pPr>
        <w:ind w:right="1279"/>
        <w:spacing w:after="0" w:line="214" w:lineRule="auto"/>
        <w:rPr>
          <w:sz w:val="20"/>
          <w:szCs w:val="20"/>
          <w:color w:val="auto"/>
        </w:rPr>
      </w:pPr>
      <w:r>
        <w:rPr>
          <w:rFonts w:ascii="Arial" w:cs="Arial" w:eastAsia="Arial" w:hAnsi="Arial"/>
          <w:sz w:val="22"/>
          <w:szCs w:val="22"/>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58" w:lineRule="exact"/>
        <w:rPr>
          <w:sz w:val="20"/>
          <w:szCs w:val="20"/>
          <w:color w:val="auto"/>
        </w:rPr>
      </w:pPr>
    </w:p>
    <w:p>
      <w:pPr>
        <w:jc w:val="both"/>
        <w:ind w:right="1279"/>
        <w:spacing w:after="0" w:line="214" w:lineRule="auto"/>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u w:val="single" w:color="auto"/>
          <w:color w:val="0000FF"/>
        </w:rPr>
        <w:t>Note 8 – Commitments and Contingencies</w:t>
      </w:r>
      <w:r>
        <w:rPr>
          <w:rFonts w:ascii="Arial" w:cs="Arial" w:eastAsia="Arial" w:hAnsi="Arial"/>
          <w:sz w:val="22"/>
          <w:szCs w:val="22"/>
          <w:color w:val="auto"/>
        </w:rPr>
        <w:t xml:space="preserve"> of the Notes to Consolidated Financial Statements (Part II, Item 8) for information regarding legal proceedings in which we are involved, which is incorporated in this Item 3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21</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3" w:name="page34"/>
    <w:bookmarkEnd w:id="33"/>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PART II</w:t>
      </w:r>
    </w:p>
    <w:p>
      <w:pPr>
        <w:spacing w:after="0" w:line="355" w:lineRule="exact"/>
        <w:rPr>
          <w:sz w:val="20"/>
          <w:szCs w:val="20"/>
          <w:color w:val="auto"/>
        </w:rPr>
      </w:pPr>
    </w:p>
    <w:p>
      <w:pPr>
        <w:ind w:right="1339"/>
        <w:spacing w:after="0" w:line="22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Information</w:t>
      </w:r>
    </w:p>
    <w:p>
      <w:pPr>
        <w:spacing w:after="0" w:line="91" w:lineRule="exact"/>
        <w:rPr>
          <w:sz w:val="20"/>
          <w:szCs w:val="20"/>
          <w:color w:val="auto"/>
        </w:rPr>
      </w:pPr>
    </w:p>
    <w:p>
      <w:pPr>
        <w:jc w:val="both"/>
        <w:ind w:right="1139"/>
        <w:spacing w:after="0" w:line="253" w:lineRule="auto"/>
        <w:rPr>
          <w:sz w:val="20"/>
          <w:szCs w:val="20"/>
          <w:color w:val="auto"/>
        </w:rPr>
      </w:pPr>
      <w:r>
        <w:rPr>
          <w:rFonts w:ascii="Arial" w:cs="Arial" w:eastAsia="Arial" w:hAnsi="Arial"/>
          <w:sz w:val="19"/>
          <w:szCs w:val="19"/>
          <w:color w:val="auto"/>
        </w:rPr>
        <w:t>Our common stock has been traded on the Nasdaq Capital Market under the symbol CLRO since August 14, 2007. The following table sets forth high and low sale prices (or high and low bid quotations) of our common stock for each fiscal quarter indicated as reported on the applicable exchange or market.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6"/>
                <w:szCs w:val="16"/>
                <w:b w:val="1"/>
                <w:bCs w:val="1"/>
                <w:color w:val="auto"/>
              </w:rPr>
              <w:t>2011</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2010</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gridSpan w:val="3"/>
          </w:tcPr>
          <w:p>
            <w:pPr>
              <w:jc w:val="right"/>
              <w:ind w:right="20"/>
              <w:spacing w:after="0" w:line="159"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3"/>
                <w:szCs w:val="13"/>
                <w:color w:val="auto"/>
              </w:rPr>
            </w:pPr>
          </w:p>
        </w:tc>
        <w:tc>
          <w:tcPr>
            <w:tcW w:w="46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w w:val="85"/>
              </w:rPr>
              <w:t>Low</w:t>
            </w:r>
          </w:p>
        </w:tc>
        <w:tc>
          <w:tcPr>
            <w:tcW w:w="1100" w:type="dxa"/>
            <w:vAlign w:val="bottom"/>
            <w:gridSpan w:val="3"/>
          </w:tcPr>
          <w:p>
            <w:pPr>
              <w:jc w:val="right"/>
              <w:ind w:right="300"/>
              <w:spacing w:after="0" w:line="159" w:lineRule="exact"/>
              <w:rPr>
                <w:sz w:val="20"/>
                <w:szCs w:val="20"/>
                <w:color w:val="auto"/>
              </w:rPr>
            </w:pPr>
            <w:r>
              <w:rPr>
                <w:rFonts w:ascii="Arial" w:cs="Arial" w:eastAsia="Arial" w:hAnsi="Arial"/>
                <w:sz w:val="14"/>
                <w:szCs w:val="14"/>
                <w:b w:val="1"/>
                <w:bCs w:val="1"/>
                <w:color w:val="auto"/>
              </w:rPr>
              <w:t>High</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A0C4DA"/>
          </w:tcPr>
          <w:p>
            <w:pPr>
              <w:spacing w:after="0"/>
              <w:rPr>
                <w:sz w:val="20"/>
                <w:szCs w:val="20"/>
                <w:color w:val="auto"/>
              </w:rPr>
            </w:pPr>
            <w:r>
              <w:rPr>
                <w:rFonts w:ascii="Arial" w:cs="Arial" w:eastAsia="Arial" w:hAnsi="Arial"/>
                <w:sz w:val="18"/>
                <w:szCs w:val="18"/>
                <w:color w:val="auto"/>
                <w:w w:val="91"/>
              </w:rPr>
              <w:t>Q1</w:t>
            </w:r>
          </w:p>
        </w:tc>
        <w:tc>
          <w:tcPr>
            <w:tcW w:w="1980" w:type="dxa"/>
            <w:vAlign w:val="bottom"/>
            <w:shd w:val="clear" w:color="auto" w:fill="A0C4DA"/>
          </w:tcPr>
          <w:p>
            <w:pPr>
              <w:ind w:left="20"/>
              <w:spacing w:after="0"/>
              <w:rPr>
                <w:sz w:val="20"/>
                <w:szCs w:val="20"/>
                <w:color w:val="auto"/>
              </w:rPr>
            </w:pPr>
            <w:r>
              <w:rPr>
                <w:rFonts w:ascii="Arial" w:cs="Arial" w:eastAsia="Arial" w:hAnsi="Arial"/>
                <w:sz w:val="18"/>
                <w:szCs w:val="18"/>
                <w:color w:val="auto"/>
              </w:rPr>
              <w:t>- Jan 1 to Mar 31</w:t>
            </w:r>
          </w:p>
        </w:tc>
        <w:tc>
          <w:tcPr>
            <w:tcW w:w="820" w:type="dxa"/>
            <w:vAlign w:val="bottom"/>
            <w:gridSpan w:val="3"/>
            <w:shd w:val="clear" w:color="auto" w:fill="A0C4DA"/>
          </w:tcPr>
          <w:p>
            <w:pPr>
              <w:jc w:val="right"/>
              <w:ind w:right="20"/>
              <w:spacing w:after="0"/>
              <w:rPr>
                <w:sz w:val="20"/>
                <w:szCs w:val="20"/>
                <w:color w:val="auto"/>
              </w:rPr>
            </w:pPr>
            <w:r>
              <w:rPr>
                <w:rFonts w:ascii="Arial" w:cs="Arial" w:eastAsia="Arial" w:hAnsi="Arial"/>
                <w:sz w:val="18"/>
                <w:szCs w:val="18"/>
                <w:color w:val="auto"/>
              </w:rPr>
              <w:t>$7.49</w:t>
            </w:r>
          </w:p>
        </w:tc>
        <w:tc>
          <w:tcPr>
            <w:tcW w:w="980" w:type="dxa"/>
            <w:vAlign w:val="bottom"/>
            <w:gridSpan w:val="3"/>
            <w:shd w:val="clear" w:color="auto" w:fill="A0C4DA"/>
          </w:tcPr>
          <w:p>
            <w:pPr>
              <w:jc w:val="right"/>
              <w:ind w:right="200"/>
              <w:spacing w:after="0"/>
              <w:rPr>
                <w:sz w:val="20"/>
                <w:szCs w:val="20"/>
                <w:color w:val="auto"/>
              </w:rPr>
            </w:pPr>
            <w:r>
              <w:rPr>
                <w:rFonts w:ascii="Arial" w:cs="Arial" w:eastAsia="Arial" w:hAnsi="Arial"/>
                <w:sz w:val="18"/>
                <w:szCs w:val="18"/>
                <w:color w:val="auto"/>
              </w:rPr>
              <w:t>$3.75</w:t>
            </w:r>
          </w:p>
        </w:tc>
        <w:tc>
          <w:tcPr>
            <w:tcW w:w="1100" w:type="dxa"/>
            <w:vAlign w:val="bottom"/>
            <w:gridSpan w:val="3"/>
            <w:shd w:val="clear" w:color="auto" w:fill="A0C4DA"/>
          </w:tcPr>
          <w:p>
            <w:pPr>
              <w:jc w:val="right"/>
              <w:ind w:right="300"/>
              <w:spacing w:after="0"/>
              <w:rPr>
                <w:sz w:val="20"/>
                <w:szCs w:val="20"/>
                <w:color w:val="auto"/>
              </w:rPr>
            </w:pPr>
            <w:r>
              <w:rPr>
                <w:rFonts w:ascii="Arial" w:cs="Arial" w:eastAsia="Arial" w:hAnsi="Arial"/>
                <w:sz w:val="18"/>
                <w:szCs w:val="18"/>
                <w:color w:val="auto"/>
              </w:rPr>
              <w:t>$3.33</w:t>
            </w:r>
          </w:p>
        </w:tc>
        <w:tc>
          <w:tcPr>
            <w:tcW w:w="520" w:type="dxa"/>
            <w:vAlign w:val="bottom"/>
            <w:gridSpan w:val="2"/>
            <w:shd w:val="clear" w:color="auto" w:fill="A0C4DA"/>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1"/>
              </w:rPr>
              <w:t>Q2</w:t>
            </w:r>
          </w:p>
        </w:tc>
        <w:tc>
          <w:tcPr>
            <w:tcW w:w="1980" w:type="dxa"/>
            <w:vAlign w:val="bottom"/>
          </w:tcPr>
          <w:p>
            <w:pPr>
              <w:ind w:left="20"/>
              <w:spacing w:after="0"/>
              <w:rPr>
                <w:sz w:val="20"/>
                <w:szCs w:val="20"/>
                <w:color w:val="auto"/>
              </w:rPr>
            </w:pPr>
            <w:r>
              <w:rPr>
                <w:rFonts w:ascii="Arial" w:cs="Arial" w:eastAsia="Arial" w:hAnsi="Arial"/>
                <w:sz w:val="18"/>
                <w:szCs w:val="18"/>
                <w:color w:val="auto"/>
              </w:rPr>
              <w:t>- April 1 to Jun 30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9.20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5.91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3.25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A0C4DA"/>
          </w:tcPr>
          <w:p>
            <w:pPr>
              <w:spacing w:after="0"/>
              <w:rPr>
                <w:sz w:val="20"/>
                <w:szCs w:val="20"/>
                <w:color w:val="auto"/>
              </w:rPr>
            </w:pPr>
            <w:r>
              <w:rPr>
                <w:rFonts w:ascii="Arial" w:cs="Arial" w:eastAsia="Arial" w:hAnsi="Arial"/>
                <w:sz w:val="18"/>
                <w:szCs w:val="18"/>
                <w:color w:val="auto"/>
                <w:w w:val="91"/>
              </w:rPr>
              <w:t>Q3</w:t>
            </w:r>
          </w:p>
        </w:tc>
        <w:tc>
          <w:tcPr>
            <w:tcW w:w="1980" w:type="dxa"/>
            <w:vAlign w:val="bottom"/>
            <w:shd w:val="clear" w:color="auto" w:fill="A0C4DA"/>
          </w:tcPr>
          <w:p>
            <w:pPr>
              <w:ind w:left="20"/>
              <w:spacing w:after="0"/>
              <w:rPr>
                <w:sz w:val="20"/>
                <w:szCs w:val="20"/>
                <w:color w:val="auto"/>
              </w:rPr>
            </w:pPr>
            <w:r>
              <w:rPr>
                <w:rFonts w:ascii="Arial" w:cs="Arial" w:eastAsia="Arial" w:hAnsi="Arial"/>
                <w:sz w:val="18"/>
                <w:szCs w:val="18"/>
                <w:color w:val="auto"/>
              </w:rPr>
              <w:t>- July 1 to Sep 30</w:t>
            </w:r>
          </w:p>
        </w:tc>
        <w:tc>
          <w:tcPr>
            <w:tcW w:w="820" w:type="dxa"/>
            <w:vAlign w:val="bottom"/>
            <w:gridSpan w:val="3"/>
            <w:shd w:val="clear" w:color="auto" w:fill="A0C4DA"/>
          </w:tcPr>
          <w:p>
            <w:pPr>
              <w:jc w:val="right"/>
              <w:ind w:right="20"/>
              <w:spacing w:after="0"/>
              <w:rPr>
                <w:sz w:val="20"/>
                <w:szCs w:val="20"/>
                <w:color w:val="auto"/>
              </w:rPr>
            </w:pPr>
            <w:r>
              <w:rPr>
                <w:rFonts w:ascii="Arial" w:cs="Arial" w:eastAsia="Arial" w:hAnsi="Arial"/>
                <w:sz w:val="18"/>
                <w:szCs w:val="18"/>
                <w:color w:val="auto"/>
              </w:rPr>
              <w:t>7.73</w:t>
            </w:r>
          </w:p>
        </w:tc>
        <w:tc>
          <w:tcPr>
            <w:tcW w:w="980" w:type="dxa"/>
            <w:vAlign w:val="bottom"/>
            <w:gridSpan w:val="3"/>
            <w:shd w:val="clear" w:color="auto" w:fill="A0C4DA"/>
          </w:tcPr>
          <w:p>
            <w:pPr>
              <w:jc w:val="right"/>
              <w:ind w:right="200"/>
              <w:spacing w:after="0"/>
              <w:rPr>
                <w:sz w:val="20"/>
                <w:szCs w:val="20"/>
                <w:color w:val="auto"/>
              </w:rPr>
            </w:pPr>
            <w:r>
              <w:rPr>
                <w:rFonts w:ascii="Arial" w:cs="Arial" w:eastAsia="Arial" w:hAnsi="Arial"/>
                <w:sz w:val="18"/>
                <w:szCs w:val="18"/>
                <w:color w:val="auto"/>
              </w:rPr>
              <w:t>4.90</w:t>
            </w:r>
          </w:p>
        </w:tc>
        <w:tc>
          <w:tcPr>
            <w:tcW w:w="1100" w:type="dxa"/>
            <w:vAlign w:val="bottom"/>
            <w:gridSpan w:val="3"/>
            <w:shd w:val="clear" w:color="auto" w:fill="A0C4DA"/>
          </w:tcPr>
          <w:p>
            <w:pPr>
              <w:jc w:val="right"/>
              <w:ind w:right="300"/>
              <w:spacing w:after="0"/>
              <w:rPr>
                <w:sz w:val="20"/>
                <w:szCs w:val="20"/>
                <w:color w:val="auto"/>
              </w:rPr>
            </w:pPr>
            <w:r>
              <w:rPr>
                <w:rFonts w:ascii="Arial" w:cs="Arial" w:eastAsia="Arial" w:hAnsi="Arial"/>
                <w:sz w:val="18"/>
                <w:szCs w:val="18"/>
                <w:color w:val="auto"/>
              </w:rPr>
              <w:t>4.00</w:t>
            </w:r>
          </w:p>
        </w:tc>
        <w:tc>
          <w:tcPr>
            <w:tcW w:w="520" w:type="dxa"/>
            <w:vAlign w:val="bottom"/>
            <w:gridSpan w:val="2"/>
            <w:shd w:val="clear" w:color="auto" w:fill="A0C4DA"/>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1"/>
              </w:rPr>
              <w:t>Q4</w:t>
            </w:r>
          </w:p>
        </w:tc>
        <w:tc>
          <w:tcPr>
            <w:tcW w:w="1980" w:type="dxa"/>
            <w:vAlign w:val="bottom"/>
          </w:tcPr>
          <w:p>
            <w:pPr>
              <w:ind w:left="20"/>
              <w:spacing w:after="0"/>
              <w:rPr>
                <w:sz w:val="20"/>
                <w:szCs w:val="20"/>
                <w:color w:val="auto"/>
              </w:rPr>
            </w:pPr>
            <w:r>
              <w:rPr>
                <w:rFonts w:ascii="Arial" w:cs="Arial" w:eastAsia="Arial" w:hAnsi="Arial"/>
                <w:sz w:val="18"/>
                <w:szCs w:val="18"/>
                <w:color w:val="auto"/>
              </w:rPr>
              <w:t>- Oct 1 to Dec 31</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5.51</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3.95</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359"/>
        <w:spacing w:after="0" w:line="226" w:lineRule="auto"/>
        <w:rPr>
          <w:sz w:val="20"/>
          <w:szCs w:val="20"/>
          <w:color w:val="auto"/>
        </w:rPr>
      </w:pPr>
      <w:r>
        <w:rPr>
          <w:rFonts w:ascii="Arial" w:cs="Arial" w:eastAsia="Arial" w:hAnsi="Arial"/>
          <w:sz w:val="22"/>
          <w:szCs w:val="22"/>
          <w:color w:val="auto"/>
        </w:rPr>
        <w:t>On March 28, 2012, the closing price for our common stock as reported on the Nasdaq Capital Market was $4.468.</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w:t>
      </w:r>
    </w:p>
    <w:p>
      <w:pPr>
        <w:spacing w:after="0" w:line="91" w:lineRule="exact"/>
        <w:rPr>
          <w:sz w:val="20"/>
          <w:szCs w:val="20"/>
          <w:color w:val="auto"/>
        </w:rPr>
      </w:pPr>
    </w:p>
    <w:p>
      <w:pPr>
        <w:ind w:right="1159"/>
        <w:spacing w:after="0" w:line="225" w:lineRule="auto"/>
        <w:rPr>
          <w:sz w:val="20"/>
          <w:szCs w:val="20"/>
          <w:color w:val="auto"/>
        </w:rPr>
      </w:pPr>
      <w:r>
        <w:rPr>
          <w:rFonts w:ascii="Arial" w:cs="Arial" w:eastAsia="Arial" w:hAnsi="Arial"/>
          <w:sz w:val="21"/>
          <w:szCs w:val="21"/>
          <w:color w:val="auto"/>
        </w:rPr>
        <w:t>As of March 28, 2012, there were 9,098,152 shares of our common stock issued and outstanding and held by approximately 429 shareholders of record. This number includes each broker dealer and clearing corporation that holds shares for customers as a single shareholder.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91" w:lineRule="exact"/>
        <w:rPr>
          <w:sz w:val="20"/>
          <w:szCs w:val="20"/>
          <w:color w:val="auto"/>
        </w:rPr>
      </w:pPr>
    </w:p>
    <w:p>
      <w:pPr>
        <w:ind w:right="1139"/>
        <w:spacing w:after="0" w:line="214" w:lineRule="auto"/>
        <w:rPr>
          <w:sz w:val="20"/>
          <w:szCs w:val="20"/>
          <w:color w:val="auto"/>
        </w:rPr>
      </w:pPr>
      <w:r>
        <w:rPr>
          <w:rFonts w:ascii="Arial" w:cs="Arial" w:eastAsia="Arial" w:hAnsi="Arial"/>
          <w:sz w:val="22"/>
          <w:szCs w:val="22"/>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91" w:lineRule="exact"/>
        <w:rPr>
          <w:sz w:val="20"/>
          <w:szCs w:val="20"/>
          <w:color w:val="auto"/>
        </w:rPr>
      </w:pPr>
    </w:p>
    <w:p>
      <w:pPr>
        <w:ind w:right="1439"/>
        <w:spacing w:after="0" w:line="243" w:lineRule="auto"/>
        <w:rPr>
          <w:sz w:val="20"/>
          <w:szCs w:val="20"/>
          <w:color w:val="auto"/>
        </w:rPr>
      </w:pPr>
      <w:r>
        <w:rPr>
          <w:rFonts w:ascii="Arial" w:cs="Arial" w:eastAsia="Arial" w:hAnsi="Arial"/>
          <w:sz w:val="19"/>
          <w:szCs w:val="19"/>
          <w:color w:val="auto"/>
        </w:rPr>
        <w:t>We currently have two equity compensation plans, our 1998 Stock Option Plan (the “1998 Plan”) and our 2007 Equity Incentive Plan (the “2007 Plan”). See “Item 12. Security Ownership of Certain Beneficial Owners and Management and Related Stockholder Matters” for additional information for securities authorized for issuance under our equity compensation plans.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91" w:lineRule="exact"/>
        <w:rPr>
          <w:sz w:val="20"/>
          <w:szCs w:val="20"/>
          <w:color w:val="auto"/>
        </w:rPr>
      </w:pPr>
    </w:p>
    <w:p>
      <w:pPr>
        <w:ind w:right="1679"/>
        <w:spacing w:after="0" w:line="226" w:lineRule="auto"/>
        <w:rPr>
          <w:sz w:val="20"/>
          <w:szCs w:val="20"/>
          <w:color w:val="auto"/>
        </w:rPr>
      </w:pPr>
      <w:r>
        <w:rPr>
          <w:rFonts w:ascii="Arial" w:cs="Arial" w:eastAsia="Arial" w:hAnsi="Arial"/>
          <w:sz w:val="22"/>
          <w:szCs w:val="22"/>
          <w:color w:val="auto"/>
        </w:rPr>
        <w:t>There were no issuer purchases of equity securities during the years ended December 31, 2011 and 2010.</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22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4" w:name="page35"/>
    <w:bookmarkEnd w:id="34"/>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96" w:lineRule="exact"/>
        <w:rPr>
          <w:sz w:val="20"/>
          <w:szCs w:val="20"/>
          <w:color w:val="auto"/>
        </w:rPr>
      </w:pPr>
    </w:p>
    <w:p>
      <w:pPr>
        <w:ind w:right="1559"/>
        <w:spacing w:after="0" w:line="22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31" w:lineRule="exact"/>
        <w:rPr>
          <w:sz w:val="20"/>
          <w:szCs w:val="20"/>
          <w:color w:val="auto"/>
        </w:rPr>
      </w:pPr>
    </w:p>
    <w:p>
      <w:pPr>
        <w:ind w:right="1199"/>
        <w:spacing w:after="0" w:line="233" w:lineRule="auto"/>
        <w:rPr>
          <w:sz w:val="20"/>
          <w:szCs w:val="20"/>
          <w:color w:val="auto"/>
        </w:rPr>
      </w:pPr>
      <w:r>
        <w:rPr>
          <w:rFonts w:ascii="Arial" w:cs="Arial" w:eastAsia="Arial" w:hAnsi="Arial"/>
          <w:sz w:val="19"/>
          <w:szCs w:val="19"/>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8" w:lineRule="exact"/>
        <w:rPr>
          <w:sz w:val="20"/>
          <w:szCs w:val="20"/>
          <w:color w:val="auto"/>
        </w:rPr>
      </w:pPr>
    </w:p>
    <w:p>
      <w:pPr>
        <w:ind w:right="1539"/>
        <w:spacing w:after="0" w:line="237" w:lineRule="auto"/>
        <w:rPr>
          <w:sz w:val="20"/>
          <w:szCs w:val="20"/>
          <w:color w:val="auto"/>
        </w:rPr>
      </w:pPr>
      <w:r>
        <w:rPr>
          <w:rFonts w:ascii="Arial" w:cs="Arial" w:eastAsia="Arial" w:hAnsi="Arial"/>
          <w:sz w:val="21"/>
          <w:szCs w:val="21"/>
          <w:color w:val="auto"/>
        </w:rPr>
        <w:t>Throughout this discussion, we compare results of operations for the year ended December 31, 2011 ("2011") to the year ended December 31, 2010 (“2010” or "the comparable period").</w:t>
      </w:r>
    </w:p>
    <w:p>
      <w:pPr>
        <w:spacing w:after="0" w:line="131" w:lineRule="exact"/>
        <w:rPr>
          <w:sz w:val="20"/>
          <w:szCs w:val="20"/>
          <w:color w:val="auto"/>
        </w:rPr>
      </w:pPr>
    </w:p>
    <w:p>
      <w:pPr>
        <w:ind w:right="1339"/>
        <w:spacing w:after="0" w:line="284" w:lineRule="auto"/>
        <w:rPr>
          <w:sz w:val="20"/>
          <w:szCs w:val="20"/>
          <w:color w:val="auto"/>
        </w:rPr>
      </w:pPr>
      <w:r>
        <w:rPr>
          <w:rFonts w:ascii="Arial" w:cs="Arial" w:eastAsia="Arial" w:hAnsi="Arial"/>
          <w:sz w:val="19"/>
          <w:szCs w:val="19"/>
          <w:color w:val="auto"/>
        </w:rPr>
        <w:t>Despite the uncertainty with the European markets in the second half of 2011, overall global economic conditions remained stable during 2011, contributing to our strong financial performance in 2011.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On September 6, 2011, we acquired substantially all the assets of MagicBox, Inc. an Oregon based</w:t>
      </w:r>
    </w:p>
    <w:p>
      <w:pPr>
        <w:spacing w:after="0" w:line="224" w:lineRule="auto"/>
        <w:rPr>
          <w:sz w:val="20"/>
          <w:szCs w:val="20"/>
          <w:color w:val="auto"/>
        </w:rPr>
      </w:pPr>
      <w:r>
        <w:rPr>
          <w:rFonts w:ascii="Arial" w:cs="Arial" w:eastAsia="Arial" w:hAnsi="Arial"/>
          <w:sz w:val="19"/>
          <w:szCs w:val="19"/>
          <w:color w:val="auto"/>
        </w:rPr>
        <w:t>company engaged in digital signage business. Under the terms of the asset purchase agreement, we paid</w:t>
      </w:r>
    </w:p>
    <w:p>
      <w:pPr>
        <w:spacing w:after="0" w:line="202" w:lineRule="auto"/>
        <w:rPr>
          <w:sz w:val="20"/>
          <w:szCs w:val="20"/>
          <w:color w:val="auto"/>
        </w:rPr>
      </w:pPr>
      <w:r>
        <w:rPr>
          <w:rFonts w:ascii="Arial" w:cs="Arial" w:eastAsia="Arial" w:hAnsi="Arial"/>
          <w:sz w:val="21"/>
          <w:szCs w:val="21"/>
          <w:color w:val="auto"/>
        </w:rPr>
        <w:t>$980,000 in cash for the assets of MagicBox, which included working capital of approximately</w:t>
      </w:r>
    </w:p>
    <w:p>
      <w:pPr>
        <w:spacing w:after="0" w:line="222" w:lineRule="auto"/>
        <w:rPr>
          <w:sz w:val="20"/>
          <w:szCs w:val="20"/>
          <w:color w:val="auto"/>
        </w:rPr>
      </w:pPr>
      <w:r>
        <w:rPr>
          <w:rFonts w:ascii="Arial" w:cs="Arial" w:eastAsia="Arial" w:hAnsi="Arial"/>
          <w:sz w:val="19"/>
          <w:szCs w:val="19"/>
          <w:color w:val="auto"/>
        </w:rPr>
        <w:t>$206,000. MagicBox’s content management and control technology, along with its industry-leading</w:t>
      </w:r>
    </w:p>
    <w:p>
      <w:pPr>
        <w:spacing w:after="0" w:line="223" w:lineRule="auto"/>
        <w:rPr>
          <w:sz w:val="20"/>
          <w:szCs w:val="20"/>
          <w:color w:val="auto"/>
        </w:rPr>
      </w:pPr>
      <w:r>
        <w:rPr>
          <w:rFonts w:ascii="Arial" w:cs="Arial" w:eastAsia="Arial" w:hAnsi="Arial"/>
          <w:sz w:val="19"/>
          <w:szCs w:val="19"/>
          <w:color w:val="auto"/>
        </w:rPr>
        <w:t>database integration software complements ClearOne's StreamNet systems. The combined expertise of</w:t>
      </w:r>
    </w:p>
    <w:p>
      <w:pPr>
        <w:spacing w:after="0" w:line="192" w:lineRule="auto"/>
        <w:rPr>
          <w:sz w:val="20"/>
          <w:szCs w:val="20"/>
          <w:color w:val="auto"/>
        </w:rPr>
      </w:pPr>
      <w:r>
        <w:rPr>
          <w:rFonts w:ascii="Arial" w:cs="Arial" w:eastAsia="Arial" w:hAnsi="Arial"/>
          <w:sz w:val="22"/>
          <w:szCs w:val="22"/>
          <w:color w:val="auto"/>
        </w:rPr>
        <w:t>the two companies brings to the market the only complete end-to-end digital signage content</w:t>
      </w:r>
    </w:p>
    <w:p>
      <w:pPr>
        <w:spacing w:after="0"/>
        <w:rPr>
          <w:sz w:val="20"/>
          <w:szCs w:val="20"/>
          <w:color w:val="auto"/>
        </w:rPr>
      </w:pPr>
      <w:r>
        <w:rPr>
          <w:rFonts w:ascii="Arial" w:cs="Arial" w:eastAsia="Arial" w:hAnsi="Arial"/>
          <w:sz w:val="22"/>
          <w:szCs w:val="22"/>
          <w:color w:val="auto"/>
        </w:rPr>
        <w:t>management and IP streaming solution.</w:t>
      </w:r>
    </w:p>
    <w:p>
      <w:pPr>
        <w:spacing w:after="0" w:line="134" w:lineRule="exact"/>
        <w:rPr>
          <w:sz w:val="20"/>
          <w:szCs w:val="20"/>
          <w:color w:val="auto"/>
        </w:rPr>
      </w:pPr>
    </w:p>
    <w:p>
      <w:pPr>
        <w:ind w:right="1199"/>
        <w:spacing w:after="0" w:line="208" w:lineRule="auto"/>
        <w:rPr>
          <w:sz w:val="20"/>
          <w:szCs w:val="20"/>
          <w:color w:val="auto"/>
        </w:rPr>
      </w:pPr>
      <w:r>
        <w:rPr>
          <w:rFonts w:ascii="Arial" w:cs="Arial" w:eastAsia="Arial" w:hAnsi="Arial"/>
          <w:sz w:val="21"/>
          <w:szCs w:val="21"/>
          <w:color w:val="auto"/>
        </w:rPr>
        <w:t>Revenue and profitability of almost all product lines in our conferencing and collaboration portfolio of products improved during the year ended December 31, 2011. We experienced appreciable improvements in revenues from professional, personal and premium conferencing products. The revenue from NetStreams products remained flat, while revenue from traditional tabletop conferencing suffered. We also benefitted from additional revenue from MagicBox products during 2011. Both revenue and gross profit increased by 12% during 2011 over the comparable period. Net Income increased to $6.9 million from $2.4 million in 2011. Net income in 2011 benefited by a credit for $3.7 million in proceeds from litigation related to the theft of our intellectual property. On the other hand, net income in 2010 declined due to a legal accrual of $2.2 million related to our litigation involving the indemnification of our former officers.</w:t>
      </w:r>
    </w:p>
    <w:p>
      <w:pPr>
        <w:spacing w:after="0" w:line="136" w:lineRule="exact"/>
        <w:rPr>
          <w:sz w:val="20"/>
          <w:szCs w:val="20"/>
          <w:color w:val="auto"/>
        </w:rPr>
      </w:pPr>
    </w:p>
    <w:p>
      <w:pPr>
        <w:ind w:right="1719"/>
        <w:spacing w:after="0" w:line="284" w:lineRule="auto"/>
        <w:rPr>
          <w:sz w:val="20"/>
          <w:szCs w:val="20"/>
          <w:color w:val="auto"/>
        </w:rPr>
      </w:pPr>
      <w:r>
        <w:rPr>
          <w:rFonts w:ascii="Arial" w:cs="Arial" w:eastAsia="Arial" w:hAnsi="Arial"/>
          <w:sz w:val="19"/>
          <w:szCs w:val="19"/>
          <w:color w:val="auto"/>
        </w:rPr>
        <w:t>We derive a major portion (approximately 66%) of our revenue from North America. Our share of revenue from foreign markets outside North America has been stable over the last two years.</w:t>
      </w:r>
    </w:p>
    <w:p>
      <w:pPr>
        <w:spacing w:after="0" w:line="91" w:lineRule="exact"/>
        <w:rPr>
          <w:sz w:val="20"/>
          <w:szCs w:val="20"/>
          <w:color w:val="auto"/>
        </w:rPr>
      </w:pPr>
    </w:p>
    <w:p>
      <w:pPr>
        <w:ind w:right="1179"/>
        <w:spacing w:after="0" w:line="230" w:lineRule="auto"/>
        <w:rPr>
          <w:sz w:val="20"/>
          <w:szCs w:val="20"/>
          <w:color w:val="auto"/>
        </w:rPr>
      </w:pPr>
      <w:r>
        <w:rPr>
          <w:rFonts w:ascii="Arial" w:cs="Arial" w:eastAsia="Arial" w:hAnsi="Arial"/>
          <w:sz w:val="19"/>
          <w:szCs w:val="19"/>
          <w:color w:val="auto"/>
        </w:rPr>
        <w:t>The conferencing products market is characterized by intense competition and rapidly evolving technology. Our competitors vary within each product category. The professionally installed product side of our business continues to perform at a high level and the personal product side is also growing along with our premium products category. However, we face significant competition in the tabletop category due to the dominant presence of a major competitor. We intend to increase our market presence through the introduction of new products to take advantage of the increasing adoption of unified communications in the marketplace. We expect the recent introduction of HDMI compatible digital encoders and decoders will strengthen our portfolio of networked multimedia streaming products. We also expect that a successful integration of MagicBox technology with NetStreams technology will significantly strengthen our competitive position as a comprehensive solutions provider.</w:t>
      </w:r>
    </w:p>
    <w:p>
      <w:pPr>
        <w:spacing w:after="0" w:line="135" w:lineRule="exact"/>
        <w:rPr>
          <w:sz w:val="20"/>
          <w:szCs w:val="20"/>
          <w:color w:val="auto"/>
        </w:rPr>
      </w:pPr>
    </w:p>
    <w:p>
      <w:pPr>
        <w:ind w:right="1219"/>
        <w:spacing w:after="0" w:line="243" w:lineRule="auto"/>
        <w:rPr>
          <w:sz w:val="20"/>
          <w:szCs w:val="20"/>
          <w:color w:val="auto"/>
        </w:rPr>
      </w:pPr>
      <w:r>
        <w:rPr>
          <w:rFonts w:ascii="Arial" w:cs="Arial" w:eastAsia="Arial" w:hAnsi="Arial"/>
          <w:sz w:val="19"/>
          <w:szCs w:val="19"/>
          <w:color w:val="auto"/>
        </w:rPr>
        <w:t>The immediate outlook for our business is encouraging as we see continued stability in the economic conditions affecting our business. Even though our recent acquisitions will increase our operating costs, we will continue to exercise fiscal discipline and balance the need to invest in the growth of our product offerings’ future against the need to maintain the profitability of the company.</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23</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35" w:name="page36"/>
    <w:bookmarkEnd w:id="35"/>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DISCUSSION OF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YEAR ENDED DECEMBER 31, 2011 COMPARED TO YEAR ENDED DECEMBER 31, 2010</w:t>
      </w:r>
    </w:p>
    <w:p>
      <w:pPr>
        <w:spacing w:after="0" w:line="197" w:lineRule="exact"/>
        <w:rPr>
          <w:sz w:val="20"/>
          <w:szCs w:val="20"/>
          <w:color w:val="auto"/>
        </w:rPr>
      </w:pPr>
    </w:p>
    <w:p>
      <w:pPr>
        <w:ind w:right="1239"/>
        <w:spacing w:after="0" w:line="214" w:lineRule="auto"/>
        <w:rPr>
          <w:sz w:val="20"/>
          <w:szCs w:val="20"/>
          <w:color w:val="auto"/>
        </w:rPr>
      </w:pPr>
      <w:r>
        <w:rPr>
          <w:rFonts w:ascii="Arial" w:cs="Arial" w:eastAsia="Arial" w:hAnsi="Arial"/>
          <w:sz w:val="22"/>
          <w:szCs w:val="22"/>
          <w:color w:val="auto"/>
        </w:rPr>
        <w:t>The following table sets forth certain items from our consolidated statements of operations for the years ended December 31, 2011 and 2010, together with the percentage of total revenue which each item represents.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w w:val="96"/>
              </w:rPr>
              <w:t>Favorable (Unfavorable)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tcPr>
          <w:p>
            <w:pPr>
              <w:ind w:left="20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A0C4DA"/>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A0C4DA"/>
          </w:tcPr>
          <w:p>
            <w:pPr>
              <w:jc w:val="right"/>
              <w:ind w:right="233"/>
              <w:spacing w:after="0"/>
              <w:rPr>
                <w:sz w:val="20"/>
                <w:szCs w:val="20"/>
                <w:color w:val="auto"/>
              </w:rPr>
            </w:pPr>
            <w:r>
              <w:rPr>
                <w:rFonts w:ascii="Arial" w:cs="Arial" w:eastAsia="Arial" w:hAnsi="Arial"/>
                <w:sz w:val="18"/>
                <w:szCs w:val="18"/>
                <w:color w:val="auto"/>
                <w:w w:val="94"/>
              </w:rPr>
              <w:t>46,067</w:t>
            </w:r>
          </w:p>
        </w:tc>
        <w:tc>
          <w:tcPr>
            <w:tcW w:w="720" w:type="dxa"/>
            <w:vAlign w:val="bottom"/>
            <w:shd w:val="clear" w:color="auto" w:fill="A0C4DA"/>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A0C4DA"/>
          </w:tcPr>
          <w:p>
            <w:pPr>
              <w:spacing w:after="0"/>
              <w:rPr>
                <w:sz w:val="19"/>
                <w:szCs w:val="19"/>
                <w:color w:val="auto"/>
              </w:rPr>
            </w:pPr>
          </w:p>
        </w:tc>
        <w:tc>
          <w:tcPr>
            <w:tcW w:w="160" w:type="dxa"/>
            <w:vAlign w:val="bottom"/>
            <w:shd w:val="clear" w:color="auto" w:fill="A0C4DA"/>
          </w:tcPr>
          <w:p>
            <w:pPr>
              <w:spacing w:after="0"/>
              <w:rPr>
                <w:sz w:val="19"/>
                <w:szCs w:val="19"/>
                <w:color w:val="auto"/>
              </w:rPr>
            </w:pPr>
          </w:p>
        </w:tc>
        <w:tc>
          <w:tcPr>
            <w:tcW w:w="140" w:type="dxa"/>
            <w:vAlign w:val="bottom"/>
            <w:shd w:val="clear" w:color="auto" w:fill="A0C4DA"/>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A0C4DA"/>
          </w:tcPr>
          <w:p>
            <w:pPr>
              <w:jc w:val="right"/>
              <w:spacing w:after="0"/>
              <w:rPr>
                <w:sz w:val="20"/>
                <w:szCs w:val="20"/>
                <w:color w:val="auto"/>
              </w:rPr>
            </w:pPr>
            <w:r>
              <w:rPr>
                <w:rFonts w:ascii="Arial" w:cs="Arial" w:eastAsia="Arial" w:hAnsi="Arial"/>
                <w:sz w:val="18"/>
                <w:szCs w:val="18"/>
                <w:color w:val="auto"/>
                <w:w w:val="94"/>
              </w:rPr>
              <w:t>41,284</w:t>
            </w:r>
          </w:p>
        </w:tc>
        <w:tc>
          <w:tcPr>
            <w:tcW w:w="1040" w:type="dxa"/>
            <w:vAlign w:val="bottom"/>
            <w:shd w:val="clear" w:color="auto" w:fill="A0C4DA"/>
          </w:tcPr>
          <w:p>
            <w:pPr>
              <w:jc w:val="right"/>
              <w:ind w:right="133"/>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A0C4DA"/>
          </w:tcPr>
          <w:p>
            <w:pPr>
              <w:jc w:val="right"/>
              <w:ind w:right="434"/>
              <w:spacing w:after="0"/>
              <w:rPr>
                <w:sz w:val="20"/>
                <w:szCs w:val="20"/>
                <w:color w:val="auto"/>
              </w:rPr>
            </w:pPr>
            <w:r>
              <w:rPr>
                <w:rFonts w:ascii="Arial" w:cs="Arial" w:eastAsia="Arial" w:hAnsi="Arial"/>
                <w:sz w:val="18"/>
                <w:szCs w:val="18"/>
                <w:color w:val="auto"/>
              </w:rPr>
              <w:t>4,783</w:t>
            </w:r>
          </w:p>
        </w:tc>
        <w:tc>
          <w:tcPr>
            <w:tcW w:w="620" w:type="dxa"/>
            <w:vAlign w:val="bottom"/>
            <w:shd w:val="clear" w:color="auto" w:fill="A0C4DA"/>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9"/>
                <w:szCs w:val="19"/>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w w:val="94"/>
              </w:rPr>
              <w:t>18,522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16,643</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(1,879)</w:t>
            </w: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0C4DA"/>
            </w:tcBorders>
            <w:shd w:val="clear" w:color="auto" w:fill="A0C4DA"/>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A0C4DA"/>
          </w:tcPr>
          <w:p>
            <w:pPr>
              <w:spacing w:after="0"/>
              <w:rPr>
                <w:sz w:val="18"/>
                <w:szCs w:val="18"/>
                <w:color w:val="auto"/>
              </w:rPr>
            </w:pPr>
          </w:p>
        </w:tc>
        <w:tc>
          <w:tcPr>
            <w:tcW w:w="860" w:type="dxa"/>
            <w:vAlign w:val="bottom"/>
            <w:tcBorders>
              <w:top w:val="single" w:sz="8" w:color="auto"/>
            </w:tcBorders>
            <w:shd w:val="clear" w:color="auto" w:fill="A0C4DA"/>
          </w:tcPr>
          <w:p>
            <w:pPr>
              <w:jc w:val="right"/>
              <w:ind w:right="233"/>
              <w:spacing w:after="0"/>
              <w:rPr>
                <w:sz w:val="20"/>
                <w:szCs w:val="20"/>
                <w:color w:val="auto"/>
              </w:rPr>
            </w:pPr>
            <w:r>
              <w:rPr>
                <w:rFonts w:ascii="Arial" w:cs="Arial" w:eastAsia="Arial" w:hAnsi="Arial"/>
                <w:sz w:val="18"/>
                <w:szCs w:val="18"/>
                <w:color w:val="auto"/>
                <w:w w:val="94"/>
              </w:rPr>
              <w:t>27,545</w:t>
            </w:r>
          </w:p>
        </w:tc>
        <w:tc>
          <w:tcPr>
            <w:tcW w:w="720" w:type="dxa"/>
            <w:vAlign w:val="bottom"/>
            <w:tcBorders>
              <w:top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59.8%</w:t>
            </w:r>
          </w:p>
        </w:tc>
        <w:tc>
          <w:tcPr>
            <w:tcW w:w="20" w:type="dxa"/>
            <w:vAlign w:val="bottom"/>
            <w:tcBorders>
              <w:top w:val="single" w:sz="8" w:color="A0C4DA"/>
            </w:tcBorders>
            <w:shd w:val="clear" w:color="auto" w:fill="A0C4DA"/>
          </w:tcPr>
          <w:p>
            <w:pPr>
              <w:spacing w:after="0"/>
              <w:rPr>
                <w:sz w:val="18"/>
                <w:szCs w:val="18"/>
                <w:color w:val="auto"/>
              </w:rPr>
            </w:pPr>
          </w:p>
        </w:tc>
        <w:tc>
          <w:tcPr>
            <w:tcW w:w="160" w:type="dxa"/>
            <w:vAlign w:val="bottom"/>
            <w:tcBorders>
              <w:top w:val="single" w:sz="8" w:color="A0C4DA"/>
            </w:tcBorders>
            <w:shd w:val="clear" w:color="auto" w:fill="A0C4DA"/>
          </w:tcPr>
          <w:p>
            <w:pPr>
              <w:spacing w:after="0"/>
              <w:rPr>
                <w:sz w:val="18"/>
                <w:szCs w:val="18"/>
                <w:color w:val="auto"/>
              </w:rPr>
            </w:pPr>
          </w:p>
        </w:tc>
        <w:tc>
          <w:tcPr>
            <w:tcW w:w="140" w:type="dxa"/>
            <w:vAlign w:val="bottom"/>
            <w:tcBorders>
              <w:top w:val="single" w:sz="8" w:color="auto"/>
            </w:tcBorders>
            <w:shd w:val="clear" w:color="auto" w:fill="A0C4DA"/>
          </w:tcPr>
          <w:p>
            <w:pPr>
              <w:spacing w:after="0"/>
              <w:rPr>
                <w:sz w:val="18"/>
                <w:szCs w:val="18"/>
                <w:color w:val="auto"/>
              </w:rPr>
            </w:pPr>
          </w:p>
        </w:tc>
        <w:tc>
          <w:tcPr>
            <w:tcW w:w="600" w:type="dxa"/>
            <w:vAlign w:val="bottom"/>
            <w:tcBorders>
              <w:top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w w:val="94"/>
              </w:rPr>
              <w:t>24,641</w:t>
            </w:r>
          </w:p>
        </w:tc>
        <w:tc>
          <w:tcPr>
            <w:tcW w:w="1040" w:type="dxa"/>
            <w:vAlign w:val="bottom"/>
            <w:tcBorders>
              <w:top w:val="single" w:sz="8" w:color="auto"/>
            </w:tcBorders>
            <w:shd w:val="clear" w:color="auto" w:fill="A0C4DA"/>
          </w:tcPr>
          <w:p>
            <w:pPr>
              <w:jc w:val="right"/>
              <w:ind w:right="133"/>
              <w:spacing w:after="0"/>
              <w:rPr>
                <w:sz w:val="20"/>
                <w:szCs w:val="20"/>
                <w:color w:val="auto"/>
              </w:rPr>
            </w:pPr>
            <w:r>
              <w:rPr>
                <w:rFonts w:ascii="Arial" w:cs="Arial" w:eastAsia="Arial" w:hAnsi="Arial"/>
                <w:sz w:val="18"/>
                <w:szCs w:val="18"/>
                <w:color w:val="auto"/>
              </w:rPr>
              <w:t>59.7%</w:t>
            </w:r>
          </w:p>
        </w:tc>
        <w:tc>
          <w:tcPr>
            <w:tcW w:w="200" w:type="dxa"/>
            <w:vAlign w:val="bottom"/>
            <w:tcBorders>
              <w:top w:val="single" w:sz="8" w:color="A0C4DA"/>
            </w:tcBorders>
            <w:shd w:val="clear" w:color="auto" w:fill="A0C4DA"/>
          </w:tcPr>
          <w:p>
            <w:pPr>
              <w:spacing w:after="0"/>
              <w:rPr>
                <w:sz w:val="18"/>
                <w:szCs w:val="18"/>
                <w:color w:val="auto"/>
              </w:rPr>
            </w:pPr>
          </w:p>
        </w:tc>
        <w:tc>
          <w:tcPr>
            <w:tcW w:w="120" w:type="dxa"/>
            <w:vAlign w:val="bottom"/>
            <w:tcBorders>
              <w:top w:val="single" w:sz="8" w:color="auto"/>
            </w:tcBorders>
            <w:shd w:val="clear" w:color="auto" w:fill="A0C4DA"/>
          </w:tcPr>
          <w:p>
            <w:pPr>
              <w:spacing w:after="0"/>
              <w:rPr>
                <w:sz w:val="18"/>
                <w:szCs w:val="18"/>
                <w:color w:val="auto"/>
              </w:rPr>
            </w:pPr>
          </w:p>
        </w:tc>
        <w:tc>
          <w:tcPr>
            <w:tcW w:w="1080" w:type="dxa"/>
            <w:vAlign w:val="bottom"/>
            <w:tcBorders>
              <w:top w:val="single" w:sz="8" w:color="auto"/>
            </w:tcBorders>
            <w:shd w:val="clear" w:color="auto" w:fill="A0C4DA"/>
          </w:tcPr>
          <w:p>
            <w:pPr>
              <w:jc w:val="right"/>
              <w:ind w:right="434"/>
              <w:spacing w:after="0"/>
              <w:rPr>
                <w:sz w:val="20"/>
                <w:szCs w:val="20"/>
                <w:color w:val="auto"/>
              </w:rPr>
            </w:pPr>
            <w:r>
              <w:rPr>
                <w:rFonts w:ascii="Arial" w:cs="Arial" w:eastAsia="Arial" w:hAnsi="Arial"/>
                <w:sz w:val="18"/>
                <w:szCs w:val="18"/>
                <w:color w:val="auto"/>
              </w:rPr>
              <w:t>2,904</w:t>
            </w:r>
          </w:p>
        </w:tc>
        <w:tc>
          <w:tcPr>
            <w:tcW w:w="620" w:type="dxa"/>
            <w:vAlign w:val="bottom"/>
            <w:tcBorders>
              <w:top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8,120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8,685</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color w:val="auto"/>
              </w:rPr>
              <w:t>565</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A0C4DA"/>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shd w:val="clear" w:color="auto" w:fill="A0C4DA"/>
          </w:tcPr>
          <w:p>
            <w:pPr>
              <w:spacing w:after="0"/>
              <w:rPr>
                <w:sz w:val="19"/>
                <w:szCs w:val="19"/>
                <w:color w:val="auto"/>
              </w:rPr>
            </w:pPr>
          </w:p>
        </w:tc>
        <w:tc>
          <w:tcPr>
            <w:tcW w:w="860" w:type="dxa"/>
            <w:vAlign w:val="bottom"/>
            <w:shd w:val="clear" w:color="auto" w:fill="A0C4DA"/>
          </w:tcPr>
          <w:p>
            <w:pPr>
              <w:jc w:val="right"/>
              <w:ind w:right="233"/>
              <w:spacing w:after="0"/>
              <w:rPr>
                <w:sz w:val="20"/>
                <w:szCs w:val="20"/>
                <w:color w:val="auto"/>
              </w:rPr>
            </w:pPr>
            <w:r>
              <w:rPr>
                <w:rFonts w:ascii="Arial" w:cs="Arial" w:eastAsia="Arial" w:hAnsi="Arial"/>
                <w:sz w:val="18"/>
                <w:szCs w:val="18"/>
                <w:color w:val="auto"/>
              </w:rPr>
              <w:t>7,128</w:t>
            </w:r>
          </w:p>
        </w:tc>
        <w:tc>
          <w:tcPr>
            <w:tcW w:w="740" w:type="dxa"/>
            <w:vAlign w:val="bottom"/>
            <w:gridSpan w:val="2"/>
            <w:shd w:val="clear" w:color="auto" w:fill="A0C4DA"/>
          </w:tcPr>
          <w:p>
            <w:pPr>
              <w:jc w:val="right"/>
              <w:ind w:right="2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A0C4DA"/>
          </w:tcPr>
          <w:p>
            <w:pPr>
              <w:spacing w:after="0"/>
              <w:rPr>
                <w:sz w:val="19"/>
                <w:szCs w:val="19"/>
                <w:color w:val="auto"/>
              </w:rPr>
            </w:pPr>
          </w:p>
        </w:tc>
        <w:tc>
          <w:tcPr>
            <w:tcW w:w="140" w:type="dxa"/>
            <w:vAlign w:val="bottom"/>
            <w:shd w:val="clear" w:color="auto" w:fill="A0C4DA"/>
          </w:tcPr>
          <w:p>
            <w:pPr>
              <w:spacing w:after="0"/>
              <w:rPr>
                <w:sz w:val="19"/>
                <w:szCs w:val="19"/>
                <w:color w:val="auto"/>
              </w:rPr>
            </w:pPr>
          </w:p>
        </w:tc>
        <w:tc>
          <w:tcPr>
            <w:tcW w:w="600" w:type="dxa"/>
            <w:vAlign w:val="bottom"/>
            <w:shd w:val="clear" w:color="auto" w:fill="A0C4DA"/>
          </w:tcPr>
          <w:p>
            <w:pPr>
              <w:jc w:val="right"/>
              <w:spacing w:after="0"/>
              <w:rPr>
                <w:sz w:val="20"/>
                <w:szCs w:val="20"/>
                <w:color w:val="auto"/>
              </w:rPr>
            </w:pPr>
            <w:r>
              <w:rPr>
                <w:rFonts w:ascii="Arial" w:cs="Arial" w:eastAsia="Arial" w:hAnsi="Arial"/>
                <w:sz w:val="18"/>
                <w:szCs w:val="18"/>
                <w:color w:val="auto"/>
              </w:rPr>
              <w:t>7,739</w:t>
            </w:r>
          </w:p>
        </w:tc>
        <w:tc>
          <w:tcPr>
            <w:tcW w:w="1040" w:type="dxa"/>
            <w:vAlign w:val="bottom"/>
            <w:shd w:val="clear" w:color="auto" w:fill="A0C4DA"/>
          </w:tcPr>
          <w:p>
            <w:pPr>
              <w:jc w:val="right"/>
              <w:ind w:right="133"/>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A0C4DA"/>
          </w:tcPr>
          <w:p>
            <w:pPr>
              <w:spacing w:after="0"/>
              <w:rPr>
                <w:sz w:val="19"/>
                <w:szCs w:val="19"/>
                <w:color w:val="auto"/>
              </w:rPr>
            </w:pPr>
          </w:p>
        </w:tc>
        <w:tc>
          <w:tcPr>
            <w:tcW w:w="120" w:type="dxa"/>
            <w:vAlign w:val="bottom"/>
            <w:shd w:val="clear" w:color="auto" w:fill="A0C4DA"/>
          </w:tcPr>
          <w:p>
            <w:pPr>
              <w:spacing w:after="0"/>
              <w:rPr>
                <w:sz w:val="19"/>
                <w:szCs w:val="19"/>
                <w:color w:val="auto"/>
              </w:rPr>
            </w:pPr>
          </w:p>
        </w:tc>
        <w:tc>
          <w:tcPr>
            <w:tcW w:w="1080" w:type="dxa"/>
            <w:vAlign w:val="bottom"/>
            <w:shd w:val="clear" w:color="auto" w:fill="A0C4DA"/>
          </w:tcPr>
          <w:p>
            <w:pPr>
              <w:jc w:val="right"/>
              <w:ind w:right="434"/>
              <w:spacing w:after="0"/>
              <w:rPr>
                <w:sz w:val="20"/>
                <w:szCs w:val="20"/>
                <w:color w:val="auto"/>
              </w:rPr>
            </w:pPr>
            <w:r>
              <w:rPr>
                <w:rFonts w:ascii="Arial" w:cs="Arial" w:eastAsia="Arial" w:hAnsi="Arial"/>
                <w:sz w:val="18"/>
                <w:szCs w:val="18"/>
                <w:color w:val="auto"/>
              </w:rPr>
              <w:t>611</w:t>
            </w:r>
          </w:p>
        </w:tc>
        <w:tc>
          <w:tcPr>
            <w:tcW w:w="620" w:type="dxa"/>
            <w:vAlign w:val="bottom"/>
            <w:shd w:val="clear" w:color="auto" w:fill="A0C4DA"/>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5,427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6,420</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color w:val="auto"/>
              </w:rPr>
              <w:t>993</w:t>
            </w: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A0C4DA"/>
          </w:tcPr>
          <w:p>
            <w:pPr>
              <w:spacing w:after="0"/>
              <w:rPr>
                <w:sz w:val="20"/>
                <w:szCs w:val="20"/>
                <w:color w:val="auto"/>
              </w:rPr>
            </w:pPr>
            <w:r>
              <w:rPr>
                <w:rFonts w:ascii="Arial" w:cs="Arial" w:eastAsia="Arial" w:hAnsi="Arial"/>
                <w:sz w:val="18"/>
                <w:szCs w:val="18"/>
                <w:color w:val="auto"/>
              </w:rPr>
              <w:t>Proceeds from litigation</w:t>
            </w:r>
          </w:p>
        </w:tc>
        <w:tc>
          <w:tcPr>
            <w:tcW w:w="180" w:type="dxa"/>
            <w:vAlign w:val="bottom"/>
            <w:shd w:val="clear" w:color="auto" w:fill="A0C4DA"/>
          </w:tcPr>
          <w:p>
            <w:pPr>
              <w:spacing w:after="0"/>
              <w:rPr>
                <w:sz w:val="19"/>
                <w:szCs w:val="19"/>
                <w:color w:val="auto"/>
              </w:rPr>
            </w:pPr>
          </w:p>
        </w:tc>
        <w:tc>
          <w:tcPr>
            <w:tcW w:w="860" w:type="dxa"/>
            <w:vAlign w:val="bottom"/>
            <w:shd w:val="clear" w:color="auto" w:fill="A0C4DA"/>
          </w:tcPr>
          <w:p>
            <w:pPr>
              <w:jc w:val="right"/>
              <w:ind w:right="193"/>
              <w:spacing w:after="0"/>
              <w:rPr>
                <w:sz w:val="20"/>
                <w:szCs w:val="20"/>
                <w:color w:val="auto"/>
              </w:rPr>
            </w:pPr>
            <w:r>
              <w:rPr>
                <w:rFonts w:ascii="Arial" w:cs="Arial" w:eastAsia="Arial" w:hAnsi="Arial"/>
                <w:sz w:val="18"/>
                <w:szCs w:val="18"/>
                <w:color w:val="auto"/>
                <w:w w:val="98"/>
              </w:rPr>
              <w:t>(3,702)</w:t>
            </w:r>
          </w:p>
        </w:tc>
        <w:tc>
          <w:tcPr>
            <w:tcW w:w="740" w:type="dxa"/>
            <w:vAlign w:val="bottom"/>
            <w:gridSpan w:val="2"/>
            <w:shd w:val="clear" w:color="auto" w:fill="A0C4DA"/>
          </w:tcPr>
          <w:p>
            <w:pPr>
              <w:jc w:val="right"/>
              <w:ind w:right="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A0C4DA"/>
          </w:tcPr>
          <w:p>
            <w:pPr>
              <w:spacing w:after="0"/>
              <w:rPr>
                <w:sz w:val="19"/>
                <w:szCs w:val="19"/>
                <w:color w:val="auto"/>
              </w:rPr>
            </w:pPr>
          </w:p>
        </w:tc>
        <w:tc>
          <w:tcPr>
            <w:tcW w:w="140" w:type="dxa"/>
            <w:vAlign w:val="bottom"/>
            <w:shd w:val="clear" w:color="auto" w:fill="A0C4DA"/>
          </w:tcPr>
          <w:p>
            <w:pPr>
              <w:spacing w:after="0"/>
              <w:rPr>
                <w:sz w:val="19"/>
                <w:szCs w:val="19"/>
                <w:color w:val="auto"/>
              </w:rPr>
            </w:pPr>
          </w:p>
        </w:tc>
        <w:tc>
          <w:tcPr>
            <w:tcW w:w="60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A0C4DA"/>
          </w:tcPr>
          <w:p>
            <w:pPr>
              <w:jc w:val="right"/>
              <w:ind w:right="213"/>
              <w:spacing w:after="0"/>
              <w:rPr>
                <w:sz w:val="20"/>
                <w:szCs w:val="20"/>
                <w:color w:val="auto"/>
              </w:rPr>
            </w:pPr>
            <w:r>
              <w:rPr>
                <w:rFonts w:ascii="Arial" w:cs="Arial" w:eastAsia="Arial" w:hAnsi="Arial"/>
                <w:sz w:val="18"/>
                <w:szCs w:val="18"/>
                <w:color w:val="auto"/>
              </w:rPr>
              <w:t>-</w:t>
            </w:r>
          </w:p>
        </w:tc>
        <w:tc>
          <w:tcPr>
            <w:tcW w:w="200" w:type="dxa"/>
            <w:vAlign w:val="bottom"/>
            <w:shd w:val="clear" w:color="auto" w:fill="A0C4DA"/>
          </w:tcPr>
          <w:p>
            <w:pPr>
              <w:spacing w:after="0"/>
              <w:rPr>
                <w:sz w:val="19"/>
                <w:szCs w:val="19"/>
                <w:color w:val="auto"/>
              </w:rPr>
            </w:pPr>
          </w:p>
        </w:tc>
        <w:tc>
          <w:tcPr>
            <w:tcW w:w="120" w:type="dxa"/>
            <w:vAlign w:val="bottom"/>
            <w:shd w:val="clear" w:color="auto" w:fill="A0C4DA"/>
          </w:tcPr>
          <w:p>
            <w:pPr>
              <w:spacing w:after="0"/>
              <w:rPr>
                <w:sz w:val="19"/>
                <w:szCs w:val="19"/>
                <w:color w:val="auto"/>
              </w:rPr>
            </w:pPr>
          </w:p>
        </w:tc>
        <w:tc>
          <w:tcPr>
            <w:tcW w:w="1080" w:type="dxa"/>
            <w:vAlign w:val="bottom"/>
            <w:shd w:val="clear" w:color="auto" w:fill="A0C4DA"/>
          </w:tcPr>
          <w:p>
            <w:pPr>
              <w:jc w:val="right"/>
              <w:ind w:right="434"/>
              <w:spacing w:after="0"/>
              <w:rPr>
                <w:sz w:val="20"/>
                <w:szCs w:val="20"/>
                <w:color w:val="auto"/>
              </w:rPr>
            </w:pPr>
            <w:r>
              <w:rPr>
                <w:rFonts w:ascii="Arial" w:cs="Arial" w:eastAsia="Arial" w:hAnsi="Arial"/>
                <w:sz w:val="18"/>
                <w:szCs w:val="18"/>
                <w:color w:val="auto"/>
              </w:rPr>
              <w:t>3,702</w:t>
            </w:r>
          </w:p>
        </w:tc>
        <w:tc>
          <w:tcPr>
            <w:tcW w:w="620" w:type="dxa"/>
            <w:vAlign w:val="bottom"/>
            <w:shd w:val="clear" w:color="auto" w:fill="A0C4DA"/>
          </w:tcPr>
          <w:p>
            <w:pPr>
              <w:jc w:val="right"/>
              <w:ind w:right="1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w w:val="94"/>
              </w:rPr>
              <w:t>10,572</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color w:val="auto"/>
              </w:rPr>
              <w:t>8,775</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A0C4DA"/>
          </w:tcPr>
          <w:p>
            <w:pPr>
              <w:spacing w:after="0"/>
              <w:rPr>
                <w:sz w:val="18"/>
                <w:szCs w:val="18"/>
                <w:color w:val="auto"/>
              </w:rPr>
            </w:pPr>
          </w:p>
        </w:tc>
        <w:tc>
          <w:tcPr>
            <w:tcW w:w="860" w:type="dxa"/>
            <w:vAlign w:val="bottom"/>
            <w:tcBorders>
              <w:bottom w:val="single" w:sz="8" w:color="auto"/>
            </w:tcBorders>
            <w:shd w:val="clear" w:color="auto" w:fill="A0C4DA"/>
          </w:tcPr>
          <w:p>
            <w:pPr>
              <w:jc w:val="right"/>
              <w:ind w:right="233"/>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0C4DA"/>
            </w:tcBorders>
            <w:shd w:val="clear" w:color="auto" w:fill="A0C4DA"/>
          </w:tcPr>
          <w:p>
            <w:pPr>
              <w:spacing w:after="0"/>
              <w:rPr>
                <w:sz w:val="18"/>
                <w:szCs w:val="18"/>
                <w:color w:val="auto"/>
              </w:rPr>
            </w:pPr>
          </w:p>
        </w:tc>
        <w:tc>
          <w:tcPr>
            <w:tcW w:w="160" w:type="dxa"/>
            <w:vAlign w:val="bottom"/>
            <w:tcBorders>
              <w:bottom w:val="single" w:sz="8" w:color="A0C4DA"/>
            </w:tcBorders>
            <w:shd w:val="clear" w:color="auto" w:fill="A0C4DA"/>
          </w:tcPr>
          <w:p>
            <w:pPr>
              <w:spacing w:after="0"/>
              <w:rPr>
                <w:sz w:val="18"/>
                <w:szCs w:val="18"/>
                <w:color w:val="auto"/>
              </w:rPr>
            </w:pPr>
          </w:p>
        </w:tc>
        <w:tc>
          <w:tcPr>
            <w:tcW w:w="140" w:type="dxa"/>
            <w:vAlign w:val="bottom"/>
            <w:tcBorders>
              <w:bottom w:val="single" w:sz="8" w:color="auto"/>
            </w:tcBorders>
            <w:shd w:val="clear" w:color="auto" w:fill="A0C4DA"/>
          </w:tcPr>
          <w:p>
            <w:pPr>
              <w:spacing w:after="0"/>
              <w:rPr>
                <w:sz w:val="18"/>
                <w:szCs w:val="18"/>
                <w:color w:val="auto"/>
              </w:rPr>
            </w:pPr>
          </w:p>
        </w:tc>
        <w:tc>
          <w:tcPr>
            <w:tcW w:w="60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(104)</w:t>
            </w:r>
          </w:p>
        </w:tc>
        <w:tc>
          <w:tcPr>
            <w:tcW w:w="1040" w:type="dxa"/>
            <w:vAlign w:val="bottom"/>
            <w:tcBorders>
              <w:bottom w:val="single" w:sz="8" w:color="auto"/>
            </w:tcBorders>
            <w:shd w:val="clear" w:color="auto" w:fill="A0C4DA"/>
          </w:tcPr>
          <w:p>
            <w:pPr>
              <w:jc w:val="right"/>
              <w:ind w:right="133"/>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0C4DA"/>
            </w:tcBorders>
            <w:shd w:val="clear" w:color="auto" w:fill="A0C4DA"/>
          </w:tcPr>
          <w:p>
            <w:pPr>
              <w:spacing w:after="0"/>
              <w:rPr>
                <w:sz w:val="18"/>
                <w:szCs w:val="18"/>
                <w:color w:val="auto"/>
              </w:rPr>
            </w:pPr>
          </w:p>
        </w:tc>
        <w:tc>
          <w:tcPr>
            <w:tcW w:w="120" w:type="dxa"/>
            <w:vAlign w:val="bottom"/>
            <w:tcBorders>
              <w:bottom w:val="single" w:sz="8" w:color="auto"/>
            </w:tcBorders>
            <w:shd w:val="clear" w:color="auto" w:fill="A0C4DA"/>
          </w:tcPr>
          <w:p>
            <w:pPr>
              <w:spacing w:after="0"/>
              <w:rPr>
                <w:sz w:val="18"/>
                <w:szCs w:val="18"/>
                <w:color w:val="auto"/>
              </w:rPr>
            </w:pPr>
          </w:p>
        </w:tc>
        <w:tc>
          <w:tcPr>
            <w:tcW w:w="1080" w:type="dxa"/>
            <w:vAlign w:val="bottom"/>
            <w:tcBorders>
              <w:bottom w:val="single" w:sz="8" w:color="auto"/>
            </w:tcBorders>
            <w:shd w:val="clear" w:color="auto" w:fill="A0C4DA"/>
          </w:tcPr>
          <w:p>
            <w:pPr>
              <w:jc w:val="right"/>
              <w:ind w:right="434"/>
              <w:spacing w:after="0"/>
              <w:rPr>
                <w:sz w:val="20"/>
                <w:szCs w:val="20"/>
                <w:color w:val="auto"/>
              </w:rPr>
            </w:pPr>
            <w:r>
              <w:rPr>
                <w:rFonts w:ascii="Arial" w:cs="Arial" w:eastAsia="Arial" w:hAnsi="Arial"/>
                <w:sz w:val="18"/>
                <w:szCs w:val="18"/>
                <w:color w:val="auto"/>
              </w:rPr>
              <w:t>128</w:t>
            </w:r>
          </w:p>
        </w:tc>
        <w:tc>
          <w:tcPr>
            <w:tcW w:w="620" w:type="dxa"/>
            <w:vAlign w:val="bottom"/>
            <w:tcBorders>
              <w:bottom w:val="single" w:sz="8" w:color="auto"/>
            </w:tcBorders>
            <w:shd w:val="clear" w:color="auto" w:fill="A0C4DA"/>
          </w:tcPr>
          <w:p>
            <w:pPr>
              <w:jc w:val="right"/>
              <w:ind w:right="1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w w:val="94"/>
              </w:rPr>
              <w:t>10,596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1,693</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434"/>
              <w:spacing w:after="0"/>
              <w:rPr>
                <w:sz w:val="20"/>
                <w:szCs w:val="20"/>
                <w:color w:val="auto"/>
              </w:rPr>
            </w:pPr>
            <w:r>
              <w:rPr>
                <w:rFonts w:ascii="Arial" w:cs="Arial" w:eastAsia="Arial" w:hAnsi="Arial"/>
                <w:sz w:val="18"/>
                <w:szCs w:val="18"/>
                <w:color w:val="auto"/>
              </w:rPr>
              <w:t>8,903</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A0C4DA"/>
            </w:tcBorders>
            <w:shd w:val="clear" w:color="auto" w:fill="A0C4DA"/>
          </w:tcPr>
          <w:p>
            <w:pPr>
              <w:ind w:left="18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Borders>
              <w:bottom w:val="single" w:sz="8" w:color="auto"/>
            </w:tcBorders>
            <w:shd w:val="clear" w:color="auto" w:fill="A0C4DA"/>
          </w:tcPr>
          <w:p>
            <w:pPr>
              <w:spacing w:after="0"/>
              <w:rPr>
                <w:sz w:val="18"/>
                <w:szCs w:val="18"/>
                <w:color w:val="auto"/>
              </w:rPr>
            </w:pPr>
          </w:p>
        </w:tc>
        <w:tc>
          <w:tcPr>
            <w:tcW w:w="860" w:type="dxa"/>
            <w:vAlign w:val="bottom"/>
            <w:tcBorders>
              <w:bottom w:val="single" w:sz="8" w:color="auto"/>
            </w:tcBorders>
            <w:shd w:val="clear" w:color="auto" w:fill="A0C4DA"/>
          </w:tcPr>
          <w:p>
            <w:pPr>
              <w:jc w:val="right"/>
              <w:ind w:right="193"/>
              <w:spacing w:after="0"/>
              <w:rPr>
                <w:sz w:val="20"/>
                <w:szCs w:val="20"/>
                <w:color w:val="auto"/>
              </w:rPr>
            </w:pPr>
            <w:r>
              <w:rPr>
                <w:rFonts w:ascii="Arial" w:cs="Arial" w:eastAsia="Arial" w:hAnsi="Arial"/>
                <w:sz w:val="18"/>
                <w:szCs w:val="18"/>
                <w:color w:val="auto"/>
                <w:w w:val="98"/>
              </w:rPr>
              <w:t>(3,667)</w:t>
            </w:r>
          </w:p>
        </w:tc>
        <w:tc>
          <w:tcPr>
            <w:tcW w:w="72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A0C4DA"/>
            </w:tcBorders>
            <w:shd w:val="clear" w:color="auto" w:fill="A0C4DA"/>
          </w:tcPr>
          <w:p>
            <w:pPr>
              <w:spacing w:after="0"/>
              <w:rPr>
                <w:sz w:val="18"/>
                <w:szCs w:val="18"/>
                <w:color w:val="auto"/>
              </w:rPr>
            </w:pPr>
          </w:p>
        </w:tc>
        <w:tc>
          <w:tcPr>
            <w:tcW w:w="160" w:type="dxa"/>
            <w:vAlign w:val="bottom"/>
            <w:tcBorders>
              <w:bottom w:val="single" w:sz="8" w:color="A0C4DA"/>
            </w:tcBorders>
            <w:shd w:val="clear" w:color="auto" w:fill="A0C4DA"/>
          </w:tcPr>
          <w:p>
            <w:pPr>
              <w:spacing w:after="0"/>
              <w:rPr>
                <w:sz w:val="18"/>
                <w:szCs w:val="18"/>
                <w:color w:val="auto"/>
              </w:rPr>
            </w:pPr>
          </w:p>
        </w:tc>
        <w:tc>
          <w:tcPr>
            <w:tcW w:w="140" w:type="dxa"/>
            <w:vAlign w:val="bottom"/>
            <w:tcBorders>
              <w:bottom w:val="single" w:sz="8" w:color="auto"/>
            </w:tcBorders>
            <w:shd w:val="clear" w:color="auto" w:fill="A0C4DA"/>
          </w:tcPr>
          <w:p>
            <w:pPr>
              <w:spacing w:after="0"/>
              <w:rPr>
                <w:sz w:val="18"/>
                <w:szCs w:val="18"/>
                <w:color w:val="auto"/>
              </w:rPr>
            </w:pPr>
          </w:p>
        </w:tc>
        <w:tc>
          <w:tcPr>
            <w:tcW w:w="60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681</w:t>
            </w:r>
          </w:p>
        </w:tc>
        <w:tc>
          <w:tcPr>
            <w:tcW w:w="1040" w:type="dxa"/>
            <w:vAlign w:val="bottom"/>
            <w:tcBorders>
              <w:bottom w:val="single" w:sz="8" w:color="auto"/>
            </w:tcBorders>
            <w:shd w:val="clear" w:color="auto" w:fill="A0C4DA"/>
          </w:tcPr>
          <w:p>
            <w:pPr>
              <w:jc w:val="right"/>
              <w:ind w:right="133"/>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0C4DA"/>
            </w:tcBorders>
            <w:shd w:val="clear" w:color="auto" w:fill="A0C4DA"/>
          </w:tcPr>
          <w:p>
            <w:pPr>
              <w:spacing w:after="0"/>
              <w:rPr>
                <w:sz w:val="18"/>
                <w:szCs w:val="18"/>
                <w:color w:val="auto"/>
              </w:rPr>
            </w:pPr>
          </w:p>
        </w:tc>
        <w:tc>
          <w:tcPr>
            <w:tcW w:w="120" w:type="dxa"/>
            <w:vAlign w:val="bottom"/>
            <w:tcBorders>
              <w:bottom w:val="single" w:sz="8" w:color="auto"/>
            </w:tcBorders>
            <w:shd w:val="clear" w:color="auto" w:fill="A0C4DA"/>
          </w:tcPr>
          <w:p>
            <w:pPr>
              <w:spacing w:after="0"/>
              <w:rPr>
                <w:sz w:val="18"/>
                <w:szCs w:val="18"/>
                <w:color w:val="auto"/>
              </w:rPr>
            </w:pPr>
          </w:p>
        </w:tc>
        <w:tc>
          <w:tcPr>
            <w:tcW w:w="1080" w:type="dxa"/>
            <w:vAlign w:val="bottom"/>
            <w:tcBorders>
              <w:bottom w:val="single" w:sz="8" w:color="auto"/>
            </w:tcBorders>
            <w:shd w:val="clear" w:color="auto" w:fill="A0C4DA"/>
          </w:tcPr>
          <w:p>
            <w:pPr>
              <w:jc w:val="right"/>
              <w:ind w:right="394"/>
              <w:spacing w:after="0"/>
              <w:rPr>
                <w:sz w:val="20"/>
                <w:szCs w:val="20"/>
                <w:color w:val="auto"/>
              </w:rPr>
            </w:pPr>
            <w:r>
              <w:rPr>
                <w:rFonts w:ascii="Arial" w:cs="Arial" w:eastAsia="Arial" w:hAnsi="Arial"/>
                <w:sz w:val="18"/>
                <w:szCs w:val="18"/>
                <w:color w:val="auto"/>
              </w:rPr>
              <w:t>(4,348)</w:t>
            </w:r>
          </w:p>
        </w:tc>
        <w:tc>
          <w:tcPr>
            <w:tcW w:w="62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w w:val="89"/>
              </w:rPr>
              <w:t>-638.5%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6,929</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4,555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-154940</wp:posOffset>
            </wp:positionV>
            <wp:extent cx="3653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w:t>
      </w:r>
    </w:p>
    <w:p>
      <w:pPr>
        <w:spacing w:after="0" w:line="158" w:lineRule="exact"/>
        <w:rPr>
          <w:sz w:val="20"/>
          <w:szCs w:val="20"/>
          <w:color w:val="auto"/>
        </w:rPr>
      </w:pPr>
    </w:p>
    <w:p>
      <w:pPr>
        <w:ind w:right="1199"/>
        <w:spacing w:after="0" w:line="208" w:lineRule="auto"/>
        <w:rPr>
          <w:sz w:val="20"/>
          <w:szCs w:val="20"/>
          <w:color w:val="auto"/>
        </w:rPr>
      </w:pPr>
      <w:r>
        <w:rPr>
          <w:rFonts w:ascii="Arial" w:cs="Arial" w:eastAsia="Arial" w:hAnsi="Arial"/>
          <w:sz w:val="21"/>
          <w:szCs w:val="21"/>
          <w:color w:val="auto"/>
        </w:rPr>
        <w:t>Our revenue was $46.1 million for the year ended December 31, 2011 compared to $41.3 million for the comparable period. Revenue during 2011 increased by approximately $4.8 million, or 12%, from the comparable period. The increase in revenue was primarily the result of increases in sales volume in our professional, personal and premium product categories. Revenue from professional, personal and premium products increased in 2011 by 10%, 19% and 35% respectively. Additional revenue in 2011 from MagicBox products was approximately $353,000. These increases in revenue were partially offset by an 8% decrease in revenue from tabletop conferencing products. Revenue from NetStreams products remained flat. The share of professional products in our revenue mix stayed the same in both periods at 60%. The share of personal and premium products in the revenue mix increased from 22% in 2010 to 25% in 2011.</w:t>
      </w:r>
    </w:p>
    <w:p>
      <w:pPr>
        <w:spacing w:after="0" w:line="136" w:lineRule="exact"/>
        <w:rPr>
          <w:sz w:val="20"/>
          <w:szCs w:val="20"/>
          <w:color w:val="auto"/>
        </w:rPr>
      </w:pPr>
    </w:p>
    <w:p>
      <w:pPr>
        <w:ind w:right="1139"/>
        <w:spacing w:after="0" w:line="213" w:lineRule="auto"/>
        <w:rPr>
          <w:sz w:val="20"/>
          <w:szCs w:val="20"/>
          <w:color w:val="auto"/>
        </w:rPr>
      </w:pPr>
      <w:r>
        <w:rPr>
          <w:rFonts w:ascii="Arial" w:cs="Arial" w:eastAsia="Arial" w:hAnsi="Arial"/>
          <w:sz w:val="21"/>
          <w:szCs w:val="21"/>
          <w:color w:val="auto"/>
        </w:rPr>
        <w:t>We evaluate, at each quarter-end, the inventory in the distribution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channel inventory at quarter-end. During 2011 and 2010, the change in deferred revenue based on the movement of inventory in the channel was a recognition of revenue of $902,000 and $401,000,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Goods Sold and Gross Profit</w:t>
      </w:r>
    </w:p>
    <w:p>
      <w:pPr>
        <w:spacing w:after="0" w:line="158" w:lineRule="exact"/>
        <w:rPr>
          <w:sz w:val="20"/>
          <w:szCs w:val="20"/>
          <w:color w:val="auto"/>
        </w:rPr>
      </w:pPr>
    </w:p>
    <w:p>
      <w:pPr>
        <w:ind w:right="1519"/>
        <w:spacing w:after="0" w:line="243" w:lineRule="auto"/>
        <w:rPr>
          <w:sz w:val="20"/>
          <w:szCs w:val="20"/>
          <w:color w:val="auto"/>
        </w:rPr>
      </w:pPr>
      <w:r>
        <w:rPr>
          <w:rFonts w:ascii="Arial" w:cs="Arial" w:eastAsia="Arial" w:hAnsi="Arial"/>
          <w:sz w:val="19"/>
          <w:szCs w:val="19"/>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24</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6" w:name="page37"/>
    <w:bookmarkEnd w:id="36"/>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2" w:lineRule="exact"/>
        <w:rPr>
          <w:sz w:val="20"/>
          <w:szCs w:val="20"/>
          <w:color w:val="auto"/>
        </w:rPr>
      </w:pPr>
    </w:p>
    <w:p>
      <w:pPr>
        <w:ind w:right="1179"/>
        <w:spacing w:after="0" w:line="209" w:lineRule="auto"/>
        <w:rPr>
          <w:sz w:val="20"/>
          <w:szCs w:val="20"/>
          <w:color w:val="auto"/>
        </w:rPr>
      </w:pPr>
      <w:r>
        <w:rPr>
          <w:rFonts w:ascii="Arial" w:cs="Arial" w:eastAsia="Arial" w:hAnsi="Arial"/>
          <w:sz w:val="22"/>
          <w:szCs w:val="22"/>
          <w:color w:val="auto"/>
        </w:rPr>
        <w:t>Our gross profit during 2011 was approximately $27.5 million compared to approximately $24.6 million in the comparable period, an increase of 12%. This increase in gross profit is in line with the similar increase in revenue. Gross profit margins (“GPM”), or gross profit as a percentage of sales, were uniformly 60% in both 2011 and 2010.</w:t>
      </w:r>
    </w:p>
    <w:p>
      <w:pPr>
        <w:spacing w:after="0" w:line="132" w:lineRule="exact"/>
        <w:rPr>
          <w:sz w:val="20"/>
          <w:szCs w:val="20"/>
          <w:color w:val="auto"/>
        </w:rPr>
      </w:pPr>
    </w:p>
    <w:p>
      <w:pPr>
        <w:ind w:right="1419"/>
        <w:spacing w:after="0" w:line="209" w:lineRule="auto"/>
        <w:rPr>
          <w:sz w:val="20"/>
          <w:szCs w:val="20"/>
          <w:color w:val="auto"/>
        </w:rPr>
      </w:pPr>
      <w:r>
        <w:rPr>
          <w:rFonts w:ascii="Arial" w:cs="Arial" w:eastAsia="Arial" w:hAnsi="Arial"/>
          <w:sz w:val="22"/>
          <w:szCs w:val="22"/>
          <w:color w:val="auto"/>
        </w:rPr>
        <w:t>Our profitability in the near-term continues to depend significantly on our revenues from professional conferencing products. We hold considerable amounts of long-term inventory and if we are unable to sell our long-term inventory, profitability might be affected by inventory write-offs and price mark-downs.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 and Profits (Losses)</w:t>
      </w:r>
    </w:p>
    <w:p>
      <w:pPr>
        <w:spacing w:after="0" w:line="158" w:lineRule="exact"/>
        <w:rPr>
          <w:sz w:val="20"/>
          <w:szCs w:val="20"/>
          <w:color w:val="auto"/>
        </w:rPr>
      </w:pPr>
    </w:p>
    <w:p>
      <w:pPr>
        <w:ind w:right="1259"/>
        <w:spacing w:after="0" w:line="201" w:lineRule="auto"/>
        <w:rPr>
          <w:sz w:val="20"/>
          <w:szCs w:val="20"/>
          <w:color w:val="auto"/>
        </w:rPr>
      </w:pPr>
      <w:r>
        <w:rPr>
          <w:rFonts w:ascii="Arial" w:cs="Arial" w:eastAsia="Arial" w:hAnsi="Arial"/>
          <w:sz w:val="22"/>
          <w:szCs w:val="22"/>
          <w:color w:val="auto"/>
        </w:rPr>
        <w:t>Operating profits (losses),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were approximately $17.0 million in 2011 compared to approximately $22.8 million during the comparable period. Following is a more detailed discussion of expenses related to sales and marketing, research and product development, general and administrative, and other items.</w:t>
      </w:r>
    </w:p>
    <w:p>
      <w:pPr>
        <w:spacing w:after="0" w:line="132" w:lineRule="exact"/>
        <w:rPr>
          <w:sz w:val="20"/>
          <w:szCs w:val="20"/>
          <w:color w:val="auto"/>
        </w:rPr>
      </w:pPr>
    </w:p>
    <w:p>
      <w:pPr>
        <w:ind w:right="1219"/>
        <w:spacing w:after="0" w:line="211" w:lineRule="auto"/>
        <w:rPr>
          <w:sz w:val="20"/>
          <w:szCs w:val="20"/>
          <w:color w:val="auto"/>
        </w:rPr>
      </w:pPr>
      <w:r>
        <w:rPr>
          <w:rFonts w:ascii="Arial" w:cs="Arial" w:eastAsia="Arial" w:hAnsi="Arial"/>
          <w:sz w:val="21"/>
          <w:szCs w:val="21"/>
          <w:b w:val="1"/>
          <w:bCs w:val="1"/>
          <w:u w:val="single" w:color="auto"/>
          <w:color w:val="auto"/>
        </w:rPr>
        <w:t>Sales and Marketing</w:t>
      </w:r>
      <w:r>
        <w:rPr>
          <w:rFonts w:ascii="Arial" w:cs="Arial" w:eastAsia="Arial" w:hAnsi="Arial"/>
          <w:sz w:val="21"/>
          <w:szCs w:val="21"/>
          <w:b w:val="1"/>
          <w:bCs w:val="1"/>
          <w:color w:val="auto"/>
        </w:rPr>
        <w:t xml:space="preserve">. </w:t>
      </w:r>
      <w:r>
        <w:rPr>
          <w:rFonts w:ascii="Arial" w:cs="Arial" w:eastAsia="Arial" w:hAnsi="Arial"/>
          <w:sz w:val="21"/>
          <w:szCs w:val="21"/>
          <w:color w:val="auto"/>
        </w:rPr>
        <w:t>S&amp;M expenses include selling, customer service, and marketing expenses such</w:t>
      </w:r>
      <w:r>
        <w:rPr>
          <w:rFonts w:ascii="Arial" w:cs="Arial" w:eastAsia="Arial" w:hAnsi="Arial"/>
          <w:sz w:val="21"/>
          <w:szCs w:val="21"/>
          <w:b w:val="1"/>
          <w:bCs w:val="1"/>
          <w:color w:val="auto"/>
        </w:rPr>
        <w:t xml:space="preserve"> </w:t>
      </w:r>
      <w:r>
        <w:rPr>
          <w:rFonts w:ascii="Arial" w:cs="Arial" w:eastAsia="Arial" w:hAnsi="Arial"/>
          <w:sz w:val="21"/>
          <w:szCs w:val="21"/>
          <w:color w:val="auto"/>
        </w:rPr>
        <w:t>as employee-related costs, allocations of overhead expenses, trade shows, and other advertising and selling expenses. Total S&amp;M expenses were approximately $8.1 million in 2011 compared with approximately $8.7 million in 2010. As a percentage of revenue, S&amp;M expenses were 17.6% in 2011 compared with 21.0% in 2010. The decrease in S&amp;M expenses in 2011 was approximately $565,000, or 7%, from 2010 as a result of decreases in employee-related costs including commissions to sales personnel, and marketing and advertising expenses partially offset by increased commissions to independent sales representatives.</w:t>
      </w:r>
    </w:p>
    <w:p>
      <w:pPr>
        <w:spacing w:after="0" w:line="125" w:lineRule="exact"/>
        <w:rPr>
          <w:sz w:val="20"/>
          <w:szCs w:val="20"/>
          <w:color w:val="auto"/>
        </w:rPr>
      </w:pPr>
    </w:p>
    <w:p>
      <w:pPr>
        <w:ind w:right="1179"/>
        <w:spacing w:after="0" w:line="211" w:lineRule="auto"/>
        <w:rPr>
          <w:sz w:val="20"/>
          <w:szCs w:val="20"/>
          <w:color w:val="auto"/>
        </w:rPr>
      </w:pPr>
      <w:r>
        <w:rPr>
          <w:rFonts w:ascii="Arial" w:cs="Arial" w:eastAsia="Arial" w:hAnsi="Arial"/>
          <w:sz w:val="21"/>
          <w:szCs w:val="21"/>
          <w:b w:val="1"/>
          <w:bCs w:val="1"/>
          <w:u w:val="single" w:color="auto"/>
          <w:color w:val="auto"/>
        </w:rPr>
        <w:t>Research and Product Development</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R&amp;D expenses include research and development, product line</w:t>
      </w:r>
      <w:r>
        <w:rPr>
          <w:rFonts w:ascii="Arial" w:cs="Arial" w:eastAsia="Arial" w:hAnsi="Arial"/>
          <w:sz w:val="21"/>
          <w:szCs w:val="21"/>
          <w:b w:val="1"/>
          <w:bCs w:val="1"/>
          <w:color w:val="auto"/>
        </w:rPr>
        <w:t xml:space="preserve"> </w:t>
      </w:r>
      <w:r>
        <w:rPr>
          <w:rFonts w:ascii="Arial" w:cs="Arial" w:eastAsia="Arial" w:hAnsi="Arial"/>
          <w:sz w:val="21"/>
          <w:szCs w:val="21"/>
          <w:color w:val="auto"/>
        </w:rPr>
        <w:t>management, engineering services, and test and application expenses, including employee-related costs, outside services, expensed materials, depreciation, and an allocation of overhead expenses. Total R&amp;D expenses were approximately $7.1 million in 2011 compared to approximately $7.7 million during the comparable period. As a percentage of revenue, R&amp;D expenses were 15.5% in 2011 compared to 18.7% in 2010. The decrease in R&amp;D expenses was primarily due to a reduction in the facilities and information technology-related costs allocated to R&amp;D and also due to a decrease in the expenditures on R&amp;D projects.</w:t>
      </w:r>
    </w:p>
    <w:p>
      <w:pPr>
        <w:spacing w:after="0" w:line="125" w:lineRule="exact"/>
        <w:rPr>
          <w:sz w:val="20"/>
          <w:szCs w:val="20"/>
          <w:color w:val="auto"/>
        </w:rPr>
      </w:pPr>
    </w:p>
    <w:p>
      <w:pPr>
        <w:ind w:right="1139"/>
        <w:spacing w:after="0" w:line="229" w:lineRule="auto"/>
        <w:rPr>
          <w:sz w:val="20"/>
          <w:szCs w:val="20"/>
          <w:color w:val="auto"/>
        </w:rPr>
      </w:pPr>
      <w:r>
        <w:rPr>
          <w:rFonts w:ascii="Arial" w:cs="Arial" w:eastAsia="Arial" w:hAnsi="Arial"/>
          <w:sz w:val="19"/>
          <w:szCs w:val="19"/>
          <w:b w:val="1"/>
          <w:bCs w:val="1"/>
          <w:u w:val="single" w:color="auto"/>
          <w:color w:val="auto"/>
        </w:rPr>
        <w:t>General and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G&amp;A expenses include employee-related costs, professional service fees,</w:t>
      </w:r>
      <w:r>
        <w:rPr>
          <w:rFonts w:ascii="Arial" w:cs="Arial" w:eastAsia="Arial" w:hAnsi="Arial"/>
          <w:sz w:val="19"/>
          <w:szCs w:val="19"/>
          <w:b w:val="1"/>
          <w:bCs w:val="1"/>
          <w:color w:val="auto"/>
        </w:rPr>
        <w:t xml:space="preserve"> </w:t>
      </w:r>
      <w:r>
        <w:rPr>
          <w:rFonts w:ascii="Arial" w:cs="Arial" w:eastAsia="Arial" w:hAnsi="Arial"/>
          <w:sz w:val="19"/>
          <w:szCs w:val="19"/>
          <w:color w:val="auto"/>
        </w:rPr>
        <w:t>allocations of overhead expenses, litigation costs and corporate administrative costs, including finance and human resources. Total G&amp;A expenses were approximately $5.4 million in 2011 compared with approximately $6.4 million in 2010. G&amp;A expenses in 2010 included an accrual of $2.2 million of legal expenses in connection with the indemnification of a former ClearOne officer. If the $2.2 million accrual of legal expenses in 2010, as explained above, were excluded from our GAAP calculation, G&amp;A expenses in 2011 and in 2010 would be $5.4 million and $4.2 million, respectively. The increase in these "adjusted" G&amp;A expenses was primarily due to an increase in employee related expenses, executive bonus, bad debts, bank charges, legal expenses related to acquisition and other acquisition and integration expenses. Management believes that excluding the accrual of legal expenses from GAAP results of G&amp;A expenses in 2010 will provide investors with useful information to help them evaluate our operating results and objectives, and management does not believe that the excluded items are reflective of underlying performance.</w:t>
      </w:r>
    </w:p>
    <w:p>
      <w:pPr>
        <w:spacing w:after="0" w:line="126" w:lineRule="exact"/>
        <w:rPr>
          <w:sz w:val="20"/>
          <w:szCs w:val="20"/>
          <w:color w:val="auto"/>
        </w:rPr>
      </w:pPr>
    </w:p>
    <w:p>
      <w:pPr>
        <w:ind w:right="1399"/>
        <w:spacing w:after="0" w:line="220" w:lineRule="auto"/>
        <w:rPr>
          <w:sz w:val="20"/>
          <w:szCs w:val="20"/>
          <w:color w:val="auto"/>
        </w:rPr>
      </w:pPr>
      <w:r>
        <w:rPr>
          <w:rFonts w:ascii="Arial" w:cs="Arial" w:eastAsia="Arial" w:hAnsi="Arial"/>
          <w:sz w:val="21"/>
          <w:szCs w:val="21"/>
          <w:b w:val="1"/>
          <w:bCs w:val="1"/>
          <w:u w:val="single" w:color="auto"/>
          <w:color w:val="auto"/>
        </w:rPr>
        <w:t>Proceeds from litigation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We recognized income of approximately $3.7 million received from one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our competitors upon our successful litigation in the matter related to the theft of our intellectual property. (See section titled "Theft of our Intellectual Property and Related Cases” under </w:t>
      </w:r>
      <w:r>
        <w:rPr>
          <w:rFonts w:ascii="Arial" w:cs="Arial" w:eastAsia="Arial" w:hAnsi="Arial"/>
          <w:sz w:val="21"/>
          <w:szCs w:val="21"/>
          <w:u w:val="single" w:color="auto"/>
          <w:color w:val="0000FF"/>
        </w:rPr>
        <w:t>Note 8 -</w:t>
      </w:r>
      <w:r>
        <w:rPr>
          <w:rFonts w:ascii="Arial" w:cs="Arial" w:eastAsia="Arial" w:hAnsi="Arial"/>
          <w:sz w:val="21"/>
          <w:szCs w:val="21"/>
          <w:color w:val="auto"/>
        </w:rPr>
        <w:t xml:space="preserve"> </w:t>
      </w:r>
      <w:r>
        <w:rPr>
          <w:rFonts w:ascii="Arial" w:cs="Arial" w:eastAsia="Arial" w:hAnsi="Arial"/>
          <w:sz w:val="21"/>
          <w:szCs w:val="21"/>
          <w:u w:val="single" w:color="auto"/>
          <w:color w:val="0000FF"/>
        </w:rPr>
        <w:t>Commitments and Contingencies</w:t>
      </w:r>
      <w:r>
        <w:rPr>
          <w:rFonts w:ascii="Arial" w:cs="Arial" w:eastAsia="Arial" w:hAnsi="Arial"/>
          <w:sz w:val="21"/>
          <w:szCs w:val="21"/>
          <w:color w:val="0000FF"/>
        </w:rPr>
        <w:t xml:space="preserve"> </w:t>
      </w:r>
      <w:r>
        <w:rPr>
          <w:rFonts w:ascii="Arial" w:cs="Arial" w:eastAsia="Arial" w:hAnsi="Arial"/>
          <w:sz w:val="21"/>
          <w:szCs w:val="21"/>
          <w:color w:val="000000"/>
        </w:rPr>
        <w:t>to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 Benefit from income taxes</w:t>
      </w:r>
    </w:p>
    <w:p>
      <w:pPr>
        <w:spacing w:after="0" w:line="158" w:lineRule="exact"/>
        <w:rPr>
          <w:sz w:val="20"/>
          <w:szCs w:val="20"/>
          <w:color w:val="auto"/>
        </w:rPr>
      </w:pPr>
    </w:p>
    <w:p>
      <w:pPr>
        <w:ind w:right="1159"/>
        <w:spacing w:after="0" w:line="219" w:lineRule="auto"/>
        <w:rPr>
          <w:sz w:val="20"/>
          <w:szCs w:val="20"/>
          <w:color w:val="auto"/>
        </w:rPr>
      </w:pPr>
      <w:r>
        <w:rPr>
          <w:rFonts w:ascii="Arial" w:cs="Arial" w:eastAsia="Arial" w:hAnsi="Arial"/>
          <w:sz w:val="21"/>
          <w:szCs w:val="21"/>
          <w:color w:val="auto"/>
        </w:rPr>
        <w:t>The tax expense of $3.7 million during 2011 was primarily the result of tax on current year income. This compared to a tax benefit of $681,000 during the comparable period. The tax benefit for the comparable period was primarily the result of a decrease in our unrecognized tax benefits liability due to the reversal of the liability related to the settlement with taxing authorities.</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25</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37" w:name="page38"/>
    <w:bookmarkEnd w:id="37"/>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CAPITAL RESOURCES AND FINANCIAL POSITION</w:t>
      </w:r>
    </w:p>
    <w:p>
      <w:pPr>
        <w:spacing w:after="0" w:line="158" w:lineRule="exact"/>
        <w:rPr>
          <w:sz w:val="20"/>
          <w:szCs w:val="20"/>
          <w:color w:val="auto"/>
        </w:rPr>
      </w:pPr>
    </w:p>
    <w:p>
      <w:pPr>
        <w:ind w:right="1199"/>
        <w:spacing w:after="0" w:line="214" w:lineRule="auto"/>
        <w:rPr>
          <w:sz w:val="20"/>
          <w:szCs w:val="20"/>
          <w:color w:val="auto"/>
        </w:rPr>
      </w:pPr>
      <w:r>
        <w:rPr>
          <w:rFonts w:ascii="Arial" w:cs="Arial" w:eastAsia="Arial" w:hAnsi="Arial"/>
          <w:sz w:val="22"/>
          <w:szCs w:val="22"/>
          <w:color w:val="auto"/>
        </w:rPr>
        <w:t>As of December 31, 2011, our cash and cash equivalents were approximately $16.7 million compared to $11.4 million as of December 31, 2010. Our working capital was $32.7 million and $22.8 million as of December 31, 2011 and December 31, 2010, respectively.</w:t>
      </w:r>
    </w:p>
    <w:p>
      <w:pPr>
        <w:spacing w:after="0" w:line="134" w:lineRule="exact"/>
        <w:rPr>
          <w:sz w:val="20"/>
          <w:szCs w:val="20"/>
          <w:color w:val="auto"/>
        </w:rPr>
      </w:pPr>
    </w:p>
    <w:p>
      <w:pPr>
        <w:ind w:right="1199"/>
        <w:spacing w:after="0" w:line="205" w:lineRule="auto"/>
        <w:rPr>
          <w:sz w:val="20"/>
          <w:szCs w:val="20"/>
          <w:color w:val="auto"/>
        </w:rPr>
      </w:pPr>
      <w:r>
        <w:rPr>
          <w:rFonts w:ascii="Arial" w:cs="Arial" w:eastAsia="Arial" w:hAnsi="Arial"/>
          <w:sz w:val="22"/>
          <w:szCs w:val="22"/>
          <w:color w:val="auto"/>
        </w:rPr>
        <w:t>Net cash flows provided by operating activities were approximately $5.8 million during 2011, an increase of approximately $1.4 million, compared to $4.4 million in 2010. The increase was primarily due to higher net income, higher collections from accounts receivable and an increase in deferred income taxes. These increases in cash inflows were partially offset by increased outflows on inventory, accrued expenses and prepaid expenses.</w:t>
      </w:r>
    </w:p>
    <w:p>
      <w:pPr>
        <w:spacing w:after="0" w:line="135" w:lineRule="exact"/>
        <w:rPr>
          <w:sz w:val="20"/>
          <w:szCs w:val="20"/>
          <w:color w:val="auto"/>
        </w:rPr>
      </w:pPr>
    </w:p>
    <w:p>
      <w:pPr>
        <w:ind w:right="1159"/>
        <w:spacing w:after="0" w:line="233" w:lineRule="auto"/>
        <w:rPr>
          <w:sz w:val="20"/>
          <w:szCs w:val="20"/>
          <w:color w:val="auto"/>
        </w:rPr>
      </w:pPr>
      <w:r>
        <w:rPr>
          <w:rFonts w:ascii="Arial" w:cs="Arial" w:eastAsia="Arial" w:hAnsi="Arial"/>
          <w:sz w:val="19"/>
          <w:szCs w:val="19"/>
          <w:color w:val="auto"/>
        </w:rPr>
        <w:t xml:space="preserve">Net cash flows used in investing activities were $1.4 million during 2011 compared to net cash flows used in investing activities of $449,000 during 2010. During 2011, the cash outflows on investing activities consisted of the acquisition of MagicBox business for $980,000 (Please refer to </w:t>
      </w:r>
      <w:r>
        <w:rPr>
          <w:rFonts w:ascii="Arial" w:cs="Arial" w:eastAsia="Arial" w:hAnsi="Arial"/>
          <w:sz w:val="19"/>
          <w:szCs w:val="19"/>
          <w:u w:val="single" w:color="auto"/>
          <w:color w:val="0000FF"/>
        </w:rPr>
        <w:t>Note 3 -</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Business Combinations, Goodwill and Intangible Assets</w:t>
      </w:r>
      <w:r>
        <w:rPr>
          <w:rFonts w:ascii="Arial" w:cs="Arial" w:eastAsia="Arial" w:hAnsi="Arial"/>
          <w:sz w:val="19"/>
          <w:szCs w:val="19"/>
          <w:color w:val="0000FF"/>
        </w:rPr>
        <w:t xml:space="preserve"> </w:t>
      </w:r>
      <w:r>
        <w:rPr>
          <w:rFonts w:ascii="Arial" w:cs="Arial" w:eastAsia="Arial" w:hAnsi="Arial"/>
          <w:sz w:val="19"/>
          <w:szCs w:val="19"/>
          <w:color w:val="000000"/>
        </w:rPr>
        <w:t>in the Notes to Consolidated Financial</w:t>
      </w:r>
      <w:r>
        <w:rPr>
          <w:rFonts w:ascii="Arial" w:cs="Arial" w:eastAsia="Arial" w:hAnsi="Arial"/>
          <w:sz w:val="19"/>
          <w:szCs w:val="19"/>
          <w:color w:val="0000FF"/>
        </w:rPr>
        <w:t xml:space="preserve"> </w:t>
      </w:r>
      <w:r>
        <w:rPr>
          <w:rFonts w:ascii="Arial" w:cs="Arial" w:eastAsia="Arial" w:hAnsi="Arial"/>
          <w:sz w:val="19"/>
          <w:szCs w:val="19"/>
          <w:color w:val="000000"/>
        </w:rPr>
        <w:t>Statements (Part II, Item 8) and the purchase of property, plant and equipment. During 2010, the cash flows on investing activities consisted of the receipt of $350,000 of escrow money related to NetStreams acquisition and the purchases of property, plant and equipment totaling $799,000.</w:t>
      </w:r>
    </w:p>
    <w:p>
      <w:pPr>
        <w:spacing w:after="0" w:line="103" w:lineRule="exact"/>
        <w:rPr>
          <w:sz w:val="20"/>
          <w:szCs w:val="20"/>
          <w:color w:val="auto"/>
        </w:rPr>
      </w:pPr>
    </w:p>
    <w:p>
      <w:pPr>
        <w:spacing w:after="0"/>
        <w:tabs>
          <w:tab w:leader="none" w:pos="4500" w:val="left"/>
        </w:tabs>
        <w:rPr>
          <w:sz w:val="20"/>
          <w:szCs w:val="20"/>
          <w:color w:val="auto"/>
        </w:rPr>
      </w:pPr>
      <w:r>
        <w:rPr>
          <w:rFonts w:ascii="Arial" w:cs="Arial" w:eastAsia="Arial" w:hAnsi="Arial"/>
          <w:sz w:val="22"/>
          <w:szCs w:val="22"/>
          <w:color w:val="auto"/>
        </w:rPr>
        <w:t>Net cash provided by financing activities in 2011</w:t>
      </w:r>
      <w:r>
        <w:rPr>
          <w:sz w:val="20"/>
          <w:szCs w:val="20"/>
          <w:color w:val="auto"/>
        </w:rPr>
        <w:tab/>
      </w:r>
      <w:r>
        <w:rPr>
          <w:rFonts w:ascii="Arial" w:cs="Arial" w:eastAsia="Arial" w:hAnsi="Arial"/>
          <w:sz w:val="19"/>
          <w:szCs w:val="19"/>
          <w:color w:val="auto"/>
        </w:rPr>
        <w:t>proceeds from the issuance of common stock upon</w:t>
      </w:r>
    </w:p>
    <w:p>
      <w:pPr>
        <w:spacing w:after="0" w:line="222" w:lineRule="auto"/>
        <w:tabs>
          <w:tab w:leader="none" w:pos="4520" w:val="left"/>
        </w:tabs>
        <w:rPr>
          <w:sz w:val="20"/>
          <w:szCs w:val="20"/>
          <w:color w:val="auto"/>
        </w:rPr>
      </w:pPr>
      <w:r>
        <w:rPr>
          <w:rFonts w:ascii="Arial" w:cs="Arial" w:eastAsia="Arial" w:hAnsi="Arial"/>
          <w:sz w:val="22"/>
          <w:szCs w:val="22"/>
          <w:color w:val="auto"/>
        </w:rPr>
        <w:t>consisted of</w:t>
      </w:r>
      <w:r>
        <w:rPr>
          <w:sz w:val="20"/>
          <w:szCs w:val="20"/>
          <w:color w:val="auto"/>
        </w:rPr>
        <w:tab/>
      </w:r>
      <w:r>
        <w:rPr>
          <w:rFonts w:ascii="Arial" w:cs="Arial" w:eastAsia="Arial" w:hAnsi="Arial"/>
          <w:sz w:val="19"/>
          <w:szCs w:val="19"/>
          <w:color w:val="auto"/>
        </w:rPr>
        <w:t>the exercise of stock options totaling $747,000 and</w:t>
      </w:r>
    </w:p>
    <w:p>
      <w:pPr>
        <w:ind w:right="1379"/>
        <w:spacing w:after="0" w:line="228" w:lineRule="auto"/>
        <w:rPr>
          <w:sz w:val="20"/>
          <w:szCs w:val="20"/>
          <w:color w:val="auto"/>
        </w:rPr>
      </w:pPr>
      <w:r>
        <w:rPr>
          <w:rFonts w:ascii="Arial" w:cs="Arial" w:eastAsia="Arial" w:hAnsi="Arial"/>
          <w:sz w:val="21"/>
          <w:szCs w:val="21"/>
          <w:color w:val="auto"/>
        </w:rPr>
        <w:t>associated tax benefits totaling $66,000. Net cash used in financing activities during 2010 totaled $2.0 million representing repayment of debt assumed in the acquisition of NetStreams.</w:t>
      </w:r>
    </w:p>
    <w:p>
      <w:pPr>
        <w:spacing w:after="0" w:line="131" w:lineRule="exact"/>
        <w:rPr>
          <w:sz w:val="20"/>
          <w:szCs w:val="20"/>
          <w:color w:val="auto"/>
        </w:rPr>
      </w:pPr>
    </w:p>
    <w:p>
      <w:pPr>
        <w:ind w:right="1519"/>
        <w:spacing w:after="0" w:line="226" w:lineRule="auto"/>
        <w:rPr>
          <w:sz w:val="20"/>
          <w:szCs w:val="20"/>
          <w:color w:val="auto"/>
        </w:rPr>
      </w:pPr>
      <w:r>
        <w:rPr>
          <w:rFonts w:ascii="Arial" w:cs="Arial" w:eastAsia="Arial" w:hAnsi="Arial"/>
          <w:sz w:val="22"/>
          <w:szCs w:val="22"/>
          <w:color w:val="auto"/>
        </w:rPr>
        <w:t>During 2011, a total of $1.7 million was paid towards income taxes while we received net refunds of approximately $221,000 in income taxes during 2010.</w:t>
      </w:r>
    </w:p>
    <w:p>
      <w:pPr>
        <w:spacing w:after="0" w:line="131" w:lineRule="exact"/>
        <w:rPr>
          <w:sz w:val="20"/>
          <w:szCs w:val="20"/>
          <w:color w:val="auto"/>
        </w:rPr>
      </w:pPr>
    </w:p>
    <w:p>
      <w:pPr>
        <w:ind w:right="1399"/>
        <w:spacing w:after="0" w:line="233" w:lineRule="auto"/>
        <w:rPr>
          <w:sz w:val="20"/>
          <w:szCs w:val="20"/>
          <w:color w:val="auto"/>
        </w:rPr>
      </w:pPr>
      <w:r>
        <w:rPr>
          <w:rFonts w:ascii="Arial" w:cs="Arial" w:eastAsia="Arial" w:hAnsi="Arial"/>
          <w:sz w:val="19"/>
          <w:szCs w:val="19"/>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raise additional capital when needed to meet our short and long-term financing needs. In addition to capital expenditures, we may use cash in the near future for selective infusions of technological, marketing or product manufacturing rights to broaden our product offerings, as well as acquisitions that may strategically fit our business and are accretive to our performance.</w:t>
      </w:r>
    </w:p>
    <w:p>
      <w:pPr>
        <w:spacing w:after="0" w:line="136" w:lineRule="exact"/>
        <w:rPr>
          <w:sz w:val="20"/>
          <w:szCs w:val="20"/>
          <w:color w:val="auto"/>
        </w:rPr>
      </w:pPr>
    </w:p>
    <w:p>
      <w:pPr>
        <w:ind w:right="1199"/>
        <w:spacing w:after="0" w:line="214" w:lineRule="auto"/>
        <w:rPr>
          <w:sz w:val="20"/>
          <w:szCs w:val="20"/>
          <w:color w:val="auto"/>
        </w:rPr>
      </w:pPr>
      <w:r>
        <w:rPr>
          <w:rFonts w:ascii="Arial" w:cs="Arial" w:eastAsia="Arial" w:hAnsi="Arial"/>
          <w:sz w:val="22"/>
          <w:szCs w:val="22"/>
          <w:color w:val="auto"/>
        </w:rPr>
        <w:t>At December 31, 2011, we had open purchase orders related to our electronics manufacturing service providers and other contractual obligations of approximately $4.6 million, primarily related to inventory purchases.</w:t>
      </w:r>
    </w:p>
    <w:p>
      <w:pPr>
        <w:spacing w:after="0" w:line="134" w:lineRule="exact"/>
        <w:rPr>
          <w:sz w:val="20"/>
          <w:szCs w:val="20"/>
          <w:color w:val="auto"/>
        </w:rPr>
      </w:pPr>
    </w:p>
    <w:p>
      <w:pPr>
        <w:ind w:right="1319"/>
        <w:spacing w:after="0" w:line="243" w:lineRule="auto"/>
        <w:rPr>
          <w:sz w:val="20"/>
          <w:szCs w:val="20"/>
          <w:color w:val="auto"/>
        </w:rPr>
      </w:pPr>
      <w:r>
        <w:rPr>
          <w:rFonts w:ascii="Arial" w:cs="Arial" w:eastAsia="Arial" w:hAnsi="Arial"/>
          <w:sz w:val="19"/>
          <w:szCs w:val="19"/>
          <w:color w:val="auto"/>
        </w:rPr>
        <w:t>At December 31, 2011, we had inventory totaling $14.5 million out of which non-current inventory accounted for $1.9 million. This compares to total inventories of $11.4 million and non-current inventory of $2.6 million as of December 31, 2010. As our business prospects continue to improve, we expect to continue to reduce our non-current inventory and convert it into cash.</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58" w:lineRule="exact"/>
        <w:rPr>
          <w:sz w:val="20"/>
          <w:szCs w:val="20"/>
          <w:color w:val="auto"/>
        </w:rPr>
      </w:pPr>
    </w:p>
    <w:p>
      <w:pPr>
        <w:jc w:val="both"/>
        <w:ind w:right="1199"/>
        <w:spacing w:after="0" w:line="253" w:lineRule="auto"/>
        <w:rPr>
          <w:sz w:val="20"/>
          <w:szCs w:val="20"/>
          <w:color w:val="auto"/>
        </w:rPr>
      </w:pPr>
      <w:r>
        <w:rPr>
          <w:rFonts w:ascii="Arial" w:cs="Arial" w:eastAsia="Arial" w:hAnsi="Arial"/>
          <w:sz w:val="19"/>
          <w:szCs w:val="19"/>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58" w:lineRule="exact"/>
        <w:rPr>
          <w:sz w:val="20"/>
          <w:szCs w:val="20"/>
          <w:color w:val="auto"/>
        </w:rPr>
      </w:pPr>
    </w:p>
    <w:p>
      <w:pPr>
        <w:ind w:right="1199"/>
        <w:spacing w:after="0" w:line="231" w:lineRule="auto"/>
        <w:rPr>
          <w:sz w:val="20"/>
          <w:szCs w:val="20"/>
          <w:color w:val="auto"/>
        </w:rPr>
      </w:pPr>
      <w:r>
        <w:rPr>
          <w:rFonts w:ascii="Arial" w:cs="Arial" w:eastAsia="Arial" w:hAnsi="Arial"/>
          <w:sz w:val="19"/>
          <w:szCs w:val="19"/>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26</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38" w:name="page39"/>
    <w:bookmarkEnd w:id="38"/>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2" w:lineRule="exact"/>
        <w:rPr>
          <w:sz w:val="20"/>
          <w:szCs w:val="20"/>
          <w:color w:val="auto"/>
        </w:rPr>
      </w:pPr>
    </w:p>
    <w:p>
      <w:pPr>
        <w:ind w:right="1239"/>
        <w:spacing w:after="0" w:line="235" w:lineRule="auto"/>
        <w:rPr>
          <w:sz w:val="20"/>
          <w:szCs w:val="20"/>
          <w:color w:val="auto"/>
        </w:rPr>
      </w:pPr>
      <w:r>
        <w:rPr>
          <w:rFonts w:ascii="Arial" w:cs="Arial" w:eastAsia="Arial" w:hAnsi="Arial"/>
          <w:sz w:val="19"/>
          <w:szCs w:val="19"/>
          <w:color w:val="auto"/>
        </w:rPr>
        <w:t xml:space="preserve">those estimates. Our significant accounting policies are described in </w:t>
      </w:r>
      <w:r>
        <w:rPr>
          <w:rFonts w:ascii="Arial" w:cs="Arial" w:eastAsia="Arial" w:hAnsi="Arial"/>
          <w:sz w:val="19"/>
          <w:szCs w:val="19"/>
          <w:u w:val="single" w:color="auto"/>
          <w:color w:val="0000FF"/>
        </w:rPr>
        <w:t>Note 2 - Summary of Significant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Accounting Policies</w:t>
      </w:r>
      <w:r>
        <w:rPr>
          <w:rFonts w:ascii="Arial" w:cs="Arial" w:eastAsia="Arial" w:hAnsi="Arial"/>
          <w:sz w:val="19"/>
          <w:szCs w:val="19"/>
          <w:color w:val="0000FF"/>
        </w:rPr>
        <w:t xml:space="preserve"> </w:t>
      </w:r>
      <w:r>
        <w:rPr>
          <w:rFonts w:ascii="Arial" w:cs="Arial" w:eastAsia="Arial" w:hAnsi="Arial"/>
          <w:sz w:val="19"/>
          <w:szCs w:val="19"/>
          <w:color w:val="000000"/>
        </w:rPr>
        <w:t>to the Consolidated Financial Statements included in Part II, Item 8 of this report.</w:t>
      </w:r>
      <w:r>
        <w:rPr>
          <w:rFonts w:ascii="Arial" w:cs="Arial" w:eastAsia="Arial" w:hAnsi="Arial"/>
          <w:sz w:val="19"/>
          <w:szCs w:val="19"/>
          <w:color w:val="0000FF"/>
        </w:rPr>
        <w:t xml:space="preserve"> </w:t>
      </w:r>
      <w:r>
        <w:rPr>
          <w:rFonts w:ascii="Arial" w:cs="Arial" w:eastAsia="Arial" w:hAnsi="Arial"/>
          <w:sz w:val="19"/>
          <w:szCs w:val="19"/>
          <w:color w:val="000000"/>
        </w:rPr>
        <w:t>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and Associated Allowances for Revenue Adjustments and Doubtful Accounts</w:t>
      </w:r>
    </w:p>
    <w:p>
      <w:pPr>
        <w:spacing w:after="0" w:line="170" w:lineRule="exact"/>
        <w:rPr>
          <w:sz w:val="20"/>
          <w:szCs w:val="20"/>
          <w:color w:val="auto"/>
        </w:rPr>
      </w:pPr>
    </w:p>
    <w:p>
      <w:pPr>
        <w:ind w:right="1159"/>
        <w:spacing w:after="0" w:line="209" w:lineRule="auto"/>
        <w:rPr>
          <w:sz w:val="20"/>
          <w:szCs w:val="20"/>
          <w:color w:val="auto"/>
        </w:rPr>
      </w:pPr>
      <w:r>
        <w:rPr>
          <w:rFonts w:ascii="Arial" w:cs="Arial" w:eastAsia="Arial" w:hAnsi="Arial"/>
          <w:sz w:val="22"/>
          <w:szCs w:val="22"/>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We provide a right of return on product sales to major distributors under a product rotation program.</w:t>
      </w:r>
    </w:p>
    <w:p>
      <w:pPr>
        <w:spacing w:after="0" w:line="224" w:lineRule="auto"/>
        <w:rPr>
          <w:sz w:val="20"/>
          <w:szCs w:val="20"/>
          <w:color w:val="auto"/>
        </w:rPr>
      </w:pPr>
      <w:r>
        <w:rPr>
          <w:rFonts w:ascii="Arial" w:cs="Arial" w:eastAsia="Arial" w:hAnsi="Arial"/>
          <w:sz w:val="19"/>
          <w:szCs w:val="19"/>
          <w:color w:val="auto"/>
        </w:rPr>
        <w:t>Under this seldom used program, once a quarter, a distributor is allowed to return products purchased</w:t>
      </w:r>
    </w:p>
    <w:p>
      <w:pPr>
        <w:spacing w:after="0" w:line="223" w:lineRule="auto"/>
        <w:rPr>
          <w:sz w:val="20"/>
          <w:szCs w:val="20"/>
          <w:color w:val="auto"/>
        </w:rPr>
      </w:pPr>
      <w:r>
        <w:rPr>
          <w:rFonts w:ascii="Arial" w:cs="Arial" w:eastAsia="Arial" w:hAnsi="Arial"/>
          <w:sz w:val="19"/>
          <w:szCs w:val="19"/>
          <w:color w:val="auto"/>
        </w:rPr>
        <w:t>during the prior 180 days for a total value generally not exceeding 15% of the distributor’s net purchases</w:t>
      </w:r>
    </w:p>
    <w:p>
      <w:pPr>
        <w:spacing w:after="0" w:line="222" w:lineRule="auto"/>
        <w:rPr>
          <w:sz w:val="20"/>
          <w:szCs w:val="20"/>
          <w:color w:val="auto"/>
        </w:rPr>
      </w:pPr>
      <w:r>
        <w:rPr>
          <w:rFonts w:ascii="Arial" w:cs="Arial" w:eastAsia="Arial" w:hAnsi="Arial"/>
          <w:sz w:val="19"/>
          <w:szCs w:val="19"/>
          <w:color w:val="auto"/>
        </w:rPr>
        <w:t>during the preceding quarter. The distributor is, however, required to place a new purchase order for an</w:t>
      </w:r>
    </w:p>
    <w:p>
      <w:pPr>
        <w:spacing w:after="0" w:line="223" w:lineRule="auto"/>
        <w:rPr>
          <w:sz w:val="20"/>
          <w:szCs w:val="20"/>
          <w:color w:val="auto"/>
        </w:rPr>
      </w:pPr>
      <w:r>
        <w:rPr>
          <w:rFonts w:ascii="Arial" w:cs="Arial" w:eastAsia="Arial" w:hAnsi="Arial"/>
          <w:sz w:val="19"/>
          <w:szCs w:val="19"/>
          <w:color w:val="auto"/>
        </w:rPr>
        <w:t>amount not less than the value of products returned under the stock rotation program. When products are</w:t>
      </w:r>
    </w:p>
    <w:p>
      <w:pPr>
        <w:spacing w:after="0" w:line="201" w:lineRule="auto"/>
        <w:rPr>
          <w:sz w:val="20"/>
          <w:szCs w:val="20"/>
          <w:color w:val="auto"/>
        </w:rPr>
      </w:pPr>
      <w:r>
        <w:rPr>
          <w:rFonts w:ascii="Arial" w:cs="Arial" w:eastAsia="Arial" w:hAnsi="Arial"/>
          <w:sz w:val="21"/>
          <w:szCs w:val="21"/>
          <w:color w:val="auto"/>
        </w:rPr>
        <w:t>returned, the associated revenue, cost of goods sold, inventory and accounts receivable originally</w:t>
      </w:r>
    </w:p>
    <w:p>
      <w:pPr>
        <w:spacing w:after="0" w:line="223" w:lineRule="auto"/>
        <w:rPr>
          <w:sz w:val="20"/>
          <w:szCs w:val="20"/>
          <w:color w:val="auto"/>
        </w:rPr>
      </w:pPr>
      <w:r>
        <w:rPr>
          <w:rFonts w:ascii="Arial" w:cs="Arial" w:eastAsia="Arial" w:hAnsi="Arial"/>
          <w:sz w:val="19"/>
          <w:szCs w:val="19"/>
          <w:color w:val="auto"/>
        </w:rPr>
        <w:t>recorded are reversed. When the new order is placed, the revenue, associated cost of goods sold,</w:t>
      </w:r>
    </w:p>
    <w:p>
      <w:pPr>
        <w:spacing w:after="0" w:line="201" w:lineRule="auto"/>
        <w:rPr>
          <w:sz w:val="20"/>
          <w:szCs w:val="20"/>
          <w:color w:val="auto"/>
        </w:rPr>
      </w:pPr>
      <w:r>
        <w:rPr>
          <w:rFonts w:ascii="Arial" w:cs="Arial" w:eastAsia="Arial" w:hAnsi="Arial"/>
          <w:sz w:val="21"/>
          <w:szCs w:val="21"/>
          <w:color w:val="auto"/>
        </w:rPr>
        <w:t>inventory and accounts receivable are recorded and the product revenue is subject to the deferral</w:t>
      </w:r>
    </w:p>
    <w:p>
      <w:pPr>
        <w:spacing w:after="0" w:line="223" w:lineRule="auto"/>
        <w:rPr>
          <w:sz w:val="20"/>
          <w:szCs w:val="20"/>
          <w:color w:val="auto"/>
        </w:rPr>
      </w:pPr>
      <w:r>
        <w:rPr>
          <w:rFonts w:ascii="Arial" w:cs="Arial" w:eastAsia="Arial" w:hAnsi="Arial"/>
          <w:sz w:val="19"/>
          <w:szCs w:val="19"/>
          <w:color w:val="auto"/>
        </w:rPr>
        <w:t>analysis described below. In a small number of cases, the distributors are also permitted to return the</w:t>
      </w:r>
    </w:p>
    <w:p>
      <w:pPr>
        <w:spacing w:after="0" w:line="192" w:lineRule="auto"/>
        <w:rPr>
          <w:sz w:val="20"/>
          <w:szCs w:val="20"/>
          <w:color w:val="auto"/>
        </w:rPr>
      </w:pPr>
      <w:r>
        <w:rPr>
          <w:rFonts w:ascii="Arial" w:cs="Arial" w:eastAsia="Arial" w:hAnsi="Arial"/>
          <w:sz w:val="22"/>
          <w:szCs w:val="22"/>
          <w:color w:val="auto"/>
        </w:rPr>
        <w:t>products for other business reasons.</w:t>
      </w:r>
    </w:p>
    <w:p>
      <w:pPr>
        <w:spacing w:after="0" w:line="192"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right="1139"/>
        <w:spacing w:after="0" w:line="227" w:lineRule="auto"/>
        <w:rPr>
          <w:sz w:val="20"/>
          <w:szCs w:val="20"/>
          <w:color w:val="auto"/>
        </w:rPr>
      </w:pPr>
      <w:r>
        <w:rPr>
          <w:rFonts w:ascii="Arial" w:cs="Arial" w:eastAsia="Arial" w:hAnsi="Arial"/>
          <w:sz w:val="19"/>
          <w:szCs w:val="19"/>
          <w:color w:val="auto"/>
        </w:rPr>
        <w:t>Revenue from product sales to distributors is not recognized until the return privilege has expired or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40" w:lineRule="exact"/>
        <w:rPr>
          <w:sz w:val="20"/>
          <w:szCs w:val="20"/>
          <w:color w:val="auto"/>
        </w:rPr>
      </w:pPr>
    </w:p>
    <w:p>
      <w:pPr>
        <w:ind w:right="1179"/>
        <w:spacing w:after="0" w:line="205" w:lineRule="auto"/>
        <w:rPr>
          <w:sz w:val="20"/>
          <w:szCs w:val="20"/>
          <w:color w:val="auto"/>
        </w:rPr>
      </w:pPr>
      <w:r>
        <w:rPr>
          <w:rFonts w:ascii="Arial" w:cs="Arial" w:eastAsia="Arial" w:hAnsi="Arial"/>
          <w:sz w:val="22"/>
          <w:szCs w:val="22"/>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35" w:lineRule="exact"/>
        <w:rPr>
          <w:sz w:val="20"/>
          <w:szCs w:val="20"/>
          <w:color w:val="auto"/>
        </w:rPr>
      </w:pPr>
    </w:p>
    <w:p>
      <w:pPr>
        <w:ind w:right="1519"/>
        <w:spacing w:after="0" w:line="237" w:lineRule="auto"/>
        <w:rPr>
          <w:sz w:val="20"/>
          <w:szCs w:val="20"/>
          <w:color w:val="auto"/>
        </w:rPr>
      </w:pPr>
      <w:r>
        <w:rPr>
          <w:rFonts w:ascii="Arial" w:cs="Arial" w:eastAsia="Arial" w:hAnsi="Arial"/>
          <w:sz w:val="21"/>
          <w:szCs w:val="21"/>
          <w:color w:val="auto"/>
        </w:rPr>
        <w:t>The amount of deferred cost of goods sold was included in consigned inventory. The following table details the amount of deferred revenue, cost of goods sold, and gross profit: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6"/>
                <w:szCs w:val="16"/>
                <w:color w:val="auto"/>
              </w:rPr>
            </w:pPr>
          </w:p>
        </w:tc>
      </w:tr>
      <w:tr>
        <w:trPr>
          <w:trHeight w:val="201"/>
        </w:trPr>
        <w:tc>
          <w:tcPr>
            <w:tcW w:w="3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r>
      <w:tr>
        <w:trPr>
          <w:trHeight w:val="223"/>
        </w:trPr>
        <w:tc>
          <w:tcPr>
            <w:tcW w:w="3280" w:type="dxa"/>
            <w:vAlign w:val="bottom"/>
            <w:shd w:val="clear" w:color="auto" w:fill="A0C4DA"/>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A0C4DA"/>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A0C4DA"/>
          </w:tcPr>
          <w:p>
            <w:pPr>
              <w:jc w:val="right"/>
              <w:ind w:right="137"/>
              <w:spacing w:after="0"/>
              <w:rPr>
                <w:sz w:val="20"/>
                <w:szCs w:val="20"/>
                <w:color w:val="auto"/>
              </w:rPr>
            </w:pPr>
            <w:r>
              <w:rPr>
                <w:rFonts w:ascii="Arial" w:cs="Arial" w:eastAsia="Arial" w:hAnsi="Arial"/>
                <w:sz w:val="18"/>
                <w:szCs w:val="18"/>
                <w:color w:val="auto"/>
              </w:rPr>
              <w:t>3,404</w:t>
            </w:r>
          </w:p>
        </w:tc>
        <w:tc>
          <w:tcPr>
            <w:tcW w:w="620" w:type="dxa"/>
            <w:vAlign w:val="bottom"/>
            <w:shd w:val="clear" w:color="auto" w:fill="A0C4DA"/>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A0C4DA"/>
          </w:tcPr>
          <w:p>
            <w:pPr>
              <w:jc w:val="right"/>
              <w:ind w:right="254"/>
              <w:spacing w:after="0"/>
              <w:rPr>
                <w:sz w:val="20"/>
                <w:szCs w:val="20"/>
                <w:color w:val="auto"/>
              </w:rPr>
            </w:pPr>
            <w:r>
              <w:rPr>
                <w:rFonts w:ascii="Arial" w:cs="Arial" w:eastAsia="Arial" w:hAnsi="Arial"/>
                <w:sz w:val="18"/>
                <w:szCs w:val="18"/>
                <w:color w:val="auto"/>
                <w:w w:val="88"/>
              </w:rPr>
              <w:t>4,306</w:t>
            </w:r>
          </w:p>
        </w:tc>
      </w:tr>
      <w:tr>
        <w:trPr>
          <w:trHeight w:val="230"/>
        </w:trPr>
        <w:tc>
          <w:tcPr>
            <w:tcW w:w="3280" w:type="dxa"/>
            <w:vAlign w:val="bottom"/>
            <w:tcBorders>
              <w:bottom w:val="single" w:sz="8" w:color="A0C4DA"/>
            </w:tcBorders>
          </w:tcPr>
          <w:p>
            <w:pPr>
              <w:spacing w:after="0"/>
              <w:rPr>
                <w:sz w:val="20"/>
                <w:szCs w:val="20"/>
                <w:color w:val="auto"/>
              </w:rPr>
            </w:pPr>
            <w:r>
              <w:rPr>
                <w:rFonts w:ascii="Arial" w:cs="Arial" w:eastAsia="Arial" w:hAnsi="Arial"/>
                <w:sz w:val="18"/>
                <w:szCs w:val="18"/>
                <w:color w:val="auto"/>
              </w:rPr>
              <w:t>Deferred Cost of Goods Sold</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1,199</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8"/>
              </w:rPr>
              <w:t>1,742</w:t>
            </w:r>
          </w:p>
        </w:tc>
      </w:tr>
      <w:tr>
        <w:trPr>
          <w:trHeight w:val="223"/>
        </w:trPr>
        <w:tc>
          <w:tcPr>
            <w:tcW w:w="3280" w:type="dxa"/>
            <w:vAlign w:val="bottom"/>
            <w:tcBorders>
              <w:bottom w:val="single" w:sz="8" w:color="A0C4DA"/>
            </w:tcBorders>
            <w:shd w:val="clear" w:color="auto" w:fill="A0C4DA"/>
          </w:tcPr>
          <w:p>
            <w:pPr>
              <w:spacing w:after="0" w:line="182" w:lineRule="exact"/>
              <w:rPr>
                <w:sz w:val="20"/>
                <w:szCs w:val="20"/>
                <w:color w:val="auto"/>
              </w:rPr>
            </w:pPr>
            <w:r>
              <w:rPr>
                <w:rFonts w:ascii="Arial" w:cs="Arial" w:eastAsia="Arial" w:hAnsi="Arial"/>
                <w:sz w:val="18"/>
                <w:szCs w:val="18"/>
                <w:color w:val="auto"/>
              </w:rPr>
              <w:t>Deferred Gross Profit</w:t>
            </w:r>
          </w:p>
        </w:tc>
        <w:tc>
          <w:tcPr>
            <w:tcW w:w="460" w:type="dxa"/>
            <w:vAlign w:val="bottom"/>
            <w:tcBorders>
              <w:bottom w:val="single" w:sz="8" w:color="auto"/>
            </w:tcBorders>
            <w:shd w:val="clear" w:color="auto" w:fill="A0C4DA"/>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A0C4DA"/>
          </w:tcPr>
          <w:p>
            <w:pPr>
              <w:jc w:val="right"/>
              <w:ind w:right="137"/>
              <w:spacing w:after="0" w:line="182" w:lineRule="exact"/>
              <w:rPr>
                <w:sz w:val="20"/>
                <w:szCs w:val="20"/>
                <w:color w:val="auto"/>
              </w:rPr>
            </w:pPr>
            <w:r>
              <w:rPr>
                <w:rFonts w:ascii="Arial" w:cs="Arial" w:eastAsia="Arial" w:hAnsi="Arial"/>
                <w:sz w:val="18"/>
                <w:szCs w:val="18"/>
                <w:color w:val="auto"/>
              </w:rPr>
              <w:t>2,205</w:t>
            </w:r>
          </w:p>
        </w:tc>
        <w:tc>
          <w:tcPr>
            <w:tcW w:w="620" w:type="dxa"/>
            <w:vAlign w:val="bottom"/>
            <w:tcBorders>
              <w:bottom w:val="single" w:sz="8" w:color="auto"/>
            </w:tcBorders>
            <w:shd w:val="clear" w:color="auto" w:fill="A0C4DA"/>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A0C4DA"/>
          </w:tcPr>
          <w:p>
            <w:pPr>
              <w:jc w:val="right"/>
              <w:ind w:right="254"/>
              <w:spacing w:after="0" w:line="182" w:lineRule="exact"/>
              <w:rPr>
                <w:sz w:val="20"/>
                <w:szCs w:val="20"/>
                <w:color w:val="auto"/>
              </w:rPr>
            </w:pPr>
            <w:r>
              <w:rPr>
                <w:rFonts w:ascii="Arial" w:cs="Arial" w:eastAsia="Arial" w:hAnsi="Arial"/>
                <w:sz w:val="18"/>
                <w:szCs w:val="18"/>
                <w:color w:val="auto"/>
                <w:w w:val="88"/>
              </w:rPr>
              <w:t>2,564</w:t>
            </w:r>
          </w:p>
        </w:tc>
      </w:tr>
    </w:tbl>
    <w:p>
      <w:pPr>
        <w:spacing w:after="0" w:line="168" w:lineRule="exact"/>
        <w:rPr>
          <w:sz w:val="20"/>
          <w:szCs w:val="20"/>
          <w:color w:val="auto"/>
        </w:rPr>
      </w:pPr>
    </w:p>
    <w:p>
      <w:pPr>
        <w:jc w:val="both"/>
        <w:ind w:right="1239"/>
        <w:spacing w:after="0" w:line="214" w:lineRule="auto"/>
        <w:rPr>
          <w:sz w:val="20"/>
          <w:szCs w:val="20"/>
          <w:color w:val="auto"/>
        </w:rPr>
      </w:pPr>
      <w:r>
        <w:rPr>
          <w:rFonts w:ascii="Arial" w:cs="Arial" w:eastAsia="Arial" w:hAnsi="Arial"/>
          <w:sz w:val="22"/>
          <w:szCs w:val="22"/>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34" w:lineRule="exact"/>
        <w:rPr>
          <w:sz w:val="20"/>
          <w:szCs w:val="20"/>
          <w:color w:val="auto"/>
        </w:rPr>
      </w:pPr>
    </w:p>
    <w:p>
      <w:pPr>
        <w:ind w:right="1179"/>
        <w:spacing w:after="0" w:line="211" w:lineRule="auto"/>
        <w:rPr>
          <w:sz w:val="20"/>
          <w:szCs w:val="20"/>
          <w:color w:val="auto"/>
        </w:rPr>
      </w:pPr>
      <w:r>
        <w:rPr>
          <w:rFonts w:ascii="Arial" w:cs="Arial" w:eastAsia="Arial" w:hAnsi="Arial"/>
          <w:sz w:val="21"/>
          <w:szCs w:val="21"/>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27</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39" w:name="page40"/>
    <w:bookmarkEnd w:id="39"/>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Goodwill and Intangible Assets</w:t>
      </w:r>
    </w:p>
    <w:p>
      <w:pPr>
        <w:spacing w:after="0" w:line="199" w:lineRule="exact"/>
        <w:rPr>
          <w:sz w:val="20"/>
          <w:szCs w:val="20"/>
          <w:color w:val="auto"/>
        </w:rPr>
      </w:pPr>
    </w:p>
    <w:p>
      <w:pPr>
        <w:ind w:right="1159"/>
        <w:spacing w:after="0" w:line="229" w:lineRule="auto"/>
        <w:rPr>
          <w:sz w:val="20"/>
          <w:szCs w:val="20"/>
          <w:color w:val="auto"/>
        </w:rPr>
      </w:pPr>
      <w:r>
        <w:rPr>
          <w:rFonts w:ascii="Arial" w:cs="Arial" w:eastAsia="Arial" w:hAnsi="Arial"/>
          <w:sz w:val="19"/>
          <w:szCs w:val="19"/>
          <w:color w:val="auto"/>
        </w:rPr>
        <w:t>We allocated the purchase price for the acquisition of NetStreams, Inc.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association with the acquisition of NetStreams, $726,000 and $400,000 have been recorded as goodwill and intangible assets with indefinite useful life, respectively. With respect to the MagicBox acquisition, $427,000 and $159,000 have been recorded as goodwill and intangible assets with indefinite useful life, respectively. In response to changes in industry, technology and competitive circumstances, we might be required to exit or dispose of the assets acquired through the NetStreams or MagicBox acquisitions, which could result in an impairment of goodwill and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Long-Lived Assets</w:t>
      </w:r>
    </w:p>
    <w:p>
      <w:pPr>
        <w:spacing w:after="0" w:line="158" w:lineRule="exact"/>
        <w:rPr>
          <w:sz w:val="20"/>
          <w:szCs w:val="20"/>
          <w:color w:val="auto"/>
        </w:rPr>
      </w:pPr>
    </w:p>
    <w:p>
      <w:pPr>
        <w:ind w:right="1139"/>
        <w:spacing w:after="0" w:line="229" w:lineRule="auto"/>
        <w:rPr>
          <w:sz w:val="20"/>
          <w:szCs w:val="20"/>
          <w:color w:val="auto"/>
        </w:rPr>
      </w:pPr>
      <w:r>
        <w:rPr>
          <w:rFonts w:ascii="Arial" w:cs="Arial" w:eastAsia="Arial" w:hAnsi="Arial"/>
          <w:sz w:val="19"/>
          <w:szCs w:val="19"/>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for Income Taxes</w:t>
      </w:r>
    </w:p>
    <w:p>
      <w:pPr>
        <w:spacing w:after="0" w:line="199" w:lineRule="exact"/>
        <w:rPr>
          <w:sz w:val="20"/>
          <w:szCs w:val="20"/>
          <w:color w:val="auto"/>
        </w:rPr>
      </w:pPr>
    </w:p>
    <w:p>
      <w:pPr>
        <w:ind w:right="1199"/>
        <w:spacing w:after="0" w:line="208" w:lineRule="auto"/>
        <w:rPr>
          <w:sz w:val="20"/>
          <w:szCs w:val="20"/>
          <w:color w:val="auto"/>
        </w:rPr>
      </w:pPr>
      <w:r>
        <w:rPr>
          <w:rFonts w:ascii="Arial" w:cs="Arial" w:eastAsia="Arial" w:hAnsi="Arial"/>
          <w:sz w:val="21"/>
          <w:szCs w:val="21"/>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36" w:lineRule="exact"/>
        <w:rPr>
          <w:sz w:val="20"/>
          <w:szCs w:val="20"/>
          <w:color w:val="auto"/>
        </w:rPr>
      </w:pPr>
    </w:p>
    <w:p>
      <w:pPr>
        <w:ind w:right="1199"/>
        <w:spacing w:after="0" w:line="210" w:lineRule="auto"/>
        <w:rPr>
          <w:sz w:val="20"/>
          <w:szCs w:val="20"/>
          <w:color w:val="auto"/>
        </w:rPr>
      </w:pPr>
      <w:r>
        <w:rPr>
          <w:rFonts w:ascii="Arial" w:cs="Arial" w:eastAsia="Arial" w:hAnsi="Arial"/>
          <w:sz w:val="21"/>
          <w:szCs w:val="21"/>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2011 and determined that based upon available evidence it is more likely than not that certain of our deferred tax assets related to capital loss carryovers and state research and development credits will not be realized and accordingly we have recorded a valuation allowance against these deferred tax assets in the amount of $1,065,000. Please refer to </w:t>
      </w:r>
      <w:r>
        <w:rPr>
          <w:rFonts w:ascii="Arial" w:cs="Arial" w:eastAsia="Arial" w:hAnsi="Arial"/>
          <w:sz w:val="21"/>
          <w:szCs w:val="21"/>
          <w:u w:val="single" w:color="auto"/>
          <w:color w:val="0000FF"/>
        </w:rPr>
        <w:t>Note 11 - Income Taxes</w:t>
      </w:r>
      <w:r>
        <w:rPr>
          <w:rFonts w:ascii="Arial" w:cs="Arial" w:eastAsia="Arial" w:hAnsi="Arial"/>
          <w:sz w:val="21"/>
          <w:szCs w:val="21"/>
          <w:color w:val="auto"/>
        </w:rPr>
        <w:t xml:space="preserve"> in the Notes to Consolidated Financial Statements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Lower-of-Cost or Market Adjustments and Reserves for Excess and Obsolete Inventory</w:t>
      </w:r>
    </w:p>
    <w:p>
      <w:pPr>
        <w:spacing w:after="0" w:line="170" w:lineRule="exact"/>
        <w:rPr>
          <w:sz w:val="20"/>
          <w:szCs w:val="20"/>
          <w:color w:val="auto"/>
        </w:rPr>
      </w:pPr>
    </w:p>
    <w:p>
      <w:pPr>
        <w:ind w:right="1139"/>
        <w:spacing w:after="0" w:line="219" w:lineRule="auto"/>
        <w:rPr>
          <w:sz w:val="20"/>
          <w:szCs w:val="20"/>
          <w:color w:val="auto"/>
        </w:rPr>
      </w:pPr>
      <w:r>
        <w:rPr>
          <w:rFonts w:ascii="Arial" w:cs="Arial" w:eastAsia="Arial" w:hAnsi="Arial"/>
          <w:sz w:val="21"/>
          <w:szCs w:val="21"/>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31" w:lineRule="exact"/>
        <w:rPr>
          <w:sz w:val="20"/>
          <w:szCs w:val="20"/>
          <w:color w:val="auto"/>
        </w:rPr>
      </w:pPr>
    </w:p>
    <w:p>
      <w:pPr>
        <w:jc w:val="both"/>
        <w:ind w:right="1419"/>
        <w:spacing w:after="0" w:line="214" w:lineRule="auto"/>
        <w:rPr>
          <w:sz w:val="20"/>
          <w:szCs w:val="20"/>
          <w:color w:val="auto"/>
        </w:rPr>
      </w:pPr>
      <w:r>
        <w:rPr>
          <w:rFonts w:ascii="Arial" w:cs="Arial" w:eastAsia="Arial" w:hAnsi="Arial"/>
          <w:sz w:val="22"/>
          <w:szCs w:val="22"/>
          <w:color w:val="auto"/>
        </w:rPr>
        <w:t>We perform a quarterly analysis of obsolete and slow-moving inventory to determine if any inventory needs to be written down. In general, we write-down our excess and obsolete inventory by an amount that is equal to the difference between the</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28</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40" w:name="page41"/>
    <w:bookmarkEnd w:id="40"/>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2" w:lineRule="exact"/>
        <w:rPr>
          <w:sz w:val="20"/>
          <w:szCs w:val="20"/>
          <w:color w:val="auto"/>
        </w:rPr>
      </w:pPr>
    </w:p>
    <w:p>
      <w:pPr>
        <w:ind w:right="1279"/>
        <w:spacing w:after="0" w:line="228" w:lineRule="auto"/>
        <w:rPr>
          <w:sz w:val="20"/>
          <w:szCs w:val="20"/>
          <w:color w:val="auto"/>
        </w:rPr>
      </w:pPr>
      <w:r>
        <w:rPr>
          <w:rFonts w:ascii="Arial" w:cs="Arial" w:eastAsia="Arial" w:hAnsi="Arial"/>
          <w:sz w:val="19"/>
          <w:szCs w:val="19"/>
          <w:color w:val="auto"/>
        </w:rPr>
        <w:t>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Payments</w:t>
      </w:r>
    </w:p>
    <w:p>
      <w:pPr>
        <w:spacing w:after="0" w:line="158" w:lineRule="exact"/>
        <w:rPr>
          <w:sz w:val="20"/>
          <w:szCs w:val="20"/>
          <w:color w:val="auto"/>
        </w:rPr>
      </w:pPr>
    </w:p>
    <w:p>
      <w:pPr>
        <w:ind w:right="1159"/>
        <w:spacing w:after="0" w:line="233" w:lineRule="auto"/>
        <w:rPr>
          <w:sz w:val="20"/>
          <w:szCs w:val="20"/>
          <w:color w:val="auto"/>
        </w:rPr>
      </w:pPr>
      <w:r>
        <w:rPr>
          <w:rFonts w:ascii="Arial" w:cs="Arial" w:eastAsia="Arial" w:hAnsi="Arial"/>
          <w:sz w:val="19"/>
          <w:szCs w:val="19"/>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36" w:lineRule="exact"/>
        <w:rPr>
          <w:sz w:val="20"/>
          <w:szCs w:val="20"/>
          <w:color w:val="auto"/>
        </w:rPr>
      </w:pPr>
    </w:p>
    <w:p>
      <w:pPr>
        <w:ind w:right="1299"/>
        <w:spacing w:after="0" w:line="211" w:lineRule="auto"/>
        <w:rPr>
          <w:sz w:val="20"/>
          <w:szCs w:val="20"/>
          <w:color w:val="auto"/>
        </w:rPr>
      </w:pPr>
      <w:r>
        <w:rPr>
          <w:rFonts w:ascii="Arial" w:cs="Arial" w:eastAsia="Arial" w:hAnsi="Arial"/>
          <w:sz w:val="21"/>
          <w:szCs w:val="21"/>
          <w:color w:val="auto"/>
        </w:rPr>
        <w:t xml:space="preserve">In December 2004, the FASB issued guidelines now contained under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ASC Topic 718 establishes standards for the accounting for</w:t>
      </w:r>
      <w:r>
        <w:rPr>
          <w:rFonts w:ascii="Arial" w:cs="Arial" w:eastAsia="Arial" w:hAnsi="Arial"/>
          <w:sz w:val="21"/>
          <w:szCs w:val="21"/>
          <w:i w:val="1"/>
          <w:iCs w:val="1"/>
          <w:color w:val="auto"/>
        </w:rPr>
        <w:t xml:space="preserve"> </w:t>
      </w:r>
      <w:r>
        <w:rPr>
          <w:rFonts w:ascii="Arial" w:cs="Arial" w:eastAsia="Arial" w:hAnsi="Arial"/>
          <w:sz w:val="21"/>
          <w:szCs w:val="21"/>
          <w:color w:val="auto"/>
        </w:rPr>
        <w:t>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35" w:lineRule="exact"/>
        <w:rPr>
          <w:sz w:val="20"/>
          <w:szCs w:val="20"/>
          <w:color w:val="auto"/>
        </w:rPr>
      </w:pPr>
    </w:p>
    <w:p>
      <w:pPr>
        <w:ind w:right="1239"/>
        <w:spacing w:after="0" w:line="211" w:lineRule="auto"/>
        <w:rPr>
          <w:sz w:val="20"/>
          <w:szCs w:val="20"/>
          <w:color w:val="auto"/>
        </w:rPr>
      </w:pPr>
      <w:r>
        <w:rPr>
          <w:rFonts w:ascii="Arial" w:cs="Arial" w:eastAsia="Arial" w:hAnsi="Arial"/>
          <w:sz w:val="21"/>
          <w:szCs w:val="21"/>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35" w:lineRule="exact"/>
        <w:rPr>
          <w:sz w:val="20"/>
          <w:szCs w:val="20"/>
          <w:color w:val="auto"/>
        </w:rPr>
      </w:pPr>
    </w:p>
    <w:p>
      <w:pPr>
        <w:ind w:right="1339"/>
        <w:spacing w:after="0" w:line="201" w:lineRule="auto"/>
        <w:rPr>
          <w:sz w:val="20"/>
          <w:szCs w:val="20"/>
          <w:color w:val="auto"/>
        </w:rPr>
      </w:pPr>
      <w:r>
        <w:rPr>
          <w:rFonts w:ascii="Arial" w:cs="Arial" w:eastAsia="Arial" w:hAnsi="Arial"/>
          <w:sz w:val="22"/>
          <w:szCs w:val="22"/>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38" w:lineRule="exact"/>
        <w:rPr>
          <w:sz w:val="20"/>
          <w:szCs w:val="20"/>
          <w:color w:val="auto"/>
        </w:rPr>
      </w:pPr>
    </w:p>
    <w:p>
      <w:pPr>
        <w:ind w:right="1159"/>
        <w:spacing w:after="0" w:line="230" w:lineRule="auto"/>
        <w:rPr>
          <w:sz w:val="20"/>
          <w:szCs w:val="20"/>
          <w:color w:val="auto"/>
        </w:rPr>
      </w:pPr>
      <w:r>
        <w:rPr>
          <w:rFonts w:ascii="Arial" w:cs="Arial" w:eastAsia="Arial" w:hAnsi="Arial"/>
          <w:sz w:val="19"/>
          <w:szCs w:val="19"/>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29</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41" w:name="page42"/>
    <w:bookmarkEnd w:id="41"/>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RECENTLY ISSUED ACCOUNTING PRONOUNCEMENTS</w:t>
      </w:r>
    </w:p>
    <w:p>
      <w:pPr>
        <w:spacing w:after="0" w:line="158" w:lineRule="exact"/>
        <w:rPr>
          <w:sz w:val="20"/>
          <w:szCs w:val="20"/>
          <w:color w:val="auto"/>
        </w:rPr>
      </w:pPr>
    </w:p>
    <w:p>
      <w:pPr>
        <w:ind w:right="1219"/>
        <w:spacing w:after="0" w:line="214" w:lineRule="auto"/>
        <w:rPr>
          <w:sz w:val="20"/>
          <w:szCs w:val="20"/>
          <w:color w:val="auto"/>
        </w:rPr>
      </w:pPr>
      <w:r>
        <w:rPr>
          <w:rFonts w:ascii="Arial" w:cs="Arial" w:eastAsia="Arial" w:hAnsi="Arial"/>
          <w:sz w:val="22"/>
          <w:szCs w:val="22"/>
          <w:color w:val="auto"/>
        </w:rPr>
        <w:t>After evaluating the recent accounting pronouncements through the date of this filing, the Company has concluded that application of these pronouncements will have no material impact on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30</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42" w:name="page43"/>
    <w:bookmarkEnd w:id="42"/>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58" w:lineRule="exact"/>
        <w:rPr>
          <w:sz w:val="20"/>
          <w:szCs w:val="20"/>
          <w:color w:val="auto"/>
        </w:rPr>
      </w:pPr>
    </w:p>
    <w:p>
      <w:pPr>
        <w:ind w:right="1479"/>
        <w:spacing w:after="0" w:line="226" w:lineRule="auto"/>
        <w:rPr>
          <w:sz w:val="20"/>
          <w:szCs w:val="20"/>
          <w:color w:val="auto"/>
        </w:rPr>
      </w:pPr>
      <w:r>
        <w:rPr>
          <w:rFonts w:ascii="Arial" w:cs="Arial" w:eastAsia="Arial" w:hAnsi="Arial"/>
          <w:sz w:val="22"/>
          <w:szCs w:val="22"/>
          <w:color w:val="auto"/>
        </w:rPr>
        <w:t xml:space="preserve">The response to this item is submitted as a </w:t>
      </w:r>
      <w:r>
        <w:rPr>
          <w:rFonts w:ascii="Arial" w:cs="Arial" w:eastAsia="Arial" w:hAnsi="Arial"/>
          <w:sz w:val="22"/>
          <w:szCs w:val="22"/>
          <w:u w:val="single" w:color="auto"/>
          <w:color w:val="0000FF"/>
        </w:rPr>
        <w:t>separate section</w:t>
      </w:r>
      <w:r>
        <w:rPr>
          <w:rFonts w:ascii="Arial" w:cs="Arial" w:eastAsia="Arial" w:hAnsi="Arial"/>
          <w:sz w:val="22"/>
          <w:szCs w:val="22"/>
          <w:color w:val="auto"/>
        </w:rPr>
        <w:t xml:space="preserve"> of this Form 10-K beginning on Page F-1 and is incorporated in this Item 8 by reference.</w:t>
      </w:r>
    </w:p>
    <w:p>
      <w:pPr>
        <w:spacing w:after="0" w:line="125" w:lineRule="exact"/>
        <w:rPr>
          <w:sz w:val="20"/>
          <w:szCs w:val="20"/>
          <w:color w:val="auto"/>
        </w:rPr>
      </w:pPr>
    </w:p>
    <w:p>
      <w:pPr>
        <w:ind w:right="1219"/>
        <w:spacing w:after="0" w:line="22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Evaluation of Disclosure Controls and Procedures</w:t>
      </w:r>
    </w:p>
    <w:p>
      <w:pPr>
        <w:spacing w:after="0" w:line="152" w:lineRule="exact"/>
        <w:rPr>
          <w:sz w:val="20"/>
          <w:szCs w:val="20"/>
          <w:color w:val="auto"/>
        </w:rPr>
      </w:pPr>
    </w:p>
    <w:p>
      <w:pPr>
        <w:ind w:right="1239"/>
        <w:spacing w:after="0" w:line="229" w:lineRule="auto"/>
        <w:rPr>
          <w:sz w:val="20"/>
          <w:szCs w:val="20"/>
          <w:color w:val="auto"/>
        </w:rPr>
      </w:pPr>
      <w:r>
        <w:rPr>
          <w:rFonts w:ascii="Arial" w:cs="Arial" w:eastAsia="Arial" w:hAnsi="Arial"/>
          <w:sz w:val="19"/>
          <w:szCs w:val="19"/>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2011.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38" w:lineRule="exact"/>
        <w:rPr>
          <w:sz w:val="20"/>
          <w:szCs w:val="20"/>
          <w:color w:val="auto"/>
        </w:rPr>
      </w:pPr>
    </w:p>
    <w:p>
      <w:pPr>
        <w:ind w:right="1299"/>
        <w:spacing w:after="0" w:line="210" w:lineRule="auto"/>
        <w:rPr>
          <w:sz w:val="20"/>
          <w:szCs w:val="20"/>
          <w:color w:val="auto"/>
        </w:rPr>
      </w:pPr>
      <w:r>
        <w:rPr>
          <w:rFonts w:ascii="Arial" w:cs="Arial" w:eastAsia="Arial" w:hAnsi="Arial"/>
          <w:sz w:val="21"/>
          <w:szCs w:val="21"/>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Management’s Annual Report on Internal Control Over Financial Reporting</w:t>
      </w:r>
    </w:p>
    <w:p>
      <w:pPr>
        <w:spacing w:after="0" w:line="152" w:lineRule="exact"/>
        <w:rPr>
          <w:sz w:val="20"/>
          <w:szCs w:val="20"/>
          <w:color w:val="auto"/>
        </w:rPr>
      </w:pPr>
    </w:p>
    <w:p>
      <w:pPr>
        <w:ind w:right="1179"/>
        <w:spacing w:after="0" w:line="215" w:lineRule="auto"/>
        <w:rPr>
          <w:sz w:val="20"/>
          <w:szCs w:val="20"/>
          <w:color w:val="auto"/>
        </w:rPr>
      </w:pPr>
      <w:r>
        <w:rPr>
          <w:rFonts w:ascii="Arial" w:cs="Arial" w:eastAsia="Arial" w:hAnsi="Arial"/>
          <w:sz w:val="21"/>
          <w:szCs w:val="21"/>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34" w:lineRule="exact"/>
        <w:rPr>
          <w:sz w:val="20"/>
          <w:szCs w:val="20"/>
          <w:color w:val="auto"/>
        </w:rPr>
      </w:pPr>
    </w:p>
    <w:p>
      <w:pPr>
        <w:ind w:right="1439"/>
        <w:spacing w:after="0" w:line="219" w:lineRule="auto"/>
        <w:rPr>
          <w:sz w:val="20"/>
          <w:szCs w:val="20"/>
          <w:color w:val="auto"/>
        </w:rPr>
      </w:pPr>
      <w:r>
        <w:rPr>
          <w:rFonts w:ascii="Arial" w:cs="Arial" w:eastAsia="Arial" w:hAnsi="Arial"/>
          <w:sz w:val="21"/>
          <w:szCs w:val="2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right="1239"/>
        <w:spacing w:after="0" w:line="238" w:lineRule="auto"/>
        <w:rPr>
          <w:sz w:val="20"/>
          <w:szCs w:val="20"/>
          <w:color w:val="auto"/>
        </w:rPr>
      </w:pPr>
      <w:r>
        <w:rPr>
          <w:rFonts w:ascii="Arial" w:cs="Arial" w:eastAsia="Arial" w:hAnsi="Arial"/>
          <w:sz w:val="19"/>
          <w:szCs w:val="19"/>
          <w:color w:val="auto"/>
        </w:rPr>
        <w:t xml:space="preserve">Our management conducted an evaluation of the effectiveness of our internal control over financial reporting as of December 31, 2011 based on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 Based on our assessment using those criteria, management concluded that the design and operation of our internal control over financial reporting are effective as of December 31, 2011.</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31</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43" w:name="page44"/>
    <w:bookmarkEnd w:id="43"/>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w:t>
      </w:r>
    </w:p>
    <w:p>
      <w:pPr>
        <w:spacing w:after="0" w:line="152" w:lineRule="exact"/>
        <w:rPr>
          <w:sz w:val="20"/>
          <w:szCs w:val="20"/>
          <w:color w:val="auto"/>
        </w:rPr>
      </w:pPr>
    </w:p>
    <w:p>
      <w:pPr>
        <w:jc w:val="both"/>
        <w:ind w:right="1399"/>
        <w:spacing w:after="0" w:line="214" w:lineRule="auto"/>
        <w:rPr>
          <w:sz w:val="20"/>
          <w:szCs w:val="20"/>
          <w:color w:val="auto"/>
        </w:rPr>
      </w:pPr>
      <w:r>
        <w:rPr>
          <w:rFonts w:ascii="Arial" w:cs="Arial" w:eastAsia="Arial" w:hAnsi="Arial"/>
          <w:sz w:val="22"/>
          <w:szCs w:val="22"/>
          <w:color w:val="auto"/>
        </w:rPr>
        <w:t>There were no significant changes in our internal control over financial reporting that occurred during the fourth fiscal quarter that have materially affected, or are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32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44" w:name="page45"/>
    <w:bookmarkEnd w:id="44"/>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PART III</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set forth certain information regarding our directors and executive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1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Pr>
          <w:p>
            <w:pPr>
              <w:spacing w:after="0"/>
              <w:rPr>
                <w:sz w:val="19"/>
                <w:szCs w:val="19"/>
                <w:color w:val="auto"/>
              </w:rPr>
            </w:pPr>
          </w:p>
        </w:tc>
        <w:tc>
          <w:tcPr>
            <w:tcW w:w="4000" w:type="dxa"/>
            <w:vAlign w:val="bottom"/>
            <w:tcBorders>
              <w:bottom w:val="single" w:sz="8" w:color="auto"/>
            </w:tcBorders>
          </w:tcPr>
          <w:p>
            <w:pPr>
              <w:ind w:left="1720"/>
              <w:spacing w:after="0"/>
              <w:rPr>
                <w:sz w:val="20"/>
                <w:szCs w:val="20"/>
                <w:color w:val="auto"/>
              </w:rPr>
            </w:pPr>
            <w:r>
              <w:rPr>
                <w:rFonts w:ascii="Arial" w:cs="Arial" w:eastAsia="Arial" w:hAnsi="Arial"/>
                <w:sz w:val="16"/>
                <w:szCs w:val="16"/>
                <w:b w:val="1"/>
                <w:bCs w:val="1"/>
                <w:color w:val="auto"/>
              </w:rPr>
              <w:t>Position</w:t>
            </w:r>
          </w:p>
        </w:tc>
        <w:tc>
          <w:tcPr>
            <w:tcW w:w="140" w:type="dxa"/>
            <w:vAlign w:val="bottom"/>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Director or Officer Since</w:t>
            </w:r>
          </w:p>
        </w:tc>
      </w:tr>
      <w:tr>
        <w:trPr>
          <w:trHeight w:val="257"/>
        </w:trPr>
        <w:tc>
          <w:tcPr>
            <w:tcW w:w="20" w:type="dxa"/>
            <w:vAlign w:val="bottom"/>
          </w:tcPr>
          <w:p>
            <w:pPr>
              <w:spacing w:after="0"/>
              <w:rPr>
                <w:sz w:val="22"/>
                <w:szCs w:val="22"/>
                <w:color w:val="auto"/>
              </w:rPr>
            </w:pPr>
          </w:p>
        </w:tc>
        <w:tc>
          <w:tcPr>
            <w:tcW w:w="2140" w:type="dxa"/>
            <w:vAlign w:val="bottom"/>
            <w:shd w:val="clear" w:color="auto" w:fill="A0C4DA"/>
          </w:tcPr>
          <w:p>
            <w:pPr>
              <w:spacing w:after="0"/>
              <w:rPr>
                <w:sz w:val="20"/>
                <w:szCs w:val="20"/>
                <w:color w:val="auto"/>
              </w:rPr>
            </w:pPr>
            <w:r>
              <w:rPr>
                <w:rFonts w:ascii="Arial" w:cs="Arial" w:eastAsia="Arial" w:hAnsi="Arial"/>
                <w:sz w:val="18"/>
                <w:szCs w:val="18"/>
                <w:color w:val="auto"/>
              </w:rPr>
              <w:t>Zeynep “Zee” Hakimoglu</w:t>
            </w:r>
          </w:p>
        </w:tc>
        <w:tc>
          <w:tcPr>
            <w:tcW w:w="100" w:type="dxa"/>
            <w:vAlign w:val="bottom"/>
            <w:shd w:val="clear" w:color="auto" w:fill="A0C4DA"/>
          </w:tcPr>
          <w:p>
            <w:pPr>
              <w:spacing w:after="0"/>
              <w:rPr>
                <w:sz w:val="22"/>
                <w:szCs w:val="22"/>
                <w:color w:val="auto"/>
              </w:rPr>
            </w:pPr>
          </w:p>
        </w:tc>
        <w:tc>
          <w:tcPr>
            <w:tcW w:w="5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A0C4DA"/>
          </w:tcPr>
          <w:p>
            <w:pPr>
              <w:spacing w:after="0"/>
              <w:rPr>
                <w:sz w:val="22"/>
                <w:szCs w:val="22"/>
                <w:color w:val="auto"/>
              </w:rPr>
            </w:pPr>
          </w:p>
        </w:tc>
        <w:tc>
          <w:tcPr>
            <w:tcW w:w="4000" w:type="dxa"/>
            <w:vAlign w:val="bottom"/>
            <w:shd w:val="clear" w:color="auto" w:fill="A0C4DA"/>
          </w:tcPr>
          <w:p>
            <w:pPr>
              <w:spacing w:after="0" w:line="256" w:lineRule="exact"/>
              <w:rPr>
                <w:sz w:val="20"/>
                <w:szCs w:val="20"/>
                <w:color w:val="auto"/>
              </w:rPr>
            </w:pPr>
            <w:r>
              <w:rPr>
                <w:rFonts w:ascii="Arial" w:cs="Arial" w:eastAsia="Arial" w:hAnsi="Arial"/>
                <w:sz w:val="18"/>
                <w:szCs w:val="18"/>
                <w:color w:val="auto"/>
                <w:w w:val="95"/>
              </w:rPr>
              <w:t>Chairman, Chief Executive Officer, and President</w:t>
            </w:r>
            <w:r>
              <w:rPr>
                <w:rFonts w:ascii="Arial" w:cs="Arial" w:eastAsia="Arial" w:hAnsi="Arial"/>
                <w:sz w:val="29"/>
                <w:szCs w:val="29"/>
                <w:color w:val="auto"/>
                <w:w w:val="95"/>
                <w:vertAlign w:val="superscript"/>
              </w:rPr>
              <w:t>(4)</w:t>
            </w:r>
          </w:p>
        </w:tc>
        <w:tc>
          <w:tcPr>
            <w:tcW w:w="140" w:type="dxa"/>
            <w:vAlign w:val="bottom"/>
            <w:shd w:val="clear" w:color="auto" w:fill="A0C4DA"/>
          </w:tcPr>
          <w:p>
            <w:pPr>
              <w:spacing w:after="0"/>
              <w:rPr>
                <w:sz w:val="22"/>
                <w:szCs w:val="22"/>
                <w:color w:val="auto"/>
              </w:rPr>
            </w:pPr>
          </w:p>
        </w:tc>
        <w:tc>
          <w:tcPr>
            <w:tcW w:w="18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88"/>
              </w:rPr>
              <w:t>See Note 4</w:t>
            </w:r>
          </w:p>
        </w:tc>
      </w:tr>
      <w:tr>
        <w:trPr>
          <w:trHeight w:val="257"/>
        </w:trPr>
        <w:tc>
          <w:tcPr>
            <w:tcW w:w="2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Brad R. Baldwin</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55</w:t>
            </w:r>
          </w:p>
        </w:tc>
        <w:tc>
          <w:tcPr>
            <w:tcW w:w="4100" w:type="dxa"/>
            <w:vAlign w:val="bottom"/>
            <w:gridSpan w:val="2"/>
          </w:tcPr>
          <w:p>
            <w:pPr>
              <w:ind w:left="100"/>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20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1988</w:t>
            </w:r>
          </w:p>
        </w:tc>
      </w:tr>
      <w:tr>
        <w:trPr>
          <w:trHeight w:val="257"/>
        </w:trPr>
        <w:tc>
          <w:tcPr>
            <w:tcW w:w="20" w:type="dxa"/>
            <w:vAlign w:val="bottom"/>
          </w:tcPr>
          <w:p>
            <w:pPr>
              <w:spacing w:after="0"/>
              <w:rPr>
                <w:sz w:val="22"/>
                <w:szCs w:val="22"/>
                <w:color w:val="auto"/>
              </w:rPr>
            </w:pPr>
          </w:p>
        </w:tc>
        <w:tc>
          <w:tcPr>
            <w:tcW w:w="2140" w:type="dxa"/>
            <w:vAlign w:val="bottom"/>
            <w:shd w:val="clear" w:color="auto" w:fill="A0C4DA"/>
          </w:tcPr>
          <w:p>
            <w:pPr>
              <w:spacing w:after="0"/>
              <w:rPr>
                <w:sz w:val="20"/>
                <w:szCs w:val="20"/>
                <w:color w:val="auto"/>
              </w:rPr>
            </w:pPr>
            <w:r>
              <w:rPr>
                <w:rFonts w:ascii="Arial" w:cs="Arial" w:eastAsia="Arial" w:hAnsi="Arial"/>
                <w:sz w:val="18"/>
                <w:szCs w:val="18"/>
                <w:color w:val="auto"/>
              </w:rPr>
              <w:t>Larry R. Hendricks</w:t>
            </w:r>
          </w:p>
        </w:tc>
        <w:tc>
          <w:tcPr>
            <w:tcW w:w="680" w:type="dxa"/>
            <w:vAlign w:val="bottom"/>
            <w:gridSpan w:val="2"/>
            <w:shd w:val="clear" w:color="auto" w:fill="A0C4DA"/>
          </w:tcPr>
          <w:p>
            <w:pPr>
              <w:jc w:val="center"/>
              <w:ind w:left="10"/>
              <w:spacing w:after="0"/>
              <w:rPr>
                <w:sz w:val="20"/>
                <w:szCs w:val="20"/>
                <w:color w:val="auto"/>
              </w:rPr>
            </w:pPr>
            <w:r>
              <w:rPr>
                <w:rFonts w:ascii="Arial" w:cs="Arial" w:eastAsia="Arial" w:hAnsi="Arial"/>
                <w:sz w:val="18"/>
                <w:szCs w:val="18"/>
                <w:color w:val="auto"/>
                <w:w w:val="89"/>
              </w:rPr>
              <w:t>68</w:t>
            </w:r>
          </w:p>
        </w:tc>
        <w:tc>
          <w:tcPr>
            <w:tcW w:w="4100" w:type="dxa"/>
            <w:vAlign w:val="bottom"/>
            <w:gridSpan w:val="2"/>
            <w:shd w:val="clear" w:color="auto" w:fill="A0C4DA"/>
          </w:tcPr>
          <w:p>
            <w:pPr>
              <w:ind w:left="100"/>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2020" w:type="dxa"/>
            <w:vAlign w:val="bottom"/>
            <w:gridSpan w:val="2"/>
            <w:shd w:val="clear" w:color="auto" w:fill="A0C4DA"/>
          </w:tcPr>
          <w:p>
            <w:pPr>
              <w:jc w:val="center"/>
              <w:ind w:left="50"/>
              <w:spacing w:after="0"/>
              <w:rPr>
                <w:sz w:val="20"/>
                <w:szCs w:val="20"/>
                <w:color w:val="auto"/>
              </w:rPr>
            </w:pPr>
            <w:r>
              <w:rPr>
                <w:rFonts w:ascii="Arial" w:cs="Arial" w:eastAsia="Arial" w:hAnsi="Arial"/>
                <w:sz w:val="18"/>
                <w:szCs w:val="18"/>
                <w:color w:val="auto"/>
                <w:w w:val="89"/>
              </w:rPr>
              <w:t>2003</w:t>
            </w:r>
          </w:p>
        </w:tc>
      </w:tr>
      <w:tr>
        <w:trPr>
          <w:trHeight w:val="257"/>
        </w:trPr>
        <w:tc>
          <w:tcPr>
            <w:tcW w:w="2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Scott M. Huntsman</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46</w:t>
            </w:r>
          </w:p>
        </w:tc>
        <w:tc>
          <w:tcPr>
            <w:tcW w:w="4100" w:type="dxa"/>
            <w:vAlign w:val="bottom"/>
            <w:gridSpan w:val="2"/>
          </w:tcPr>
          <w:p>
            <w:pPr>
              <w:ind w:left="100"/>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20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2003</w:t>
            </w:r>
          </w:p>
        </w:tc>
      </w:tr>
      <w:tr>
        <w:trPr>
          <w:trHeight w:val="216"/>
        </w:trPr>
        <w:tc>
          <w:tcPr>
            <w:tcW w:w="20" w:type="dxa"/>
            <w:vAlign w:val="bottom"/>
          </w:tcPr>
          <w:p>
            <w:pPr>
              <w:spacing w:after="0"/>
              <w:rPr>
                <w:sz w:val="18"/>
                <w:szCs w:val="18"/>
                <w:color w:val="auto"/>
              </w:rPr>
            </w:pPr>
          </w:p>
        </w:tc>
        <w:tc>
          <w:tcPr>
            <w:tcW w:w="2140" w:type="dxa"/>
            <w:vAlign w:val="bottom"/>
            <w:shd w:val="clear" w:color="auto" w:fill="A0C4DA"/>
          </w:tcPr>
          <w:p>
            <w:pPr>
              <w:spacing w:after="0"/>
              <w:rPr>
                <w:sz w:val="20"/>
                <w:szCs w:val="20"/>
                <w:color w:val="auto"/>
              </w:rPr>
            </w:pPr>
            <w:r>
              <w:rPr>
                <w:rFonts w:ascii="Arial" w:cs="Arial" w:eastAsia="Arial" w:hAnsi="Arial"/>
                <w:sz w:val="18"/>
                <w:szCs w:val="18"/>
                <w:color w:val="auto"/>
              </w:rPr>
              <w:t>E. Bryan Bagley</w:t>
            </w:r>
          </w:p>
        </w:tc>
        <w:tc>
          <w:tcPr>
            <w:tcW w:w="680" w:type="dxa"/>
            <w:vAlign w:val="bottom"/>
            <w:gridSpan w:val="2"/>
            <w:shd w:val="clear" w:color="auto" w:fill="A0C4DA"/>
          </w:tcPr>
          <w:p>
            <w:pPr>
              <w:jc w:val="center"/>
              <w:ind w:left="10"/>
              <w:spacing w:after="0"/>
              <w:rPr>
                <w:sz w:val="20"/>
                <w:szCs w:val="20"/>
                <w:color w:val="auto"/>
              </w:rPr>
            </w:pPr>
            <w:r>
              <w:rPr>
                <w:rFonts w:ascii="Arial" w:cs="Arial" w:eastAsia="Arial" w:hAnsi="Arial"/>
                <w:sz w:val="18"/>
                <w:szCs w:val="18"/>
                <w:color w:val="auto"/>
                <w:w w:val="89"/>
              </w:rPr>
              <w:t>47</w:t>
            </w:r>
          </w:p>
        </w:tc>
        <w:tc>
          <w:tcPr>
            <w:tcW w:w="4100" w:type="dxa"/>
            <w:vAlign w:val="bottom"/>
            <w:gridSpan w:val="2"/>
            <w:shd w:val="clear" w:color="auto" w:fill="A0C4DA"/>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gridSpan w:val="2"/>
            <w:shd w:val="clear" w:color="auto" w:fill="A0C4DA"/>
          </w:tcPr>
          <w:p>
            <w:pPr>
              <w:jc w:val="center"/>
              <w:ind w:left="50"/>
              <w:spacing w:after="0"/>
              <w:rPr>
                <w:sz w:val="20"/>
                <w:szCs w:val="20"/>
                <w:color w:val="auto"/>
              </w:rPr>
            </w:pPr>
            <w:r>
              <w:rPr>
                <w:rFonts w:ascii="Arial" w:cs="Arial" w:eastAsia="Arial" w:hAnsi="Arial"/>
                <w:sz w:val="18"/>
                <w:szCs w:val="18"/>
                <w:color w:val="auto"/>
                <w:w w:val="89"/>
              </w:rPr>
              <w:t>2009</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Narsi Narayanan</w:t>
            </w: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41</w:t>
            </w:r>
          </w:p>
        </w:tc>
        <w:tc>
          <w:tcPr>
            <w:tcW w:w="4100" w:type="dxa"/>
            <w:vAlign w:val="bottom"/>
            <w:gridSpan w:val="2"/>
          </w:tcPr>
          <w:p>
            <w:pPr>
              <w:ind w:left="100"/>
              <w:spacing w:after="0"/>
              <w:rPr>
                <w:sz w:val="20"/>
                <w:szCs w:val="20"/>
                <w:color w:val="auto"/>
              </w:rPr>
            </w:pPr>
            <w:r>
              <w:rPr>
                <w:rFonts w:ascii="Arial" w:cs="Arial" w:eastAsia="Arial" w:hAnsi="Arial"/>
                <w:sz w:val="18"/>
                <w:szCs w:val="18"/>
                <w:color w:val="auto"/>
                <w:w w:val="97"/>
              </w:rPr>
              <w:t>Vice President of Finance and Corporate Secretary</w:t>
            </w:r>
          </w:p>
        </w:tc>
        <w:tc>
          <w:tcPr>
            <w:tcW w:w="20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2009</w:t>
            </w:r>
          </w:p>
        </w:tc>
      </w:tr>
      <w:tr>
        <w:trPr>
          <w:trHeight w:val="216"/>
        </w:trPr>
        <w:tc>
          <w:tcPr>
            <w:tcW w:w="20" w:type="dxa"/>
            <w:vAlign w:val="bottom"/>
          </w:tcPr>
          <w:p>
            <w:pPr>
              <w:spacing w:after="0"/>
              <w:rPr>
                <w:sz w:val="18"/>
                <w:szCs w:val="18"/>
                <w:color w:val="auto"/>
              </w:rPr>
            </w:pPr>
          </w:p>
        </w:tc>
        <w:tc>
          <w:tcPr>
            <w:tcW w:w="2140" w:type="dxa"/>
            <w:vAlign w:val="bottom"/>
            <w:shd w:val="clear" w:color="auto" w:fill="A0C4DA"/>
          </w:tcPr>
          <w:p>
            <w:pPr>
              <w:spacing w:after="0"/>
              <w:rPr>
                <w:sz w:val="20"/>
                <w:szCs w:val="20"/>
                <w:color w:val="auto"/>
              </w:rPr>
            </w:pPr>
            <w:r>
              <w:rPr>
                <w:rFonts w:ascii="Arial" w:cs="Arial" w:eastAsia="Arial" w:hAnsi="Arial"/>
                <w:sz w:val="18"/>
                <w:szCs w:val="18"/>
                <w:color w:val="auto"/>
              </w:rPr>
              <w:t>Michael E. Braithwaite</w:t>
            </w:r>
          </w:p>
        </w:tc>
        <w:tc>
          <w:tcPr>
            <w:tcW w:w="680" w:type="dxa"/>
            <w:vAlign w:val="bottom"/>
            <w:gridSpan w:val="2"/>
            <w:shd w:val="clear" w:color="auto" w:fill="A0C4DA"/>
          </w:tcPr>
          <w:p>
            <w:pPr>
              <w:jc w:val="center"/>
              <w:ind w:left="10"/>
              <w:spacing w:after="0"/>
              <w:rPr>
                <w:sz w:val="20"/>
                <w:szCs w:val="20"/>
                <w:color w:val="auto"/>
              </w:rPr>
            </w:pPr>
            <w:r>
              <w:rPr>
                <w:rFonts w:ascii="Arial" w:cs="Arial" w:eastAsia="Arial" w:hAnsi="Arial"/>
                <w:sz w:val="18"/>
                <w:szCs w:val="18"/>
                <w:color w:val="auto"/>
                <w:w w:val="89"/>
              </w:rPr>
              <w:t>44</w:t>
            </w:r>
          </w:p>
        </w:tc>
        <w:tc>
          <w:tcPr>
            <w:tcW w:w="4100" w:type="dxa"/>
            <w:vAlign w:val="bottom"/>
            <w:gridSpan w:val="2"/>
            <w:shd w:val="clear" w:color="auto" w:fill="A0C4DA"/>
          </w:tcPr>
          <w:p>
            <w:pPr>
              <w:ind w:left="100"/>
              <w:spacing w:after="0"/>
              <w:rPr>
                <w:sz w:val="20"/>
                <w:szCs w:val="20"/>
                <w:color w:val="auto"/>
              </w:rPr>
            </w:pPr>
            <w:r>
              <w:rPr>
                <w:rFonts w:ascii="Arial" w:cs="Arial" w:eastAsia="Arial" w:hAnsi="Arial"/>
                <w:sz w:val="18"/>
                <w:szCs w:val="18"/>
                <w:color w:val="auto"/>
              </w:rPr>
              <w:t>Chief Strategy Officer</w:t>
            </w:r>
          </w:p>
        </w:tc>
        <w:tc>
          <w:tcPr>
            <w:tcW w:w="2020" w:type="dxa"/>
            <w:vAlign w:val="bottom"/>
            <w:gridSpan w:val="2"/>
            <w:shd w:val="clear" w:color="auto" w:fill="A0C4DA"/>
          </w:tcPr>
          <w:p>
            <w:pPr>
              <w:jc w:val="center"/>
              <w:ind w:left="50"/>
              <w:spacing w:after="0"/>
              <w:rPr>
                <w:sz w:val="20"/>
                <w:szCs w:val="20"/>
                <w:color w:val="auto"/>
              </w:rPr>
            </w:pPr>
            <w:r>
              <w:rPr>
                <w:rFonts w:ascii="Arial" w:cs="Arial" w:eastAsia="Arial" w:hAnsi="Arial"/>
                <w:sz w:val="18"/>
                <w:szCs w:val="18"/>
                <w:color w:val="auto"/>
                <w:w w:val="89"/>
              </w:rPr>
              <w:t>2009</w:t>
            </w:r>
          </w:p>
        </w:tc>
      </w:tr>
      <w:tr>
        <w:trPr>
          <w:trHeight w:val="206"/>
        </w:trPr>
        <w:tc>
          <w:tcPr>
            <w:tcW w:w="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69"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Member of the Audit and Compliance Committee</w:t>
      </w:r>
    </w:p>
    <w:p>
      <w:pPr>
        <w:spacing w:after="0" w:line="8" w:lineRule="exact"/>
        <w:rPr>
          <w:rFonts w:ascii="Arial" w:cs="Arial" w:eastAsia="Arial" w:hAnsi="Arial"/>
          <w:sz w:val="22"/>
          <w:szCs w:val="22"/>
          <w:color w:val="auto"/>
        </w:rPr>
      </w:pPr>
    </w:p>
    <w:p>
      <w:pPr>
        <w:ind w:left="620" w:hanging="612"/>
        <w:spacing w:after="0" w:line="230" w:lineRule="auto"/>
        <w:tabs>
          <w:tab w:leader="none" w:pos="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Member of the Compensation Committee</w:t>
      </w:r>
    </w:p>
    <w:p>
      <w:pPr>
        <w:ind w:left="620" w:hanging="612"/>
        <w:spacing w:after="0" w:line="230" w:lineRule="auto"/>
        <w:tabs>
          <w:tab w:leader="none" w:pos="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Member of the Nominating Committee</w:t>
      </w:r>
    </w:p>
    <w:p>
      <w:pPr>
        <w:ind w:left="660" w:right="1859" w:hanging="652"/>
        <w:spacing w:after="0" w:line="237" w:lineRule="auto"/>
        <w:tabs>
          <w:tab w:leader="none" w:pos="633" w:val="left"/>
        </w:tabs>
        <w:numPr>
          <w:ilvl w:val="0"/>
          <w:numId w:val="14"/>
        </w:numPr>
        <w:rPr>
          <w:rFonts w:ascii="Arial" w:cs="Arial" w:eastAsia="Arial" w:hAnsi="Arial"/>
          <w:sz w:val="22"/>
          <w:szCs w:val="22"/>
          <w:color w:val="auto"/>
        </w:rPr>
      </w:pPr>
      <w:r>
        <w:rPr>
          <w:rFonts w:ascii="Arial" w:cs="Arial" w:eastAsia="Arial" w:hAnsi="Arial"/>
          <w:sz w:val="22"/>
          <w:szCs w:val="22"/>
          <w:color w:val="auto"/>
        </w:rPr>
        <w:t>Has been an Officer since July 2004. Became a Director in April 2006 and was appointed Chairman of the Board in July 2007.</w:t>
      </w:r>
    </w:p>
    <w:p>
      <w:pPr>
        <w:spacing w:after="0" w:line="165" w:lineRule="exact"/>
        <w:rPr>
          <w:sz w:val="20"/>
          <w:szCs w:val="20"/>
          <w:color w:val="auto"/>
        </w:rPr>
      </w:pPr>
    </w:p>
    <w:p>
      <w:pPr>
        <w:ind w:right="1159" w:firstLine="648"/>
        <w:spacing w:after="0" w:line="270" w:lineRule="auto"/>
        <w:rPr>
          <w:sz w:val="20"/>
          <w:szCs w:val="20"/>
          <w:color w:val="auto"/>
        </w:rPr>
      </w:pPr>
      <w:r>
        <w:rPr>
          <w:rFonts w:ascii="Arial" w:cs="Arial" w:eastAsia="Arial" w:hAnsi="Arial"/>
          <w:sz w:val="19"/>
          <w:szCs w:val="19"/>
          <w:b w:val="1"/>
          <w:bCs w:val="1"/>
          <w:color w:val="auto"/>
        </w:rPr>
        <w:t xml:space="preserve">Zee Hakimoglu </w:t>
      </w:r>
      <w:r>
        <w:rPr>
          <w:rFonts w:ascii="Arial" w:cs="Arial" w:eastAsia="Arial" w:hAnsi="Arial"/>
          <w:sz w:val="19"/>
          <w:szCs w:val="19"/>
          <w:color w:val="auto"/>
        </w:rPr>
        <w:t>has served as a director of our company since April 2006. Ms. Hakimoglu</w:t>
      </w:r>
      <w:r>
        <w:rPr>
          <w:rFonts w:ascii="Arial" w:cs="Arial" w:eastAsia="Arial" w:hAnsi="Arial"/>
          <w:sz w:val="19"/>
          <w:szCs w:val="19"/>
          <w:b w:val="1"/>
          <w:bCs w:val="1"/>
          <w:color w:val="auto"/>
        </w:rPr>
        <w:t xml:space="preserve"> </w:t>
      </w:r>
      <w:r>
        <w:rPr>
          <w:rFonts w:ascii="Arial" w:cs="Arial" w:eastAsia="Arial" w:hAnsi="Arial"/>
          <w:sz w:val="19"/>
          <w:szCs w:val="19"/>
          <w:color w:val="auto"/>
        </w:rPr>
        <w:t>joined our company in December 2003 with more than 15 years of executive and senior-level, high-tech management 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200" w:lineRule="exact"/>
        <w:rPr>
          <w:sz w:val="20"/>
          <w:szCs w:val="20"/>
          <w:color w:val="auto"/>
        </w:rPr>
      </w:pPr>
    </w:p>
    <w:p>
      <w:pPr>
        <w:spacing w:after="0" w:line="208" w:lineRule="exact"/>
        <w:rPr>
          <w:sz w:val="20"/>
          <w:szCs w:val="20"/>
          <w:color w:val="auto"/>
        </w:rPr>
      </w:pPr>
    </w:p>
    <w:p>
      <w:pPr>
        <w:ind w:right="1159" w:firstLine="648"/>
        <w:spacing w:after="0" w:line="272" w:lineRule="auto"/>
        <w:rPr>
          <w:sz w:val="20"/>
          <w:szCs w:val="20"/>
          <w:color w:val="auto"/>
        </w:rPr>
      </w:pPr>
      <w:r>
        <w:rPr>
          <w:rFonts w:ascii="Arial" w:cs="Arial" w:eastAsia="Arial" w:hAnsi="Arial"/>
          <w:sz w:val="19"/>
          <w:szCs w:val="19"/>
          <w:b w:val="1"/>
          <w:bCs w:val="1"/>
          <w:color w:val="auto"/>
        </w:rPr>
        <w:t xml:space="preserve">Brad R. Baldwin </w:t>
      </w:r>
      <w:r>
        <w:rPr>
          <w:rFonts w:ascii="Arial" w:cs="Arial" w:eastAsia="Arial" w:hAnsi="Arial"/>
          <w:sz w:val="19"/>
          <w:szCs w:val="19"/>
          <w:color w:val="auto"/>
        </w:rPr>
        <w:t>has served as a director of our company since October 1988. Mr. Baldwin is</w:t>
      </w:r>
      <w:r>
        <w:rPr>
          <w:rFonts w:ascii="Arial" w:cs="Arial" w:eastAsia="Arial" w:hAnsi="Arial"/>
          <w:sz w:val="19"/>
          <w:szCs w:val="19"/>
          <w:b w:val="1"/>
          <w:bCs w:val="1"/>
          <w:color w:val="auto"/>
        </w:rPr>
        <w:t xml:space="preserve"> </w:t>
      </w:r>
      <w:r>
        <w:rPr>
          <w:rFonts w:ascii="Arial" w:cs="Arial" w:eastAsia="Arial" w:hAnsi="Arial"/>
          <w:sz w:val="19"/>
          <w:szCs w:val="19"/>
          <w:color w:val="auto"/>
        </w:rPr>
        <w:t>an attorney licensed to practice in Utah. Since April 2009, Mr. Baldwin has served as general counsel to the Wasatch Front Regional Multiple Listing Service (“WFRMLS “). The WFRMLS currently assists over 12,000 brokers, agents and appraisers with their MLS needs and services.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200" w:lineRule="exact"/>
        <w:rPr>
          <w:sz w:val="20"/>
          <w:szCs w:val="20"/>
          <w:color w:val="auto"/>
        </w:rPr>
      </w:pPr>
    </w:p>
    <w:p>
      <w:pPr>
        <w:spacing w:after="0" w:line="205" w:lineRule="exact"/>
        <w:rPr>
          <w:sz w:val="20"/>
          <w:szCs w:val="20"/>
          <w:color w:val="auto"/>
        </w:rPr>
      </w:pPr>
    </w:p>
    <w:p>
      <w:pPr>
        <w:ind w:right="1199" w:firstLine="648"/>
        <w:spacing w:after="0" w:line="237" w:lineRule="auto"/>
        <w:rPr>
          <w:sz w:val="20"/>
          <w:szCs w:val="20"/>
          <w:color w:val="auto"/>
        </w:rPr>
      </w:pPr>
      <w:r>
        <w:rPr>
          <w:rFonts w:ascii="Arial" w:cs="Arial" w:eastAsia="Arial" w:hAnsi="Arial"/>
          <w:sz w:val="22"/>
          <w:szCs w:val="22"/>
          <w:b w:val="1"/>
          <w:bCs w:val="1"/>
          <w:color w:val="auto"/>
        </w:rPr>
        <w:t xml:space="preserve">Larry R. Hendricks </w:t>
      </w:r>
      <w:r>
        <w:rPr>
          <w:rFonts w:ascii="Arial" w:cs="Arial" w:eastAsia="Arial" w:hAnsi="Arial"/>
          <w:sz w:val="22"/>
          <w:szCs w:val="22"/>
          <w:color w:val="auto"/>
        </w:rPr>
        <w:t>has served as a director of our company since June 2003. Mr. Hendricks is</w:t>
      </w:r>
      <w:r>
        <w:rPr>
          <w:rFonts w:ascii="Arial" w:cs="Arial" w:eastAsia="Arial" w:hAnsi="Arial"/>
          <w:sz w:val="22"/>
          <w:szCs w:val="22"/>
          <w:b w:val="1"/>
          <w:bCs w:val="1"/>
          <w:color w:val="auto"/>
        </w:rPr>
        <w:t xml:space="preserve"> </w:t>
      </w:r>
      <w:r>
        <w:rPr>
          <w:rFonts w:ascii="Arial" w:cs="Arial" w:eastAsia="Arial" w:hAnsi="Arial"/>
          <w:sz w:val="22"/>
          <w:szCs w:val="22"/>
          <w:color w:val="auto"/>
        </w:rPr>
        <w:t>a Certified Public Accountant who retired in December 2002 after serving as Vice President of Finance and General Manager of Daily Foods, Inc., a national meat processing company. During his 30-year career in accounting, he served as a self-employed CPA and worked for the international accounting firm Peat Marwick &amp; Mitchell.</w:t>
      </w:r>
    </w:p>
    <w:p>
      <w:pPr>
        <w:sectPr>
          <w:pgSz w:w="11900" w:h="16838" w:orient="portrait"/>
          <w:cols w:equalWidth="0" w:num="1">
            <w:col w:w="10219"/>
          </w:cols>
          <w:pgMar w:left="240" w:top="111" w:right="1440" w:bottom="1083" w:gutter="0" w:footer="0" w:header="0"/>
        </w:sectPr>
      </w:pPr>
    </w:p>
    <w:bookmarkStart w:id="45" w:name="page46"/>
    <w:bookmarkEnd w:id="45"/>
    <w:p>
      <w:pPr>
        <w:ind w:left="3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33</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5763260" cy="8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40" w:lineRule="exact"/>
        <w:rPr>
          <w:sz w:val="20"/>
          <w:szCs w:val="20"/>
          <w:color w:val="auto"/>
        </w:rPr>
      </w:pPr>
    </w:p>
    <w:p>
      <w:pPr>
        <w:ind w:right="1159" w:firstLine="648"/>
        <w:spacing w:after="0" w:line="235" w:lineRule="auto"/>
        <w:rPr>
          <w:sz w:val="20"/>
          <w:szCs w:val="20"/>
          <w:color w:val="auto"/>
        </w:rPr>
      </w:pPr>
      <w:r>
        <w:rPr>
          <w:rFonts w:ascii="Arial" w:cs="Arial" w:eastAsia="Arial" w:hAnsi="Arial"/>
          <w:sz w:val="22"/>
          <w:szCs w:val="22"/>
          <w:color w:val="auto"/>
        </w:rPr>
        <w:t>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service on our Board, the Board has concluded Mr. Hendricks should continue to serve as a director.</w:t>
      </w:r>
    </w:p>
    <w:p>
      <w:pPr>
        <w:spacing w:after="0" w:line="182" w:lineRule="exact"/>
        <w:rPr>
          <w:sz w:val="20"/>
          <w:szCs w:val="20"/>
          <w:color w:val="auto"/>
        </w:rPr>
      </w:pPr>
    </w:p>
    <w:p>
      <w:pPr>
        <w:ind w:right="1199" w:firstLine="648"/>
        <w:spacing w:after="0" w:line="273" w:lineRule="auto"/>
        <w:rPr>
          <w:sz w:val="20"/>
          <w:szCs w:val="20"/>
          <w:color w:val="auto"/>
        </w:rPr>
      </w:pPr>
      <w:r>
        <w:rPr>
          <w:rFonts w:ascii="Arial" w:cs="Arial" w:eastAsia="Arial" w:hAnsi="Arial"/>
          <w:sz w:val="19"/>
          <w:szCs w:val="19"/>
          <w:b w:val="1"/>
          <w:bCs w:val="1"/>
          <w:color w:val="auto"/>
        </w:rPr>
        <w:t xml:space="preserve">Scott M. Huntsman </w:t>
      </w:r>
      <w:r>
        <w:rPr>
          <w:rFonts w:ascii="Arial" w:cs="Arial" w:eastAsia="Arial" w:hAnsi="Arial"/>
          <w:sz w:val="19"/>
          <w:szCs w:val="19"/>
          <w:color w:val="auto"/>
        </w:rPr>
        <w:t>has served as a director of our company since June 2003. Mr. Huntsman</w:t>
      </w:r>
      <w:r>
        <w:rPr>
          <w:rFonts w:ascii="Arial" w:cs="Arial" w:eastAsia="Arial" w:hAnsi="Arial"/>
          <w:sz w:val="19"/>
          <w:szCs w:val="19"/>
          <w:b w:val="1"/>
          <w:bCs w:val="1"/>
          <w:color w:val="auto"/>
        </w:rPr>
        <w:t xml:space="preserve"> </w:t>
      </w:r>
      <w:r>
        <w:rPr>
          <w:rFonts w:ascii="Arial" w:cs="Arial" w:eastAsia="Arial" w:hAnsi="Arial"/>
          <w:sz w:val="19"/>
          <w:szCs w:val="19"/>
          <w:color w:val="auto"/>
        </w:rPr>
        <w:t>has served as President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51" w:lineRule="exact"/>
        <w:rPr>
          <w:sz w:val="20"/>
          <w:szCs w:val="20"/>
          <w:color w:val="auto"/>
        </w:rPr>
      </w:pPr>
    </w:p>
    <w:p>
      <w:pPr>
        <w:ind w:right="1199" w:firstLine="648"/>
        <w:spacing w:after="0" w:line="273" w:lineRule="auto"/>
        <w:rPr>
          <w:sz w:val="20"/>
          <w:szCs w:val="20"/>
          <w:color w:val="auto"/>
        </w:rPr>
      </w:pPr>
      <w:r>
        <w:rPr>
          <w:rFonts w:ascii="Arial" w:cs="Arial" w:eastAsia="Arial" w:hAnsi="Arial"/>
          <w:sz w:val="19"/>
          <w:szCs w:val="19"/>
          <w:b w:val="1"/>
          <w:bCs w:val="1"/>
          <w:color w:val="auto"/>
        </w:rPr>
        <w:t xml:space="preserve">E. Bryan Bagley </w:t>
      </w:r>
      <w:r>
        <w:rPr>
          <w:rFonts w:ascii="Arial" w:cs="Arial" w:eastAsia="Arial" w:hAnsi="Arial"/>
          <w:sz w:val="19"/>
          <w:szCs w:val="19"/>
          <w:color w:val="auto"/>
        </w:rPr>
        <w:t>has served as a director of our company since November 2009. Mr. Bagley</w:t>
      </w:r>
      <w:r>
        <w:rPr>
          <w:rFonts w:ascii="Arial" w:cs="Arial" w:eastAsia="Arial" w:hAnsi="Arial"/>
          <w:sz w:val="19"/>
          <w:szCs w:val="19"/>
          <w:b w:val="1"/>
          <w:bCs w:val="1"/>
          <w:color w:val="auto"/>
        </w:rPr>
        <w:t xml:space="preserve"> </w:t>
      </w:r>
      <w:r>
        <w:rPr>
          <w:rFonts w:ascii="Arial" w:cs="Arial" w:eastAsia="Arial" w:hAnsi="Arial"/>
          <w:sz w:val="19"/>
          <w:szCs w:val="19"/>
          <w:color w:val="auto"/>
        </w:rPr>
        <w:t>was a director of Nevada Chemicals from June 2000 until the company was sold in September 2008 and served as Chairman of the Board of Nevada Chemicals from December 2001 until September 2008. Since November 2002, Mr. Bagley has been a private investor managing accounts on his own behalf. From December 1991 to November 2002, Mr. Bagley served as a market maker for Wilson-Davis &amp; Company. Prior to that position, he served as a trader for Covey &amp; Co. and Bagley Securities. Mr. Bagley graduated from the University of Utah in 1987 with a Bachelor of Science degree in Economics. Mr. Bryan Bagley is the son of Edward D. Bagley, our former Chairman of the Board. Mr. Edward D. Bagley beneficially owns 23.3% of our issued and outstanding common stock. In light of Mr. Bagley’s prior experience as the chairman of a public company and the benefit that may accrue to our company from his leadership experience, the Board has concluded that Mr. Bagley should continue to serve as a director.</w:t>
      </w:r>
    </w:p>
    <w:p>
      <w:pPr>
        <w:spacing w:after="0" w:line="399" w:lineRule="exact"/>
        <w:rPr>
          <w:sz w:val="20"/>
          <w:szCs w:val="20"/>
          <w:color w:val="auto"/>
        </w:rPr>
      </w:pPr>
    </w:p>
    <w:p>
      <w:pPr>
        <w:ind w:right="1139" w:firstLine="648"/>
        <w:spacing w:after="0" w:line="273" w:lineRule="auto"/>
        <w:rPr>
          <w:sz w:val="20"/>
          <w:szCs w:val="20"/>
          <w:color w:val="auto"/>
        </w:rPr>
      </w:pPr>
      <w:r>
        <w:rPr>
          <w:rFonts w:ascii="Arial" w:cs="Arial" w:eastAsia="Arial" w:hAnsi="Arial"/>
          <w:sz w:val="19"/>
          <w:szCs w:val="19"/>
          <w:b w:val="1"/>
          <w:bCs w:val="1"/>
          <w:color w:val="auto"/>
        </w:rPr>
        <w:t xml:space="preserve">Narsi Narayanan </w:t>
      </w:r>
      <w:r>
        <w:rPr>
          <w:rFonts w:ascii="Arial" w:cs="Arial" w:eastAsia="Arial" w:hAnsi="Arial"/>
          <w:sz w:val="19"/>
          <w:szCs w:val="19"/>
          <w:color w:val="auto"/>
        </w:rPr>
        <w:t>has served as our Vice President of Finance since July 2009 and has over 15</w:t>
      </w:r>
      <w:r>
        <w:rPr>
          <w:rFonts w:ascii="Arial" w:cs="Arial" w:eastAsia="Arial" w:hAnsi="Arial"/>
          <w:sz w:val="19"/>
          <w:szCs w:val="19"/>
          <w:b w:val="1"/>
          <w:bCs w:val="1"/>
          <w:color w:val="auto"/>
        </w:rPr>
        <w:t xml:space="preserve"> </w:t>
      </w:r>
      <w:r>
        <w:rPr>
          <w:rFonts w:ascii="Arial" w:cs="Arial" w:eastAsia="Arial" w:hAnsi="Arial"/>
          <w:sz w:val="19"/>
          <w:szCs w:val="19"/>
          <w:color w:val="auto"/>
        </w:rPr>
        <w:t>years of professional experience in the areas of 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51" w:lineRule="exact"/>
        <w:rPr>
          <w:sz w:val="20"/>
          <w:szCs w:val="20"/>
          <w:color w:val="auto"/>
        </w:rPr>
      </w:pPr>
    </w:p>
    <w:p>
      <w:pPr>
        <w:ind w:right="1239" w:firstLine="648"/>
        <w:spacing w:after="0" w:line="276" w:lineRule="auto"/>
        <w:rPr>
          <w:sz w:val="20"/>
          <w:szCs w:val="20"/>
          <w:color w:val="auto"/>
        </w:rPr>
      </w:pPr>
      <w:r>
        <w:rPr>
          <w:rFonts w:ascii="Arial" w:cs="Arial" w:eastAsia="Arial" w:hAnsi="Arial"/>
          <w:sz w:val="19"/>
          <w:szCs w:val="19"/>
          <w:b w:val="1"/>
          <w:bCs w:val="1"/>
          <w:color w:val="auto"/>
        </w:rPr>
        <w:t xml:space="preserve">Michael Braithwaite </w:t>
      </w:r>
      <w:r>
        <w:rPr>
          <w:rFonts w:ascii="Arial" w:cs="Arial" w:eastAsia="Arial" w:hAnsi="Arial"/>
          <w:sz w:val="19"/>
          <w:szCs w:val="19"/>
          <w:color w:val="auto"/>
        </w:rPr>
        <w:t>joined us in November 2009 through the acquisition of NetStreams, Inc.</w:t>
      </w:r>
      <w:r>
        <w:rPr>
          <w:rFonts w:ascii="Arial" w:cs="Arial" w:eastAsia="Arial" w:hAnsi="Arial"/>
          <w:sz w:val="19"/>
          <w:szCs w:val="19"/>
          <w:b w:val="1"/>
          <w:bCs w:val="1"/>
          <w:color w:val="auto"/>
        </w:rPr>
        <w:t xml:space="preserve"> </w:t>
      </w:r>
      <w:r>
        <w:rPr>
          <w:rFonts w:ascii="Arial" w:cs="Arial" w:eastAsia="Arial" w:hAnsi="Arial"/>
          <w:sz w:val="19"/>
          <w:szCs w:val="19"/>
          <w:color w:val="auto"/>
        </w:rPr>
        <w:t>where he was the co-founder and CTO since 2004. Mr. Braithwaite has led a distinguished twenty-year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as a Chairman on the Consumer Electronics Association’s R10 working group technical committees and is a very active member in technology standard efforts.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2" w:lineRule="exact"/>
        <w:rPr>
          <w:sz w:val="20"/>
          <w:szCs w:val="20"/>
          <w:color w:val="auto"/>
        </w:rPr>
      </w:pPr>
    </w:p>
    <w:p>
      <w:pPr>
        <w:ind w:right="1139" w:firstLine="648"/>
        <w:spacing w:after="0" w:line="246" w:lineRule="auto"/>
        <w:rPr>
          <w:sz w:val="20"/>
          <w:szCs w:val="20"/>
          <w:color w:val="auto"/>
        </w:rPr>
      </w:pPr>
      <w:r>
        <w:rPr>
          <w:rFonts w:ascii="Arial" w:cs="Arial" w:eastAsia="Arial" w:hAnsi="Arial"/>
          <w:sz w:val="21"/>
          <w:szCs w:val="21"/>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2011, and written representations that no other reports were required, we believe that each person who, at any time during such fiscal year was a director, officer, or</w:t>
      </w:r>
    </w:p>
    <w:p>
      <w:pPr>
        <w:sectPr>
          <w:pgSz w:w="11900" w:h="16838" w:orient="portrait"/>
          <w:cols w:equalWidth="0" w:num="1">
            <w:col w:w="10219"/>
          </w:cols>
          <w:pgMar w:left="240" w:top="112" w:right="1440" w:bottom="0" w:gutter="0" w:footer="0" w:header="0"/>
        </w:sectPr>
      </w:pPr>
    </w:p>
    <w:bookmarkStart w:id="47" w:name="page48"/>
    <w:bookmarkEnd w:id="47"/>
    <w:p>
      <w:pPr>
        <w:ind w:left="3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34</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5763260" cy="85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8" w:name="page49"/>
    <w:bookmarkEnd w:id="48"/>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40" w:lineRule="exact"/>
        <w:rPr>
          <w:sz w:val="20"/>
          <w:szCs w:val="20"/>
          <w:color w:val="auto"/>
        </w:rPr>
      </w:pPr>
    </w:p>
    <w:p>
      <w:pPr>
        <w:ind w:right="1479"/>
        <w:spacing w:after="0" w:line="258" w:lineRule="auto"/>
        <w:rPr>
          <w:sz w:val="20"/>
          <w:szCs w:val="20"/>
          <w:color w:val="auto"/>
        </w:rPr>
      </w:pPr>
      <w:r>
        <w:rPr>
          <w:rFonts w:ascii="Arial" w:cs="Arial" w:eastAsia="Arial" w:hAnsi="Arial"/>
          <w:sz w:val="21"/>
          <w:szCs w:val="21"/>
          <w:color w:val="auto"/>
        </w:rPr>
        <w:t>beneficial owner of more than 10% of our common stock, complied with all Section 16(a) filing requirements during such period , except that Edware Dallin Bagley, a beneficial owner of more than 10% of our common stock filed two Forms 4 late for one transaction each.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212" w:lineRule="exact"/>
        <w:rPr>
          <w:sz w:val="20"/>
          <w:szCs w:val="20"/>
          <w:color w:val="auto"/>
        </w:rPr>
      </w:pPr>
    </w:p>
    <w:p>
      <w:pPr>
        <w:jc w:val="both"/>
        <w:ind w:right="1199" w:firstLine="648"/>
        <w:spacing w:after="0"/>
        <w:rPr>
          <w:sz w:val="20"/>
          <w:szCs w:val="20"/>
          <w:color w:val="auto"/>
        </w:rPr>
      </w:pPr>
      <w:r>
        <w:rPr>
          <w:rFonts w:ascii="Arial" w:cs="Arial" w:eastAsia="Arial" w:hAnsi="Arial"/>
          <w:sz w:val="22"/>
          <w:szCs w:val="22"/>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22"/>
          <w:szCs w:val="22"/>
          <w:u w:val="single" w:color="auto"/>
          <w:color w:val="auto"/>
        </w:rPr>
        <w:t>www.clearone.com</w:t>
      </w:r>
      <w:r>
        <w:rPr>
          <w:rFonts w:ascii="Arial" w:cs="Arial" w:eastAsia="Arial" w:hAnsi="Arial"/>
          <w:sz w:val="22"/>
          <w:szCs w:val="22"/>
          <w:color w:val="auto"/>
        </w:rPr>
        <w:t xml:space="preserve"> .</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Nomination Procedures</w:t>
      </w:r>
    </w:p>
    <w:p>
      <w:pPr>
        <w:spacing w:after="0" w:line="239" w:lineRule="exact"/>
        <w:rPr>
          <w:sz w:val="20"/>
          <w:szCs w:val="20"/>
          <w:color w:val="auto"/>
        </w:rPr>
      </w:pPr>
    </w:p>
    <w:p>
      <w:pPr>
        <w:jc w:val="both"/>
        <w:ind w:right="1139"/>
        <w:spacing w:after="0" w:line="251" w:lineRule="auto"/>
        <w:rPr>
          <w:sz w:val="20"/>
          <w:szCs w:val="20"/>
          <w:color w:val="auto"/>
        </w:rPr>
      </w:pPr>
      <w:r>
        <w:rPr>
          <w:rFonts w:ascii="Arial" w:cs="Arial" w:eastAsia="Arial" w:hAnsi="Arial"/>
          <w:sz w:val="22"/>
          <w:szCs w:val="22"/>
          <w:color w:val="auto"/>
        </w:rPr>
        <w:t>No changes have been made to the procedures by which our shareholders may recommend nominees to our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and Compliance Committee</w:t>
      </w:r>
    </w:p>
    <w:p>
      <w:pPr>
        <w:spacing w:after="0" w:line="239" w:lineRule="exact"/>
        <w:rPr>
          <w:sz w:val="20"/>
          <w:szCs w:val="20"/>
          <w:color w:val="auto"/>
        </w:rPr>
      </w:pPr>
    </w:p>
    <w:p>
      <w:pPr>
        <w:jc w:val="both"/>
        <w:ind w:right="1139"/>
        <w:spacing w:after="0" w:line="252" w:lineRule="auto"/>
        <w:rPr>
          <w:sz w:val="20"/>
          <w:szCs w:val="20"/>
          <w:color w:val="auto"/>
        </w:rPr>
      </w:pPr>
      <w:r>
        <w:rPr>
          <w:rFonts w:ascii="Arial" w:cs="Arial" w:eastAsia="Arial" w:hAnsi="Arial"/>
          <w:sz w:val="21"/>
          <w:szCs w:val="21"/>
          <w:color w:val="auto"/>
        </w:rPr>
        <w:t>The Company has a separate Audit Committee and its members are Scott M. Huntsman (Chairman), Brad R. Baldwin, and Larry R. Hendricks. The Board of Directors has determined that Scott M. Huntsman is an “audit committee financial expert” and each member is independent in accordance with applicable rules and regulations of NASDAQ and the SEC.</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w:t>
      </w:r>
    </w:p>
    <w:p>
      <w:pPr>
        <w:spacing w:after="0" w:line="91" w:lineRule="exact"/>
        <w:rPr>
          <w:sz w:val="20"/>
          <w:szCs w:val="20"/>
          <w:color w:val="auto"/>
        </w:rPr>
      </w:pPr>
    </w:p>
    <w:p>
      <w:pPr>
        <w:ind w:right="1219" w:firstLine="648"/>
        <w:spacing w:after="0" w:line="251" w:lineRule="auto"/>
        <w:rPr>
          <w:sz w:val="20"/>
          <w:szCs w:val="20"/>
          <w:color w:val="auto"/>
        </w:rPr>
      </w:pPr>
      <w:r>
        <w:rPr>
          <w:rFonts w:ascii="Arial" w:cs="Arial" w:eastAsia="Arial" w:hAnsi="Arial"/>
          <w:sz w:val="22"/>
          <w:szCs w:val="22"/>
          <w:color w:val="auto"/>
        </w:rPr>
        <w:t>The following tables set forth for the periods indicated, the compensation paid or earned by each named executive officer for the years ended December 31, 2011 and 2010.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880"/>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Awards (1)</w:t>
            </w: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2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Compensation (3)</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 (2)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89"/>
        </w:trPr>
        <w:tc>
          <w:tcPr>
            <w:tcW w:w="35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 Chairman of the Board, Chief</w:t>
            </w: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6"/>
                <w:szCs w:val="16"/>
                <w:color w:val="auto"/>
              </w:rPr>
              <w:t>Executive Officer and President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3560" w:type="dxa"/>
            <w:vAlign w:val="bottom"/>
            <w:shd w:val="clear" w:color="auto" w:fill="A0C4DA"/>
          </w:tcPr>
          <w:p>
            <w:pPr>
              <w:spacing w:after="0"/>
              <w:rPr>
                <w:sz w:val="20"/>
                <w:szCs w:val="20"/>
                <w:color w:val="auto"/>
              </w:rPr>
            </w:pPr>
            <w:r>
              <w:rPr>
                <w:rFonts w:ascii="Arial" w:cs="Arial" w:eastAsia="Arial" w:hAnsi="Arial"/>
                <w:sz w:val="16"/>
                <w:szCs w:val="16"/>
                <w:color w:val="auto"/>
              </w:rPr>
              <w:t>Year ended December 31, 2011</w:t>
            </w:r>
          </w:p>
        </w:tc>
        <w:tc>
          <w:tcPr>
            <w:tcW w:w="1020" w:type="dxa"/>
            <w:vAlign w:val="bottom"/>
            <w:gridSpan w:val="2"/>
            <w:shd w:val="clear" w:color="auto" w:fill="A0C4DA"/>
          </w:tcPr>
          <w:p>
            <w:pPr>
              <w:jc w:val="right"/>
              <w:ind w:right="108"/>
              <w:spacing w:after="0"/>
              <w:rPr>
                <w:sz w:val="20"/>
                <w:szCs w:val="20"/>
                <w:color w:val="auto"/>
              </w:rPr>
            </w:pPr>
            <w:r>
              <w:rPr>
                <w:rFonts w:ascii="Arial" w:cs="Arial" w:eastAsia="Arial" w:hAnsi="Arial"/>
                <w:sz w:val="16"/>
                <w:szCs w:val="16"/>
                <w:color w:val="auto"/>
              </w:rPr>
              <w:t>$230,000</w:t>
            </w:r>
          </w:p>
        </w:tc>
        <w:tc>
          <w:tcPr>
            <w:tcW w:w="980" w:type="dxa"/>
            <w:vAlign w:val="bottom"/>
            <w:gridSpan w:val="2"/>
            <w:shd w:val="clear" w:color="auto" w:fill="A0C4DA"/>
          </w:tcPr>
          <w:p>
            <w:pPr>
              <w:jc w:val="right"/>
              <w:ind w:right="128"/>
              <w:spacing w:after="0"/>
              <w:rPr>
                <w:sz w:val="20"/>
                <w:szCs w:val="20"/>
                <w:color w:val="auto"/>
              </w:rPr>
            </w:pPr>
            <w:r>
              <w:rPr>
                <w:rFonts w:ascii="Arial" w:cs="Arial" w:eastAsia="Arial" w:hAnsi="Arial"/>
                <w:sz w:val="16"/>
                <w:szCs w:val="16"/>
                <w:color w:val="auto"/>
              </w:rPr>
              <w:t>$ 29,436</w:t>
            </w:r>
          </w:p>
        </w:tc>
        <w:tc>
          <w:tcPr>
            <w:tcW w:w="1340" w:type="dxa"/>
            <w:vAlign w:val="bottom"/>
            <w:gridSpan w:val="2"/>
            <w:shd w:val="clear" w:color="auto" w:fill="A0C4DA"/>
          </w:tcPr>
          <w:p>
            <w:pPr>
              <w:jc w:val="right"/>
              <w:ind w:right="248"/>
              <w:spacing w:after="0"/>
              <w:rPr>
                <w:sz w:val="20"/>
                <w:szCs w:val="20"/>
                <w:color w:val="auto"/>
              </w:rPr>
            </w:pPr>
            <w:r>
              <w:rPr>
                <w:rFonts w:ascii="Arial" w:cs="Arial" w:eastAsia="Arial" w:hAnsi="Arial"/>
                <w:sz w:val="16"/>
                <w:szCs w:val="16"/>
                <w:color w:val="auto"/>
              </w:rPr>
              <w:t>$  93,953</w:t>
            </w:r>
          </w:p>
        </w:tc>
        <w:tc>
          <w:tcPr>
            <w:tcW w:w="460" w:type="dxa"/>
            <w:vAlign w:val="bottom"/>
            <w:gridSpan w:val="2"/>
            <w:shd w:val="clear" w:color="auto" w:fill="A0C4DA"/>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A0C4DA"/>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A0C4DA"/>
          </w:tcPr>
          <w:p>
            <w:pPr>
              <w:jc w:val="right"/>
              <w:ind w:right="168"/>
              <w:spacing w:after="0"/>
              <w:rPr>
                <w:sz w:val="20"/>
                <w:szCs w:val="20"/>
                <w:color w:val="auto"/>
              </w:rPr>
            </w:pPr>
            <w:r>
              <w:rPr>
                <w:rFonts w:ascii="Arial" w:cs="Arial" w:eastAsia="Arial" w:hAnsi="Arial"/>
                <w:sz w:val="16"/>
                <w:szCs w:val="16"/>
                <w:color w:val="auto"/>
              </w:rPr>
              <w:t>$353,389</w:t>
            </w: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ended December 31, 2010</w:t>
            </w:r>
          </w:p>
        </w:tc>
        <w:tc>
          <w:tcPr>
            <w:tcW w:w="10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6"/>
                <w:szCs w:val="16"/>
                <w:color w:val="auto"/>
              </w:rPr>
              <w:t>225,000</w:t>
            </w: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6"/>
                <w:szCs w:val="16"/>
                <w:color w:val="auto"/>
              </w:rPr>
              <w:t>12,400</w:t>
            </w:r>
          </w:p>
        </w:tc>
        <w:tc>
          <w:tcPr>
            <w:tcW w:w="13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6"/>
                <w:szCs w:val="16"/>
                <w:color w:val="auto"/>
              </w:rPr>
              <w:t>73,523</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6"/>
                <w:szCs w:val="16"/>
                <w:color w:val="auto"/>
              </w:rPr>
              <w:t>310,923</w:t>
            </w:r>
          </w:p>
        </w:tc>
      </w:tr>
      <w:tr>
        <w:trPr>
          <w:trHeight w:val="220"/>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Tracy A. Bathurst </w:t>
            </w:r>
            <w:r>
              <w:rPr>
                <w:rFonts w:ascii="Arial" w:cs="Arial" w:eastAsia="Arial" w:hAnsi="Arial"/>
                <w:sz w:val="16"/>
                <w:szCs w:val="16"/>
                <w:color w:val="auto"/>
              </w:rPr>
              <w:t>(4) - Chief Strategy Officer</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560" w:type="dxa"/>
            <w:vAlign w:val="bottom"/>
            <w:shd w:val="clear" w:color="auto" w:fill="A0C4DA"/>
          </w:tcPr>
          <w:p>
            <w:pPr>
              <w:spacing w:after="0"/>
              <w:rPr>
                <w:sz w:val="20"/>
                <w:szCs w:val="20"/>
                <w:color w:val="auto"/>
              </w:rPr>
            </w:pPr>
            <w:r>
              <w:rPr>
                <w:rFonts w:ascii="Arial" w:cs="Arial" w:eastAsia="Arial" w:hAnsi="Arial"/>
                <w:sz w:val="16"/>
                <w:szCs w:val="16"/>
                <w:color w:val="auto"/>
              </w:rPr>
              <w:t>Year ended December 31, 2011</w:t>
            </w:r>
          </w:p>
        </w:tc>
        <w:tc>
          <w:tcPr>
            <w:tcW w:w="1020" w:type="dxa"/>
            <w:vAlign w:val="bottom"/>
            <w:gridSpan w:val="2"/>
            <w:shd w:val="clear" w:color="auto" w:fill="A0C4DA"/>
          </w:tcPr>
          <w:p>
            <w:pPr>
              <w:jc w:val="right"/>
              <w:ind w:right="108"/>
              <w:spacing w:after="0"/>
              <w:rPr>
                <w:sz w:val="20"/>
                <w:szCs w:val="20"/>
                <w:color w:val="auto"/>
              </w:rPr>
            </w:pPr>
            <w:r>
              <w:rPr>
                <w:rFonts w:ascii="Arial" w:cs="Arial" w:eastAsia="Arial" w:hAnsi="Arial"/>
                <w:sz w:val="16"/>
                <w:szCs w:val="16"/>
                <w:color w:val="auto"/>
              </w:rPr>
              <w:t>35,769</w:t>
            </w:r>
          </w:p>
        </w:tc>
        <w:tc>
          <w:tcPr>
            <w:tcW w:w="980" w:type="dxa"/>
            <w:vAlign w:val="bottom"/>
            <w:gridSpan w:val="2"/>
            <w:shd w:val="clear" w:color="auto" w:fill="A0C4DA"/>
          </w:tcPr>
          <w:p>
            <w:pPr>
              <w:jc w:val="right"/>
              <w:ind w:right="128"/>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A0C4DA"/>
          </w:tcPr>
          <w:p>
            <w:pPr>
              <w:jc w:val="right"/>
              <w:ind w:right="248"/>
              <w:spacing w:after="0"/>
              <w:rPr>
                <w:sz w:val="20"/>
                <w:szCs w:val="20"/>
                <w:color w:val="auto"/>
              </w:rPr>
            </w:pPr>
            <w:r>
              <w:rPr>
                <w:rFonts w:ascii="Arial" w:cs="Arial" w:eastAsia="Arial" w:hAnsi="Arial"/>
                <w:sz w:val="16"/>
                <w:szCs w:val="16"/>
                <w:color w:val="auto"/>
              </w:rPr>
              <w:t>22,900</w:t>
            </w:r>
          </w:p>
        </w:tc>
        <w:tc>
          <w:tcPr>
            <w:tcW w:w="240" w:type="dxa"/>
            <w:vAlign w:val="bottom"/>
            <w:shd w:val="clear" w:color="auto" w:fill="A0C4DA"/>
          </w:tcPr>
          <w:p>
            <w:pPr>
              <w:spacing w:after="0"/>
              <w:rPr>
                <w:sz w:val="20"/>
                <w:szCs w:val="20"/>
                <w:color w:val="auto"/>
              </w:rPr>
            </w:pPr>
          </w:p>
        </w:tc>
        <w:tc>
          <w:tcPr>
            <w:tcW w:w="220" w:type="dxa"/>
            <w:vAlign w:val="bottom"/>
            <w:shd w:val="clear" w:color="auto" w:fill="A0C4DA"/>
          </w:tcPr>
          <w:p>
            <w:pPr>
              <w:spacing w:after="0"/>
              <w:rPr>
                <w:sz w:val="20"/>
                <w:szCs w:val="20"/>
                <w:color w:val="auto"/>
              </w:rPr>
            </w:pPr>
          </w:p>
        </w:tc>
        <w:tc>
          <w:tcPr>
            <w:tcW w:w="860" w:type="dxa"/>
            <w:vAlign w:val="bottom"/>
            <w:shd w:val="clear" w:color="auto" w:fill="A0C4DA"/>
          </w:tcPr>
          <w:p>
            <w:pPr>
              <w:jc w:val="right"/>
              <w:ind w:right="240"/>
              <w:spacing w:after="0"/>
              <w:rPr>
                <w:sz w:val="20"/>
                <w:szCs w:val="20"/>
                <w:color w:val="auto"/>
              </w:rPr>
            </w:pPr>
            <w:r>
              <w:rPr>
                <w:rFonts w:ascii="Arial" w:cs="Arial" w:eastAsia="Arial" w:hAnsi="Arial"/>
                <w:sz w:val="16"/>
                <w:szCs w:val="16"/>
                <w:color w:val="auto"/>
              </w:rPr>
              <w:t>300</w:t>
            </w:r>
          </w:p>
        </w:tc>
        <w:tc>
          <w:tcPr>
            <w:tcW w:w="1100" w:type="dxa"/>
            <w:vAlign w:val="bottom"/>
            <w:gridSpan w:val="2"/>
            <w:shd w:val="clear" w:color="auto" w:fill="A0C4DA"/>
          </w:tcPr>
          <w:p>
            <w:pPr>
              <w:jc w:val="right"/>
              <w:ind w:right="168"/>
              <w:spacing w:after="0"/>
              <w:rPr>
                <w:sz w:val="20"/>
                <w:szCs w:val="20"/>
                <w:color w:val="auto"/>
              </w:rPr>
            </w:pPr>
            <w:r>
              <w:rPr>
                <w:rFonts w:ascii="Arial" w:cs="Arial" w:eastAsia="Arial" w:hAnsi="Arial"/>
                <w:sz w:val="16"/>
                <w:szCs w:val="16"/>
                <w:color w:val="auto"/>
              </w:rPr>
              <w:t>58,969</w:t>
            </w: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ended December 31, 2010</w:t>
            </w:r>
          </w:p>
        </w:tc>
        <w:tc>
          <w:tcPr>
            <w:tcW w:w="10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6"/>
                <w:szCs w:val="16"/>
                <w:color w:val="auto"/>
              </w:rPr>
              <w:t>150,000</w:t>
            </w: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6"/>
                <w:szCs w:val="16"/>
                <w:color w:val="auto"/>
              </w:rPr>
              <w:t>12,400</w:t>
            </w:r>
          </w:p>
        </w:tc>
        <w:tc>
          <w:tcPr>
            <w:tcW w:w="13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6"/>
                <w:szCs w:val="16"/>
                <w:color w:val="auto"/>
              </w:rPr>
              <w:t>47,862</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2,425</w:t>
            </w:r>
          </w:p>
        </w:tc>
        <w:tc>
          <w:tcPr>
            <w:tcW w:w="11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6"/>
                <w:szCs w:val="16"/>
                <w:color w:val="auto"/>
              </w:rPr>
              <w:t>212,687</w:t>
            </w:r>
          </w:p>
        </w:tc>
      </w:tr>
      <w:tr>
        <w:trPr>
          <w:trHeight w:val="206"/>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w w:val="99"/>
              </w:rPr>
              <w:t xml:space="preserve">Narsi Narayanan </w:t>
            </w:r>
            <w:r>
              <w:rPr>
                <w:rFonts w:ascii="Arial" w:cs="Arial" w:eastAsia="Arial" w:hAnsi="Arial"/>
                <w:sz w:val="16"/>
                <w:szCs w:val="16"/>
                <w:color w:val="auto"/>
                <w:w w:val="99"/>
              </w:rPr>
              <w:t>– Vice President of Finance and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6"/>
                <w:szCs w:val="16"/>
                <w:color w:val="auto"/>
              </w:rPr>
              <w:t>Corporate Secretary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3560" w:type="dxa"/>
            <w:vAlign w:val="bottom"/>
            <w:shd w:val="clear" w:color="auto" w:fill="A0C4DA"/>
          </w:tcPr>
          <w:p>
            <w:pPr>
              <w:spacing w:after="0"/>
              <w:rPr>
                <w:sz w:val="20"/>
                <w:szCs w:val="20"/>
                <w:color w:val="auto"/>
              </w:rPr>
            </w:pPr>
            <w:r>
              <w:rPr>
                <w:rFonts w:ascii="Arial" w:cs="Arial" w:eastAsia="Arial" w:hAnsi="Arial"/>
                <w:sz w:val="16"/>
                <w:szCs w:val="16"/>
                <w:color w:val="auto"/>
              </w:rPr>
              <w:t>Year ended December 31, 2011</w:t>
            </w:r>
          </w:p>
        </w:tc>
        <w:tc>
          <w:tcPr>
            <w:tcW w:w="1020" w:type="dxa"/>
            <w:vAlign w:val="bottom"/>
            <w:gridSpan w:val="2"/>
            <w:shd w:val="clear" w:color="auto" w:fill="A0C4DA"/>
          </w:tcPr>
          <w:p>
            <w:pPr>
              <w:jc w:val="right"/>
              <w:ind w:right="108"/>
              <w:spacing w:after="0"/>
              <w:rPr>
                <w:sz w:val="20"/>
                <w:szCs w:val="20"/>
                <w:color w:val="auto"/>
              </w:rPr>
            </w:pPr>
            <w:r>
              <w:rPr>
                <w:rFonts w:ascii="Arial" w:cs="Arial" w:eastAsia="Arial" w:hAnsi="Arial"/>
                <w:sz w:val="16"/>
                <w:szCs w:val="16"/>
                <w:color w:val="auto"/>
              </w:rPr>
              <w:t>135,000</w:t>
            </w:r>
          </w:p>
        </w:tc>
        <w:tc>
          <w:tcPr>
            <w:tcW w:w="980" w:type="dxa"/>
            <w:vAlign w:val="bottom"/>
            <w:gridSpan w:val="2"/>
            <w:shd w:val="clear" w:color="auto" w:fill="A0C4DA"/>
          </w:tcPr>
          <w:p>
            <w:pPr>
              <w:jc w:val="right"/>
              <w:ind w:right="128"/>
              <w:spacing w:after="0"/>
              <w:rPr>
                <w:sz w:val="20"/>
                <w:szCs w:val="20"/>
                <w:color w:val="auto"/>
              </w:rPr>
            </w:pPr>
            <w:r>
              <w:rPr>
                <w:rFonts w:ascii="Arial" w:cs="Arial" w:eastAsia="Arial" w:hAnsi="Arial"/>
                <w:sz w:val="16"/>
                <w:szCs w:val="16"/>
                <w:color w:val="auto"/>
              </w:rPr>
              <w:t>29,436</w:t>
            </w:r>
          </w:p>
        </w:tc>
        <w:tc>
          <w:tcPr>
            <w:tcW w:w="1340" w:type="dxa"/>
            <w:vAlign w:val="bottom"/>
            <w:gridSpan w:val="2"/>
            <w:shd w:val="clear" w:color="auto" w:fill="A0C4DA"/>
          </w:tcPr>
          <w:p>
            <w:pPr>
              <w:jc w:val="right"/>
              <w:ind w:right="248"/>
              <w:spacing w:after="0"/>
              <w:rPr>
                <w:sz w:val="20"/>
                <w:szCs w:val="20"/>
                <w:color w:val="auto"/>
              </w:rPr>
            </w:pPr>
            <w:r>
              <w:rPr>
                <w:rFonts w:ascii="Arial" w:cs="Arial" w:eastAsia="Arial" w:hAnsi="Arial"/>
                <w:sz w:val="16"/>
                <w:szCs w:val="16"/>
                <w:color w:val="auto"/>
              </w:rPr>
              <w:t>52,090</w:t>
            </w:r>
          </w:p>
        </w:tc>
        <w:tc>
          <w:tcPr>
            <w:tcW w:w="240" w:type="dxa"/>
            <w:vAlign w:val="bottom"/>
            <w:shd w:val="clear" w:color="auto" w:fill="A0C4DA"/>
          </w:tcPr>
          <w:p>
            <w:pPr>
              <w:spacing w:after="0"/>
              <w:rPr>
                <w:sz w:val="20"/>
                <w:szCs w:val="20"/>
                <w:color w:val="auto"/>
              </w:rPr>
            </w:pPr>
          </w:p>
        </w:tc>
        <w:tc>
          <w:tcPr>
            <w:tcW w:w="220" w:type="dxa"/>
            <w:vAlign w:val="bottom"/>
            <w:shd w:val="clear" w:color="auto" w:fill="A0C4DA"/>
          </w:tcPr>
          <w:p>
            <w:pPr>
              <w:spacing w:after="0"/>
              <w:rPr>
                <w:sz w:val="20"/>
                <w:szCs w:val="20"/>
                <w:color w:val="auto"/>
              </w:rPr>
            </w:pPr>
          </w:p>
        </w:tc>
        <w:tc>
          <w:tcPr>
            <w:tcW w:w="860" w:type="dxa"/>
            <w:vAlign w:val="bottom"/>
            <w:shd w:val="clear" w:color="auto" w:fill="A0C4DA"/>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A0C4DA"/>
          </w:tcPr>
          <w:p>
            <w:pPr>
              <w:jc w:val="right"/>
              <w:ind w:right="168"/>
              <w:spacing w:after="0"/>
              <w:rPr>
                <w:sz w:val="20"/>
                <w:szCs w:val="20"/>
                <w:color w:val="auto"/>
              </w:rPr>
            </w:pPr>
            <w:r>
              <w:rPr>
                <w:rFonts w:ascii="Arial" w:cs="Arial" w:eastAsia="Arial" w:hAnsi="Arial"/>
                <w:sz w:val="16"/>
                <w:szCs w:val="16"/>
                <w:color w:val="auto"/>
              </w:rPr>
              <w:t>216,526</w:t>
            </w: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ended December 31, 2010</w:t>
            </w:r>
          </w:p>
        </w:tc>
        <w:tc>
          <w:tcPr>
            <w:tcW w:w="10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6"/>
                <w:szCs w:val="16"/>
                <w:color w:val="auto"/>
              </w:rPr>
              <w:t>122,500</w:t>
            </w: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6"/>
                <w:szCs w:val="16"/>
                <w:color w:val="auto"/>
              </w:rPr>
              <w:t>12,400</w:t>
            </w:r>
          </w:p>
        </w:tc>
        <w:tc>
          <w:tcPr>
            <w:tcW w:w="13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6"/>
                <w:szCs w:val="16"/>
                <w:color w:val="auto"/>
              </w:rPr>
              <w:t>43,728</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6"/>
                <w:szCs w:val="16"/>
                <w:color w:val="auto"/>
              </w:rPr>
              <w:t>178,628</w:t>
            </w:r>
          </w:p>
        </w:tc>
      </w:tr>
      <w:tr>
        <w:trPr>
          <w:trHeight w:val="220"/>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Michael Braithwaite </w:t>
            </w:r>
            <w:r>
              <w:rPr>
                <w:rFonts w:ascii="Arial" w:cs="Arial" w:eastAsia="Arial" w:hAnsi="Arial"/>
                <w:sz w:val="16"/>
                <w:szCs w:val="16"/>
                <w:color w:val="auto"/>
              </w:rPr>
              <w:t>– Chief Strategy Officer</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560" w:type="dxa"/>
            <w:vAlign w:val="bottom"/>
            <w:shd w:val="clear" w:color="auto" w:fill="A0C4DA"/>
          </w:tcPr>
          <w:p>
            <w:pPr>
              <w:spacing w:after="0"/>
              <w:rPr>
                <w:sz w:val="20"/>
                <w:szCs w:val="20"/>
                <w:color w:val="auto"/>
              </w:rPr>
            </w:pPr>
            <w:r>
              <w:rPr>
                <w:rFonts w:ascii="Arial" w:cs="Arial" w:eastAsia="Arial" w:hAnsi="Arial"/>
                <w:sz w:val="16"/>
                <w:szCs w:val="16"/>
                <w:color w:val="auto"/>
              </w:rPr>
              <w:t>Year ended December 31, 2011</w:t>
            </w:r>
          </w:p>
        </w:tc>
        <w:tc>
          <w:tcPr>
            <w:tcW w:w="1020" w:type="dxa"/>
            <w:vAlign w:val="bottom"/>
            <w:gridSpan w:val="2"/>
            <w:shd w:val="clear" w:color="auto" w:fill="A0C4DA"/>
          </w:tcPr>
          <w:p>
            <w:pPr>
              <w:jc w:val="right"/>
              <w:ind w:right="108"/>
              <w:spacing w:after="0"/>
              <w:rPr>
                <w:sz w:val="20"/>
                <w:szCs w:val="20"/>
                <w:color w:val="auto"/>
              </w:rPr>
            </w:pPr>
            <w:r>
              <w:rPr>
                <w:rFonts w:ascii="Arial" w:cs="Arial" w:eastAsia="Arial" w:hAnsi="Arial"/>
                <w:sz w:val="16"/>
                <w:szCs w:val="16"/>
                <w:color w:val="auto"/>
              </w:rPr>
              <w:t>155,000</w:t>
            </w:r>
          </w:p>
        </w:tc>
        <w:tc>
          <w:tcPr>
            <w:tcW w:w="980" w:type="dxa"/>
            <w:vAlign w:val="bottom"/>
            <w:gridSpan w:val="2"/>
            <w:shd w:val="clear" w:color="auto" w:fill="A0C4DA"/>
          </w:tcPr>
          <w:p>
            <w:pPr>
              <w:jc w:val="right"/>
              <w:ind w:right="128"/>
              <w:spacing w:after="0"/>
              <w:rPr>
                <w:sz w:val="20"/>
                <w:szCs w:val="20"/>
                <w:color w:val="auto"/>
              </w:rPr>
            </w:pPr>
            <w:r>
              <w:rPr>
                <w:rFonts w:ascii="Arial" w:cs="Arial" w:eastAsia="Arial" w:hAnsi="Arial"/>
                <w:sz w:val="16"/>
                <w:szCs w:val="16"/>
                <w:color w:val="auto"/>
              </w:rPr>
              <w:t>29,436</w:t>
            </w:r>
          </w:p>
        </w:tc>
        <w:tc>
          <w:tcPr>
            <w:tcW w:w="1340" w:type="dxa"/>
            <w:vAlign w:val="bottom"/>
            <w:gridSpan w:val="2"/>
            <w:shd w:val="clear" w:color="auto" w:fill="A0C4DA"/>
          </w:tcPr>
          <w:p>
            <w:pPr>
              <w:jc w:val="right"/>
              <w:ind w:right="248"/>
              <w:spacing w:after="0"/>
              <w:rPr>
                <w:sz w:val="20"/>
                <w:szCs w:val="20"/>
                <w:color w:val="auto"/>
              </w:rPr>
            </w:pPr>
            <w:r>
              <w:rPr>
                <w:rFonts w:ascii="Arial" w:cs="Arial" w:eastAsia="Arial" w:hAnsi="Arial"/>
                <w:sz w:val="16"/>
                <w:szCs w:val="16"/>
                <w:color w:val="auto"/>
              </w:rPr>
              <w:t>59,539</w:t>
            </w:r>
          </w:p>
        </w:tc>
        <w:tc>
          <w:tcPr>
            <w:tcW w:w="240" w:type="dxa"/>
            <w:vAlign w:val="bottom"/>
            <w:shd w:val="clear" w:color="auto" w:fill="A0C4DA"/>
          </w:tcPr>
          <w:p>
            <w:pPr>
              <w:spacing w:after="0"/>
              <w:rPr>
                <w:sz w:val="20"/>
                <w:szCs w:val="20"/>
                <w:color w:val="auto"/>
              </w:rPr>
            </w:pPr>
          </w:p>
        </w:tc>
        <w:tc>
          <w:tcPr>
            <w:tcW w:w="220" w:type="dxa"/>
            <w:vAlign w:val="bottom"/>
            <w:shd w:val="clear" w:color="auto" w:fill="A0C4DA"/>
          </w:tcPr>
          <w:p>
            <w:pPr>
              <w:spacing w:after="0"/>
              <w:rPr>
                <w:sz w:val="20"/>
                <w:szCs w:val="20"/>
                <w:color w:val="auto"/>
              </w:rPr>
            </w:pPr>
          </w:p>
        </w:tc>
        <w:tc>
          <w:tcPr>
            <w:tcW w:w="860" w:type="dxa"/>
            <w:vAlign w:val="bottom"/>
            <w:shd w:val="clear" w:color="auto" w:fill="A0C4DA"/>
          </w:tcPr>
          <w:p>
            <w:pPr>
              <w:jc w:val="right"/>
              <w:ind w:right="240"/>
              <w:spacing w:after="0"/>
              <w:rPr>
                <w:sz w:val="20"/>
                <w:szCs w:val="20"/>
                <w:color w:val="auto"/>
              </w:rPr>
            </w:pPr>
            <w:r>
              <w:rPr>
                <w:rFonts w:ascii="Arial" w:cs="Arial" w:eastAsia="Arial" w:hAnsi="Arial"/>
                <w:sz w:val="16"/>
                <w:szCs w:val="16"/>
                <w:color w:val="auto"/>
              </w:rPr>
              <w:t>2,200</w:t>
            </w:r>
          </w:p>
        </w:tc>
        <w:tc>
          <w:tcPr>
            <w:tcW w:w="1100" w:type="dxa"/>
            <w:vAlign w:val="bottom"/>
            <w:gridSpan w:val="2"/>
            <w:shd w:val="clear" w:color="auto" w:fill="A0C4DA"/>
          </w:tcPr>
          <w:p>
            <w:pPr>
              <w:jc w:val="right"/>
              <w:ind w:right="168"/>
              <w:spacing w:after="0"/>
              <w:rPr>
                <w:sz w:val="20"/>
                <w:szCs w:val="20"/>
                <w:color w:val="auto"/>
              </w:rPr>
            </w:pPr>
            <w:r>
              <w:rPr>
                <w:rFonts w:ascii="Arial" w:cs="Arial" w:eastAsia="Arial" w:hAnsi="Arial"/>
                <w:sz w:val="16"/>
                <w:szCs w:val="16"/>
                <w:color w:val="auto"/>
              </w:rPr>
              <w:t>246,175</w:t>
            </w: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ended December 31, 2010</w:t>
            </w:r>
          </w:p>
        </w:tc>
        <w:tc>
          <w:tcPr>
            <w:tcW w:w="10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6"/>
                <w:szCs w:val="16"/>
                <w:color w:val="auto"/>
              </w:rPr>
              <w:t>152,500</w:t>
            </w: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6"/>
                <w:szCs w:val="16"/>
                <w:color w:val="auto"/>
              </w:rPr>
              <w:t>12,400</w:t>
            </w:r>
          </w:p>
        </w:tc>
        <w:tc>
          <w:tcPr>
            <w:tcW w:w="13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6"/>
                <w:szCs w:val="16"/>
                <w:color w:val="auto"/>
              </w:rPr>
              <w:t>49,548</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9,275</w:t>
            </w:r>
          </w:p>
        </w:tc>
        <w:tc>
          <w:tcPr>
            <w:tcW w:w="11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6"/>
                <w:szCs w:val="16"/>
                <w:color w:val="auto"/>
              </w:rPr>
              <w:t>223,723</w:t>
            </w:r>
          </w:p>
        </w:tc>
      </w:tr>
    </w:tbl>
    <w:p>
      <w:pPr>
        <w:spacing w:after="0" w:line="154" w:lineRule="exact"/>
        <w:rPr>
          <w:sz w:val="20"/>
          <w:szCs w:val="20"/>
          <w:color w:val="auto"/>
        </w:rPr>
      </w:pPr>
    </w:p>
    <w:p>
      <w:pPr>
        <w:ind w:left="660" w:right="1159" w:hanging="598"/>
        <w:spacing w:after="0" w:line="282" w:lineRule="auto"/>
        <w:tabs>
          <w:tab w:leader="none" w:pos="633"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9"/>
          <w:szCs w:val="19"/>
          <w:i w:val="1"/>
          <w:iCs w:val="1"/>
          <w:color w:val="auto"/>
        </w:rPr>
        <w:t>Compensation - Stock</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Compensation. </w:t>
      </w:r>
      <w:r>
        <w:rPr>
          <w:rFonts w:ascii="Arial" w:cs="Arial" w:eastAsia="Arial" w:hAnsi="Arial"/>
          <w:sz w:val="19"/>
          <w:szCs w:val="19"/>
          <w:color w:val="auto"/>
        </w:rPr>
        <w:t>The assumptions made in the valuation of our option awards are disclosed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0000FF"/>
        </w:rPr>
        <w:t>Note 9 - Share Based Payments</w:t>
      </w:r>
      <w:r>
        <w:rPr>
          <w:rFonts w:ascii="Arial" w:cs="Arial" w:eastAsia="Arial" w:hAnsi="Arial"/>
          <w:sz w:val="19"/>
          <w:szCs w:val="19"/>
          <w:color w:val="0000FF"/>
        </w:rPr>
        <w:t xml:space="preserve"> </w:t>
      </w:r>
      <w:r>
        <w:rPr>
          <w:rFonts w:ascii="Arial" w:cs="Arial" w:eastAsia="Arial" w:hAnsi="Arial"/>
          <w:sz w:val="19"/>
          <w:szCs w:val="19"/>
          <w:color w:val="000000"/>
        </w:rPr>
        <w:t>in our Notes to Consolidated Financial Statements.</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35</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49" w:name="page50"/>
    <w:bookmarkEnd w:id="49"/>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40" w:lineRule="exact"/>
        <w:rPr>
          <w:sz w:val="20"/>
          <w:szCs w:val="20"/>
          <w:color w:val="auto"/>
        </w:rPr>
      </w:pPr>
    </w:p>
    <w:p>
      <w:pPr>
        <w:ind w:left="660" w:right="1239" w:hanging="652"/>
        <w:spacing w:after="0" w:line="268" w:lineRule="auto"/>
        <w:tabs>
          <w:tab w:leader="none" w:pos="633" w:val="left"/>
        </w:tabs>
        <w:numPr>
          <w:ilvl w:val="0"/>
          <w:numId w:val="16"/>
        </w:numPr>
        <w:rPr>
          <w:rFonts w:ascii="Arial" w:cs="Arial" w:eastAsia="Arial" w:hAnsi="Arial"/>
          <w:sz w:val="19"/>
          <w:szCs w:val="19"/>
          <w:color w:val="auto"/>
        </w:rPr>
      </w:pPr>
      <w:r>
        <w:rPr>
          <w:rFonts w:ascii="Arial" w:cs="Arial" w:eastAsia="Arial" w:hAnsi="Arial"/>
          <w:sz w:val="19"/>
          <w:szCs w:val="19"/>
          <w:color w:val="auto"/>
        </w:rPr>
        <w:t>Non-Equity Incentive Plan Compensation is based upon the achievement of pre-determined quarterly goals, namely, quantitative financial goals comprising of revenue, gross margin and operating income, and non-quantitative performance goals. While quantitative financial goals are similar for all the executive officers, non-quantitative goals vary for each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quantitative financial goals (with revenue, gross margin and operating income having equal share) and 30% to non-quantitative goals. Of the amounts included above, Ms. Hakimoglu’s compensation for the year ended December 31, 2011 included $64,628 for achieving financial goals and $29,325 for achieving non-quantitative goals, and for the year ended December 31, 2010 included $56,273 for achieving financial goals and $17,250 for achieving non-quantitative goals. Mr. Bathurst’s compensation for the year ended December 31, 2011 included $18,831 for achieving financial goals and $4,069 for achieving non-quantitative goals, and for the year ended December 31,</w:t>
      </w:r>
    </w:p>
    <w:p>
      <w:pPr>
        <w:spacing w:after="0" w:line="3" w:lineRule="exact"/>
        <w:rPr>
          <w:rFonts w:ascii="Arial" w:cs="Arial" w:eastAsia="Arial" w:hAnsi="Arial"/>
          <w:sz w:val="19"/>
          <w:szCs w:val="19"/>
          <w:color w:val="auto"/>
        </w:rPr>
      </w:pPr>
    </w:p>
    <w:p>
      <w:pPr>
        <w:ind w:left="660" w:right="1299"/>
        <w:spacing w:after="0" w:line="273" w:lineRule="auto"/>
        <w:rPr>
          <w:rFonts w:ascii="Arial" w:cs="Arial" w:eastAsia="Arial" w:hAnsi="Arial"/>
          <w:sz w:val="19"/>
          <w:szCs w:val="19"/>
          <w:color w:val="auto"/>
        </w:rPr>
      </w:pPr>
      <w:r>
        <w:rPr>
          <w:rFonts w:ascii="Arial" w:cs="Arial" w:eastAsia="Arial" w:hAnsi="Arial"/>
          <w:sz w:val="19"/>
          <w:szCs w:val="19"/>
          <w:color w:val="auto"/>
        </w:rPr>
        <w:t>2010 included $37,923 for achieving financial goals and $9,939 for achieving non-quantitative goals. Mr. Narayanan’s compensation for the year ended December 31, 2011 included $37,934 for achieving financial goals and $14,156 for achieving non-quantitative goals, and for the year ended December 31, 2010 included $33,030 for achieving financial goals and $10,698 for achieving non-quantitative goals. Mr. Braithwaite’s compensation for the year ended December 31, 2011 included $43,554 for achieving financial goals and $15,985 for achieving non-quantitative goals, and for the year ended December 31, 2010 included $37,923 for achieving financial goals and $11,625 for achieving non-quantitative goals.</w:t>
      </w:r>
    </w:p>
    <w:p>
      <w:pPr>
        <w:spacing w:after="0" w:line="154" w:lineRule="exact"/>
        <w:rPr>
          <w:rFonts w:ascii="Arial" w:cs="Arial" w:eastAsia="Arial" w:hAnsi="Arial"/>
          <w:sz w:val="19"/>
          <w:szCs w:val="19"/>
          <w:color w:val="auto"/>
        </w:rPr>
      </w:pPr>
    </w:p>
    <w:p>
      <w:pPr>
        <w:ind w:left="660" w:right="1139" w:hanging="652"/>
        <w:spacing w:after="0" w:line="251" w:lineRule="auto"/>
        <w:tabs>
          <w:tab w:leader="none" w:pos="633"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amounts in the “All Other Compensation” column reflect the value of honorarium paid under a patenting process program.</w:t>
      </w:r>
    </w:p>
    <w:p>
      <w:pPr>
        <w:spacing w:after="0" w:line="51" w:lineRule="exact"/>
        <w:rPr>
          <w:rFonts w:ascii="Arial" w:cs="Arial" w:eastAsia="Arial" w:hAnsi="Arial"/>
          <w:sz w:val="22"/>
          <w:szCs w:val="22"/>
          <w:color w:val="auto"/>
        </w:rPr>
      </w:pPr>
    </w:p>
    <w:p>
      <w:pPr>
        <w:ind w:left="620" w:hanging="612"/>
        <w:spacing w:after="0"/>
        <w:tabs>
          <w:tab w:leader="none" w:pos="6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Mr. Bathurst left the company on May 13, 2011.</w:t>
      </w:r>
    </w:p>
    <w:p>
      <w:pPr>
        <w:spacing w:after="0" w:line="227" w:lineRule="exact"/>
        <w:rPr>
          <w:sz w:val="20"/>
          <w:szCs w:val="20"/>
          <w:color w:val="auto"/>
        </w:rPr>
      </w:pPr>
    </w:p>
    <w:p>
      <w:pPr>
        <w:jc w:val="center"/>
        <w:ind w:right="1119"/>
        <w:spacing w:after="0"/>
        <w:rPr>
          <w:sz w:val="20"/>
          <w:szCs w:val="20"/>
          <w:color w:val="auto"/>
        </w:rPr>
      </w:pPr>
      <w:r>
        <w:rPr>
          <w:rFonts w:ascii="Arial" w:cs="Arial" w:eastAsia="Arial" w:hAnsi="Arial"/>
          <w:sz w:val="22"/>
          <w:szCs w:val="22"/>
          <w:b w:val="1"/>
          <w:bCs w:val="1"/>
          <w:color w:val="auto"/>
        </w:rPr>
        <w:t>Outstanding Equity Awards</w:t>
      </w:r>
    </w:p>
    <w:p>
      <w:pPr>
        <w:spacing w:after="0" w:line="212" w:lineRule="exact"/>
        <w:rPr>
          <w:sz w:val="20"/>
          <w:szCs w:val="20"/>
          <w:color w:val="auto"/>
        </w:rPr>
      </w:pPr>
    </w:p>
    <w:p>
      <w:pPr>
        <w:ind w:right="1939" w:firstLine="648"/>
        <w:spacing w:after="0" w:line="251" w:lineRule="auto"/>
        <w:rPr>
          <w:sz w:val="20"/>
          <w:szCs w:val="20"/>
          <w:color w:val="auto"/>
        </w:rPr>
      </w:pPr>
      <w:r>
        <w:rPr>
          <w:rFonts w:ascii="Arial" w:cs="Arial" w:eastAsia="Arial" w:hAnsi="Arial"/>
          <w:sz w:val="22"/>
          <w:szCs w:val="22"/>
          <w:color w:val="auto"/>
        </w:rPr>
        <w:t>The following table provides information on the holdings of stock options by the named executive officers as of December 31,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5"/>
                <w:szCs w:val="5"/>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5"/>
                <w:szCs w:val="5"/>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81"/>
        </w:trPr>
        <w:tc>
          <w:tcPr>
            <w:tcW w:w="1560" w:type="dxa"/>
            <w:vAlign w:val="bottom"/>
            <w:vMerge w:val="restart"/>
          </w:tcPr>
          <w:p>
            <w:pPr>
              <w:ind w:left="600"/>
              <w:spacing w:after="0" w:line="149" w:lineRule="exact"/>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200" w:type="dxa"/>
            <w:vAlign w:val="bottom"/>
          </w:tcPr>
          <w:p>
            <w:pPr>
              <w:spacing w:after="0"/>
              <w:rPr>
                <w:sz w:val="5"/>
                <w:szCs w:val="5"/>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5"/>
                <w:szCs w:val="5"/>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200" w:type="dxa"/>
            <w:vAlign w:val="bottom"/>
          </w:tcPr>
          <w:p>
            <w:pPr>
              <w:spacing w:after="0"/>
              <w:rPr>
                <w:sz w:val="9"/>
                <w:szCs w:val="9"/>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Unexercisable (1)</w:t>
            </w: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A0C4DA"/>
          </w:tcPr>
          <w:p>
            <w:pPr>
              <w:spacing w:after="0"/>
              <w:rPr>
                <w:sz w:val="20"/>
                <w:szCs w:val="20"/>
                <w:color w:val="auto"/>
              </w:rPr>
            </w:pPr>
            <w:r>
              <w:rPr>
                <w:rFonts w:ascii="Arial" w:cs="Arial" w:eastAsia="Arial" w:hAnsi="Arial"/>
                <w:sz w:val="16"/>
                <w:szCs w:val="16"/>
                <w:color w:val="auto"/>
              </w:rPr>
              <w:t>Zee Hakimoglu</w:t>
            </w:r>
          </w:p>
        </w:tc>
        <w:tc>
          <w:tcPr>
            <w:tcW w:w="166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50,000</w:t>
            </w:r>
          </w:p>
        </w:tc>
        <w:tc>
          <w:tcPr>
            <w:tcW w:w="1360" w:type="dxa"/>
            <w:vAlign w:val="bottom"/>
            <w:gridSpan w:val="2"/>
            <w:shd w:val="clear" w:color="auto" w:fill="A0C4DA"/>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$ 6.40</w:t>
            </w:r>
          </w:p>
        </w:tc>
        <w:tc>
          <w:tcPr>
            <w:tcW w:w="1020" w:type="dxa"/>
            <w:vAlign w:val="bottom"/>
            <w:gridSpan w:val="2"/>
            <w:shd w:val="clear" w:color="auto" w:fill="A0C4DA"/>
          </w:tcPr>
          <w:p>
            <w:pPr>
              <w:jc w:val="center"/>
              <w:ind w:left="99"/>
              <w:spacing w:after="0"/>
              <w:rPr>
                <w:sz w:val="20"/>
                <w:szCs w:val="20"/>
                <w:color w:val="auto"/>
              </w:rPr>
            </w:pPr>
            <w:r>
              <w:rPr>
                <w:rFonts w:ascii="Arial" w:cs="Arial" w:eastAsia="Arial" w:hAnsi="Arial"/>
                <w:sz w:val="16"/>
                <w:szCs w:val="16"/>
                <w:color w:val="auto"/>
                <w:w w:val="93"/>
              </w:rPr>
              <w:t>03-24-04</w:t>
            </w:r>
          </w:p>
        </w:tc>
        <w:tc>
          <w:tcPr>
            <w:tcW w:w="1260" w:type="dxa"/>
            <w:vAlign w:val="bottom"/>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03-24-14</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100,000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5.55</w:t>
            </w:r>
          </w:p>
        </w:tc>
        <w:tc>
          <w:tcPr>
            <w:tcW w:w="102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07-26-04</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07-26-14</w:t>
            </w:r>
          </w:p>
        </w:tc>
        <w:tc>
          <w:tcPr>
            <w:tcW w:w="0" w:type="dxa"/>
            <w:vAlign w:val="bottom"/>
          </w:tcPr>
          <w:p>
            <w:pPr>
              <w:spacing w:after="0"/>
              <w:rPr>
                <w:sz w:val="1"/>
                <w:szCs w:val="1"/>
                <w:color w:val="auto"/>
              </w:rPr>
            </w:pPr>
          </w:p>
        </w:tc>
      </w:tr>
      <w:tr>
        <w:trPr>
          <w:trHeight w:val="233"/>
        </w:trPr>
        <w:tc>
          <w:tcPr>
            <w:tcW w:w="1560" w:type="dxa"/>
            <w:vAlign w:val="bottom"/>
            <w:shd w:val="clear" w:color="auto" w:fill="A0C4DA"/>
          </w:tcPr>
          <w:p>
            <w:pPr>
              <w:spacing w:after="0"/>
              <w:rPr>
                <w:sz w:val="20"/>
                <w:szCs w:val="20"/>
                <w:color w:val="auto"/>
              </w:rPr>
            </w:pPr>
          </w:p>
        </w:tc>
        <w:tc>
          <w:tcPr>
            <w:tcW w:w="166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150,000</w:t>
            </w:r>
          </w:p>
        </w:tc>
        <w:tc>
          <w:tcPr>
            <w:tcW w:w="1360" w:type="dxa"/>
            <w:vAlign w:val="bottom"/>
            <w:gridSpan w:val="2"/>
            <w:shd w:val="clear" w:color="auto" w:fill="A0C4DA"/>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3.65</w:t>
            </w:r>
          </w:p>
        </w:tc>
        <w:tc>
          <w:tcPr>
            <w:tcW w:w="1020" w:type="dxa"/>
            <w:vAlign w:val="bottom"/>
            <w:gridSpan w:val="2"/>
            <w:shd w:val="clear" w:color="auto" w:fill="A0C4DA"/>
          </w:tcPr>
          <w:p>
            <w:pPr>
              <w:jc w:val="center"/>
              <w:ind w:left="99"/>
              <w:spacing w:after="0"/>
              <w:rPr>
                <w:sz w:val="20"/>
                <w:szCs w:val="20"/>
                <w:color w:val="auto"/>
              </w:rPr>
            </w:pPr>
            <w:r>
              <w:rPr>
                <w:rFonts w:ascii="Arial" w:cs="Arial" w:eastAsia="Arial" w:hAnsi="Arial"/>
                <w:sz w:val="16"/>
                <w:szCs w:val="16"/>
                <w:color w:val="auto"/>
                <w:w w:val="93"/>
              </w:rPr>
              <w:t>09-18-06</w:t>
            </w:r>
          </w:p>
        </w:tc>
        <w:tc>
          <w:tcPr>
            <w:tcW w:w="1260" w:type="dxa"/>
            <w:vAlign w:val="bottom"/>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09-18-16</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150,000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6.15</w:t>
            </w:r>
          </w:p>
        </w:tc>
        <w:tc>
          <w:tcPr>
            <w:tcW w:w="102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08-14-07</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08-14-17</w:t>
            </w:r>
          </w:p>
        </w:tc>
        <w:tc>
          <w:tcPr>
            <w:tcW w:w="0" w:type="dxa"/>
            <w:vAlign w:val="bottom"/>
          </w:tcPr>
          <w:p>
            <w:pPr>
              <w:spacing w:after="0"/>
              <w:rPr>
                <w:sz w:val="1"/>
                <w:szCs w:val="1"/>
                <w:color w:val="auto"/>
              </w:rPr>
            </w:pPr>
          </w:p>
        </w:tc>
      </w:tr>
      <w:tr>
        <w:trPr>
          <w:trHeight w:val="233"/>
        </w:trPr>
        <w:tc>
          <w:tcPr>
            <w:tcW w:w="1560" w:type="dxa"/>
            <w:vAlign w:val="bottom"/>
            <w:shd w:val="clear" w:color="auto" w:fill="A0C4DA"/>
          </w:tcPr>
          <w:p>
            <w:pPr>
              <w:spacing w:after="0"/>
              <w:rPr>
                <w:sz w:val="20"/>
                <w:szCs w:val="20"/>
                <w:color w:val="auto"/>
              </w:rPr>
            </w:pPr>
          </w:p>
        </w:tc>
        <w:tc>
          <w:tcPr>
            <w:tcW w:w="166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50,000</w:t>
            </w:r>
          </w:p>
        </w:tc>
        <w:tc>
          <w:tcPr>
            <w:tcW w:w="1360" w:type="dxa"/>
            <w:vAlign w:val="bottom"/>
            <w:gridSpan w:val="2"/>
            <w:shd w:val="clear" w:color="auto" w:fill="A0C4DA"/>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4.03</w:t>
            </w:r>
          </w:p>
        </w:tc>
        <w:tc>
          <w:tcPr>
            <w:tcW w:w="1020" w:type="dxa"/>
            <w:vAlign w:val="bottom"/>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11-14-08</w:t>
            </w:r>
          </w:p>
        </w:tc>
        <w:tc>
          <w:tcPr>
            <w:tcW w:w="1260" w:type="dxa"/>
            <w:vAlign w:val="bottom"/>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11-14-18</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5,277</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4,723</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05-26-10</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05-26-20</w:t>
            </w:r>
          </w:p>
        </w:tc>
        <w:tc>
          <w:tcPr>
            <w:tcW w:w="0" w:type="dxa"/>
            <w:vAlign w:val="bottom"/>
          </w:tcPr>
          <w:p>
            <w:pPr>
              <w:spacing w:after="0"/>
              <w:rPr>
                <w:sz w:val="1"/>
                <w:szCs w:val="1"/>
                <w:color w:val="auto"/>
              </w:rPr>
            </w:pPr>
          </w:p>
        </w:tc>
      </w:tr>
      <w:tr>
        <w:trPr>
          <w:trHeight w:val="226"/>
        </w:trPr>
        <w:tc>
          <w:tcPr>
            <w:tcW w:w="1560" w:type="dxa"/>
            <w:vAlign w:val="bottom"/>
            <w:tcBorders>
              <w:bottom w:val="single" w:sz="8" w:color="auto"/>
            </w:tcBorders>
            <w:shd w:val="clear" w:color="auto" w:fill="A0C4DA"/>
          </w:tcPr>
          <w:p>
            <w:pPr>
              <w:spacing w:after="0"/>
              <w:rPr>
                <w:sz w:val="19"/>
                <w:szCs w:val="19"/>
                <w:color w:val="auto"/>
              </w:rPr>
            </w:pPr>
          </w:p>
        </w:tc>
        <w:tc>
          <w:tcPr>
            <w:tcW w:w="1660" w:type="dxa"/>
            <w:vAlign w:val="bottom"/>
            <w:tcBorders>
              <w:bottom w:val="single" w:sz="8" w:color="auto"/>
            </w:tcBorders>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2"/>
            <w:shd w:val="clear" w:color="auto" w:fill="A0C4DA"/>
          </w:tcPr>
          <w:p>
            <w:pPr>
              <w:jc w:val="right"/>
              <w:ind w:right="2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08-05-21</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20"/>
                <w:szCs w:val="20"/>
                <w:color w:val="auto"/>
              </w:rPr>
            </w:pPr>
            <w:r>
              <w:rPr>
                <w:rFonts w:ascii="Arial" w:cs="Arial" w:eastAsia="Arial" w:hAnsi="Arial"/>
                <w:sz w:val="16"/>
                <w:szCs w:val="16"/>
                <w:color w:val="auto"/>
              </w:rPr>
              <w:t>Narsi Narayanan</w:t>
            </w: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23,333</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6,667</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2.78</w:t>
            </w:r>
          </w:p>
        </w:tc>
        <w:tc>
          <w:tcPr>
            <w:tcW w:w="102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08-27-09</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08-27-19</w:t>
            </w:r>
          </w:p>
        </w:tc>
        <w:tc>
          <w:tcPr>
            <w:tcW w:w="0" w:type="dxa"/>
            <w:vAlign w:val="bottom"/>
          </w:tcPr>
          <w:p>
            <w:pPr>
              <w:spacing w:after="0"/>
              <w:rPr>
                <w:sz w:val="1"/>
                <w:szCs w:val="1"/>
                <w:color w:val="auto"/>
              </w:rPr>
            </w:pPr>
          </w:p>
        </w:tc>
      </w:tr>
      <w:tr>
        <w:trPr>
          <w:trHeight w:val="233"/>
        </w:trPr>
        <w:tc>
          <w:tcPr>
            <w:tcW w:w="1560" w:type="dxa"/>
            <w:vAlign w:val="bottom"/>
            <w:shd w:val="clear" w:color="auto" w:fill="A0C4DA"/>
          </w:tcPr>
          <w:p>
            <w:pPr>
              <w:spacing w:after="0"/>
              <w:rPr>
                <w:sz w:val="20"/>
                <w:szCs w:val="20"/>
                <w:color w:val="auto"/>
              </w:rPr>
            </w:pPr>
          </w:p>
        </w:tc>
        <w:tc>
          <w:tcPr>
            <w:tcW w:w="166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5,277</w:t>
            </w:r>
          </w:p>
        </w:tc>
        <w:tc>
          <w:tcPr>
            <w:tcW w:w="1360" w:type="dxa"/>
            <w:vAlign w:val="bottom"/>
            <w:gridSpan w:val="2"/>
            <w:shd w:val="clear" w:color="auto" w:fill="A0C4DA"/>
          </w:tcPr>
          <w:p>
            <w:pPr>
              <w:jc w:val="right"/>
              <w:ind w:right="28"/>
              <w:spacing w:after="0"/>
              <w:rPr>
                <w:sz w:val="20"/>
                <w:szCs w:val="20"/>
                <w:color w:val="auto"/>
              </w:rPr>
            </w:pPr>
            <w:r>
              <w:rPr>
                <w:rFonts w:ascii="Arial" w:cs="Arial" w:eastAsia="Arial" w:hAnsi="Arial"/>
                <w:sz w:val="16"/>
                <w:szCs w:val="16"/>
                <w:color w:val="auto"/>
              </w:rPr>
              <w:t>4,723</w:t>
            </w:r>
          </w:p>
        </w:tc>
        <w:tc>
          <w:tcPr>
            <w:tcW w:w="102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shd w:val="clear" w:color="auto" w:fill="A0C4DA"/>
          </w:tcPr>
          <w:p>
            <w:pPr>
              <w:jc w:val="center"/>
              <w:ind w:left="99"/>
              <w:spacing w:after="0"/>
              <w:rPr>
                <w:sz w:val="20"/>
                <w:szCs w:val="20"/>
                <w:color w:val="auto"/>
              </w:rPr>
            </w:pPr>
            <w:r>
              <w:rPr>
                <w:rFonts w:ascii="Arial" w:cs="Arial" w:eastAsia="Arial" w:hAnsi="Arial"/>
                <w:sz w:val="16"/>
                <w:szCs w:val="16"/>
                <w:color w:val="auto"/>
                <w:w w:val="93"/>
              </w:rPr>
              <w:t>05-26-10</w:t>
            </w:r>
          </w:p>
        </w:tc>
        <w:tc>
          <w:tcPr>
            <w:tcW w:w="1260" w:type="dxa"/>
            <w:vAlign w:val="bottom"/>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05-26-20</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color w:val="auto"/>
                <w:w w:val="90"/>
              </w:rPr>
              <w:t>08-05-21</w:t>
            </w:r>
          </w:p>
        </w:tc>
        <w:tc>
          <w:tcPr>
            <w:tcW w:w="0" w:type="dxa"/>
            <w:vAlign w:val="bottom"/>
          </w:tcPr>
          <w:p>
            <w:pPr>
              <w:spacing w:after="0"/>
              <w:rPr>
                <w:sz w:val="1"/>
                <w:szCs w:val="1"/>
                <w:color w:val="auto"/>
              </w:rPr>
            </w:pPr>
          </w:p>
        </w:tc>
      </w:tr>
      <w:tr>
        <w:trPr>
          <w:trHeight w:val="230"/>
        </w:trPr>
        <w:tc>
          <w:tcPr>
            <w:tcW w:w="1560" w:type="dxa"/>
            <w:vAlign w:val="bottom"/>
            <w:shd w:val="clear" w:color="auto" w:fill="A0C4DA"/>
          </w:tcPr>
          <w:p>
            <w:pPr>
              <w:spacing w:after="0"/>
              <w:rPr>
                <w:sz w:val="20"/>
                <w:szCs w:val="20"/>
                <w:color w:val="auto"/>
              </w:rPr>
            </w:pPr>
            <w:r>
              <w:rPr>
                <w:rFonts w:ascii="Arial" w:cs="Arial" w:eastAsia="Arial" w:hAnsi="Arial"/>
                <w:sz w:val="16"/>
                <w:szCs w:val="16"/>
                <w:color w:val="auto"/>
              </w:rPr>
              <w:t>Michael Braithwaite</w:t>
            </w:r>
          </w:p>
        </w:tc>
        <w:tc>
          <w:tcPr>
            <w:tcW w:w="166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10,833</w:t>
            </w:r>
          </w:p>
        </w:tc>
        <w:tc>
          <w:tcPr>
            <w:tcW w:w="1360" w:type="dxa"/>
            <w:vAlign w:val="bottom"/>
            <w:gridSpan w:val="2"/>
            <w:shd w:val="clear" w:color="auto" w:fill="A0C4DA"/>
          </w:tcPr>
          <w:p>
            <w:pPr>
              <w:jc w:val="right"/>
              <w:ind w:right="28"/>
              <w:spacing w:after="0"/>
              <w:rPr>
                <w:sz w:val="20"/>
                <w:szCs w:val="20"/>
                <w:color w:val="auto"/>
              </w:rPr>
            </w:pPr>
            <w:r>
              <w:rPr>
                <w:rFonts w:ascii="Arial" w:cs="Arial" w:eastAsia="Arial" w:hAnsi="Arial"/>
                <w:sz w:val="16"/>
                <w:szCs w:val="16"/>
                <w:color w:val="auto"/>
              </w:rPr>
              <w:t>19,167</w:t>
            </w:r>
          </w:p>
        </w:tc>
        <w:tc>
          <w:tcPr>
            <w:tcW w:w="102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2.65</w:t>
            </w:r>
          </w:p>
        </w:tc>
        <w:tc>
          <w:tcPr>
            <w:tcW w:w="1020" w:type="dxa"/>
            <w:vAlign w:val="bottom"/>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11-30-09</w:t>
            </w:r>
          </w:p>
        </w:tc>
        <w:tc>
          <w:tcPr>
            <w:tcW w:w="1260" w:type="dxa"/>
            <w:vAlign w:val="bottom"/>
            <w:gridSpan w:val="2"/>
            <w:shd w:val="clear" w:color="auto" w:fill="A0C4DA"/>
          </w:tcPr>
          <w:p>
            <w:pPr>
              <w:jc w:val="center"/>
              <w:ind w:left="119"/>
              <w:spacing w:after="0"/>
              <w:rPr>
                <w:sz w:val="20"/>
                <w:szCs w:val="20"/>
                <w:color w:val="auto"/>
              </w:rPr>
            </w:pPr>
            <w:r>
              <w:rPr>
                <w:rFonts w:ascii="Arial" w:cs="Arial" w:eastAsia="Arial" w:hAnsi="Arial"/>
                <w:sz w:val="16"/>
                <w:szCs w:val="16"/>
                <w:color w:val="auto"/>
                <w:w w:val="90"/>
              </w:rPr>
              <w:t>11-30-19</w:t>
            </w:r>
          </w:p>
        </w:tc>
        <w:tc>
          <w:tcPr>
            <w:tcW w:w="0" w:type="dxa"/>
            <w:vAlign w:val="bottom"/>
          </w:tcPr>
          <w:p>
            <w:pPr>
              <w:spacing w:after="0"/>
              <w:rPr>
                <w:sz w:val="1"/>
                <w:szCs w:val="1"/>
                <w:color w:val="auto"/>
              </w:rPr>
            </w:pPr>
          </w:p>
        </w:tc>
      </w:tr>
      <w:tr>
        <w:trPr>
          <w:trHeight w:val="220"/>
        </w:trPr>
        <w:tc>
          <w:tcPr>
            <w:tcW w:w="1560" w:type="dxa"/>
            <w:vAlign w:val="bottom"/>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5,277</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4,723</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05-26-10</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05-26-20</w:t>
            </w:r>
          </w:p>
        </w:tc>
        <w:tc>
          <w:tcPr>
            <w:tcW w:w="0" w:type="dxa"/>
            <w:vAlign w:val="bottom"/>
          </w:tcPr>
          <w:p>
            <w:pPr>
              <w:spacing w:after="0"/>
              <w:rPr>
                <w:sz w:val="1"/>
                <w:szCs w:val="1"/>
                <w:color w:val="auto"/>
              </w:rPr>
            </w:pPr>
          </w:p>
        </w:tc>
      </w:tr>
      <w:tr>
        <w:trPr>
          <w:trHeight w:val="220"/>
        </w:trPr>
        <w:tc>
          <w:tcPr>
            <w:tcW w:w="1560" w:type="dxa"/>
            <w:vAlign w:val="bottom"/>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10,000</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08-05-21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499999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9990"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color w:val="auto"/>
        </w:rPr>
        <w:t>(1) Unvested options vest monthly over a three year period beginning on the date of grant</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36</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50" w:name="page51"/>
    <w:bookmarkEnd w:id="50"/>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jc w:val="center"/>
        <w:ind w:right="1079"/>
        <w:spacing w:after="0"/>
        <w:rPr>
          <w:sz w:val="20"/>
          <w:szCs w:val="20"/>
          <w:color w:val="auto"/>
        </w:rPr>
      </w:pPr>
      <w:r>
        <w:rPr>
          <w:rFonts w:ascii="Arial" w:cs="Arial" w:eastAsia="Arial" w:hAnsi="Arial"/>
          <w:sz w:val="22"/>
          <w:szCs w:val="22"/>
          <w:b w:val="1"/>
          <w:bCs w:val="1"/>
          <w:color w:val="auto"/>
        </w:rPr>
        <w:t>Option Exercises</w:t>
      </w:r>
    </w:p>
    <w:p>
      <w:pPr>
        <w:spacing w:after="0" w:line="212" w:lineRule="exact"/>
        <w:rPr>
          <w:sz w:val="20"/>
          <w:szCs w:val="20"/>
          <w:color w:val="auto"/>
        </w:rPr>
      </w:pPr>
    </w:p>
    <w:p>
      <w:pPr>
        <w:ind w:right="1419" w:firstLine="648"/>
        <w:spacing w:after="0" w:line="251" w:lineRule="auto"/>
        <w:rPr>
          <w:sz w:val="20"/>
          <w:szCs w:val="20"/>
          <w:color w:val="auto"/>
        </w:rPr>
      </w:pPr>
      <w:r>
        <w:rPr>
          <w:rFonts w:ascii="Arial" w:cs="Arial" w:eastAsia="Arial" w:hAnsi="Arial"/>
          <w:sz w:val="22"/>
          <w:szCs w:val="22"/>
          <w:color w:val="auto"/>
        </w:rPr>
        <w:t>The following table provides information on the exercise of stock options by named executive officers during the year ended December 31,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 acquired on</w:t>
            </w:r>
          </w:p>
        </w:tc>
        <w:tc>
          <w:tcPr>
            <w:tcW w:w="28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91"/>
        </w:trPr>
        <w:tc>
          <w:tcPr>
            <w:tcW w:w="2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203"/>
              <w:spacing w:after="0"/>
              <w:rPr>
                <w:sz w:val="20"/>
                <w:szCs w:val="20"/>
                <w:color w:val="auto"/>
              </w:rPr>
            </w:pPr>
            <w:r>
              <w:rPr>
                <w:rFonts w:ascii="Arial" w:cs="Arial" w:eastAsia="Arial" w:hAnsi="Arial"/>
                <w:sz w:val="14"/>
                <w:szCs w:val="14"/>
                <w:b w:val="1"/>
                <w:bCs w:val="1"/>
                <w:color w:val="auto"/>
                <w:w w:val="88"/>
              </w:rPr>
              <w:t>exercise (1)</w:t>
            </w:r>
          </w:p>
        </w:tc>
        <w:tc>
          <w:tcPr>
            <w:tcW w:w="0" w:type="dxa"/>
            <w:vAlign w:val="bottom"/>
          </w:tcPr>
          <w:p>
            <w:pPr>
              <w:spacing w:after="0"/>
              <w:rPr>
                <w:sz w:val="1"/>
                <w:szCs w:val="1"/>
                <w:color w:val="auto"/>
              </w:rPr>
            </w:pPr>
          </w:p>
        </w:tc>
      </w:tr>
      <w:tr>
        <w:trPr>
          <w:trHeight w:val="33"/>
        </w:trPr>
        <w:tc>
          <w:tcPr>
            <w:tcW w:w="2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A0C4DA"/>
          </w:tcPr>
          <w:p>
            <w:pPr>
              <w:spacing w:after="0"/>
              <w:rPr>
                <w:sz w:val="20"/>
                <w:szCs w:val="20"/>
                <w:color w:val="auto"/>
              </w:rPr>
            </w:pPr>
            <w:r>
              <w:rPr>
                <w:rFonts w:ascii="Arial" w:cs="Arial" w:eastAsia="Arial" w:hAnsi="Arial"/>
                <w:sz w:val="16"/>
                <w:szCs w:val="16"/>
                <w:color w:val="auto"/>
              </w:rPr>
              <w:t>Tracy A. Bathurst</w:t>
            </w:r>
          </w:p>
        </w:tc>
        <w:tc>
          <w:tcPr>
            <w:tcW w:w="2340" w:type="dxa"/>
            <w:vAlign w:val="bottom"/>
            <w:gridSpan w:val="2"/>
            <w:shd w:val="clear" w:color="auto" w:fill="A0C4DA"/>
          </w:tcPr>
          <w:p>
            <w:pPr>
              <w:jc w:val="right"/>
              <w:ind w:right="228"/>
              <w:spacing w:after="0"/>
              <w:rPr>
                <w:sz w:val="20"/>
                <w:szCs w:val="20"/>
                <w:color w:val="auto"/>
              </w:rPr>
            </w:pPr>
            <w:r>
              <w:rPr>
                <w:rFonts w:ascii="Arial" w:cs="Arial" w:eastAsia="Arial" w:hAnsi="Arial"/>
                <w:sz w:val="16"/>
                <w:szCs w:val="16"/>
                <w:color w:val="auto"/>
              </w:rPr>
              <w:t>95,138</w:t>
            </w:r>
          </w:p>
        </w:tc>
        <w:tc>
          <w:tcPr>
            <w:tcW w:w="580" w:type="dxa"/>
            <w:vAlign w:val="bottom"/>
            <w:gridSpan w:val="2"/>
            <w:shd w:val="clear" w:color="auto" w:fill="A0C4DA"/>
          </w:tcPr>
          <w:p>
            <w:pPr>
              <w:jc w:val="right"/>
              <w:ind w:right="8"/>
              <w:spacing w:after="0"/>
              <w:rPr>
                <w:sz w:val="20"/>
                <w:szCs w:val="20"/>
                <w:color w:val="auto"/>
              </w:rPr>
            </w:pPr>
            <w:r>
              <w:rPr>
                <w:rFonts w:ascii="Arial" w:cs="Arial" w:eastAsia="Arial" w:hAnsi="Arial"/>
                <w:sz w:val="16"/>
                <w:szCs w:val="16"/>
                <w:color w:val="auto"/>
              </w:rPr>
              <w:t>$</w:t>
            </w:r>
          </w:p>
        </w:tc>
        <w:tc>
          <w:tcPr>
            <w:tcW w:w="1120" w:type="dxa"/>
            <w:vAlign w:val="bottom"/>
            <w:shd w:val="clear" w:color="auto" w:fill="A0C4DA"/>
          </w:tcPr>
          <w:p>
            <w:pPr>
              <w:jc w:val="right"/>
              <w:ind w:right="243"/>
              <w:spacing w:after="0"/>
              <w:rPr>
                <w:sz w:val="20"/>
                <w:szCs w:val="20"/>
                <w:color w:val="auto"/>
              </w:rPr>
            </w:pPr>
            <w:r>
              <w:rPr>
                <w:rFonts w:ascii="Arial" w:cs="Arial" w:eastAsia="Arial" w:hAnsi="Arial"/>
                <w:sz w:val="16"/>
                <w:szCs w:val="16"/>
                <w:color w:val="auto"/>
              </w:rPr>
              <w:t>185,449</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980" w:right="1439" w:hanging="324"/>
        <w:spacing w:after="0" w:line="251" w:lineRule="auto"/>
        <w:tabs>
          <w:tab w:leader="none" w:pos="953" w:val="left"/>
        </w:tabs>
        <w:numPr>
          <w:ilvl w:val="0"/>
          <w:numId w:val="17"/>
        </w:numPr>
        <w:rPr>
          <w:rFonts w:ascii="Arial" w:cs="Arial" w:eastAsia="Arial" w:hAnsi="Arial"/>
          <w:sz w:val="22"/>
          <w:szCs w:val="22"/>
          <w:color w:val="auto"/>
        </w:rPr>
      </w:pPr>
      <w:r>
        <w:rPr>
          <w:rFonts w:ascii="Arial" w:cs="Arial" w:eastAsia="Arial" w:hAnsi="Arial"/>
          <w:sz w:val="22"/>
          <w:szCs w:val="22"/>
          <w:color w:val="auto"/>
        </w:rPr>
        <w:t>Value realized on exercise is the excess of market price of underlying shares on the date of exercise over exercise price for the options.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4" w:lineRule="exact"/>
        <w:rPr>
          <w:sz w:val="20"/>
          <w:szCs w:val="20"/>
          <w:color w:val="auto"/>
        </w:rPr>
      </w:pPr>
    </w:p>
    <w:p>
      <w:pPr>
        <w:jc w:val="both"/>
        <w:ind w:right="1799" w:firstLine="648"/>
        <w:spacing w:after="0" w:line="246" w:lineRule="auto"/>
        <w:rPr>
          <w:sz w:val="20"/>
          <w:szCs w:val="20"/>
          <w:color w:val="auto"/>
        </w:rPr>
      </w:pPr>
      <w:r>
        <w:rPr>
          <w:rFonts w:ascii="Arial" w:cs="Arial" w:eastAsia="Arial" w:hAnsi="Arial"/>
          <w:sz w:val="21"/>
          <w:szCs w:val="21"/>
          <w:i w:val="1"/>
          <w:iCs w:val="1"/>
          <w:color w:val="auto"/>
        </w:rPr>
        <w:t xml:space="preserve">Employment Agreements. </w:t>
      </w:r>
      <w:r>
        <w:rPr>
          <w:rFonts w:ascii="Arial" w:cs="Arial" w:eastAsia="Arial" w:hAnsi="Arial"/>
          <w:sz w:val="21"/>
          <w:szCs w:val="21"/>
          <w:color w:val="auto"/>
        </w:rPr>
        <w:t>As of the year ended December 31, 2011, none of our named</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officers was party to an employment or severance agreement with us, and each named executive officer’s employment was on an “at-will” basis, permitting either us or the executive to terminate his or her employment for any reason or for no reason.</w:t>
      </w:r>
    </w:p>
    <w:p>
      <w:pPr>
        <w:spacing w:after="0" w:line="59" w:lineRule="exact"/>
        <w:rPr>
          <w:sz w:val="20"/>
          <w:szCs w:val="20"/>
          <w:color w:val="auto"/>
        </w:rPr>
      </w:pPr>
    </w:p>
    <w:p>
      <w:pPr>
        <w:ind w:right="1139" w:firstLine="648"/>
        <w:spacing w:after="0" w:line="238" w:lineRule="auto"/>
        <w:rPr>
          <w:sz w:val="20"/>
          <w:szCs w:val="20"/>
          <w:color w:val="auto"/>
        </w:rPr>
      </w:pPr>
      <w:r>
        <w:rPr>
          <w:rFonts w:ascii="Arial" w:cs="Arial" w:eastAsia="Arial" w:hAnsi="Arial"/>
          <w:sz w:val="22"/>
          <w:szCs w:val="22"/>
          <w:i w:val="1"/>
          <w:iCs w:val="1"/>
          <w:color w:val="auto"/>
        </w:rPr>
        <w:t>Accelerated Stock Option Vesting Upon a Change in Control</w:t>
      </w:r>
      <w:r>
        <w:rPr>
          <w:rFonts w:ascii="Arial" w:cs="Arial" w:eastAsia="Arial" w:hAnsi="Arial"/>
          <w:sz w:val="22"/>
          <w:szCs w:val="22"/>
          <w:color w:val="auto"/>
        </w:rPr>
        <w:t>. For certain option grants to</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officers and directors, in the event of a change in control, all of such optionee’s unvested stock options will vest and become exercisable immediately prior to the event or closing of the transaction causing the change in control.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Under the option grants, a “</w:t>
      </w:r>
      <w:r>
        <w:rPr>
          <w:rFonts w:ascii="Arial" w:cs="Arial" w:eastAsia="Arial" w:hAnsi="Arial"/>
          <w:sz w:val="19"/>
          <w:szCs w:val="19"/>
          <w:i w:val="1"/>
          <w:iCs w:val="1"/>
          <w:color w:val="auto"/>
        </w:rPr>
        <w:t>Change in Control</w:t>
      </w:r>
      <w:r>
        <w:rPr>
          <w:rFonts w:ascii="Arial" w:cs="Arial" w:eastAsia="Arial" w:hAnsi="Arial"/>
          <w:sz w:val="19"/>
          <w:szCs w:val="19"/>
          <w:color w:val="auto"/>
        </w:rPr>
        <w:t>” means a change in ownership or control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Corporation effected through either of the following transactions:</w:t>
      </w:r>
    </w:p>
    <w:p>
      <w:pPr>
        <w:spacing w:after="0" w:line="67" w:lineRule="exact"/>
        <w:rPr>
          <w:sz w:val="20"/>
          <w:szCs w:val="20"/>
          <w:color w:val="auto"/>
        </w:rPr>
      </w:pPr>
    </w:p>
    <w:p>
      <w:pPr>
        <w:ind w:right="1159" w:firstLine="656"/>
        <w:spacing w:after="0" w:line="279" w:lineRule="auto"/>
        <w:tabs>
          <w:tab w:leader="none" w:pos="90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shareholders, which the Board does not recommend such shareholders to accept, or</w:t>
      </w:r>
    </w:p>
    <w:p>
      <w:pPr>
        <w:spacing w:after="0" w:line="29" w:lineRule="exact"/>
        <w:rPr>
          <w:rFonts w:ascii="Arial" w:cs="Arial" w:eastAsia="Arial" w:hAnsi="Arial"/>
          <w:sz w:val="19"/>
          <w:szCs w:val="19"/>
          <w:color w:val="auto"/>
        </w:rPr>
      </w:pPr>
    </w:p>
    <w:p>
      <w:pPr>
        <w:ind w:right="1239" w:firstLine="656"/>
        <w:spacing w:after="0" w:line="279" w:lineRule="auto"/>
        <w:tabs>
          <w:tab w:leader="none" w:pos="966" w:val="left"/>
        </w:tabs>
        <w:numPr>
          <w:ilvl w:val="0"/>
          <w:numId w:val="18"/>
        </w:numPr>
        <w:rPr>
          <w:rFonts w:ascii="Arial" w:cs="Arial" w:eastAsia="Arial" w:hAnsi="Arial"/>
          <w:sz w:val="19"/>
          <w:szCs w:val="19"/>
          <w:color w:val="auto"/>
        </w:rPr>
      </w:pPr>
      <w:r>
        <w:rPr>
          <w:rFonts w:ascii="Arial" w:cs="Arial" w:eastAsia="Arial" w:hAnsi="Arial"/>
          <w:sz w:val="19"/>
          <w:szCs w:val="19"/>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29" w:lineRule="exact"/>
        <w:rPr>
          <w:sz w:val="20"/>
          <w:szCs w:val="20"/>
          <w:color w:val="auto"/>
        </w:rPr>
      </w:pPr>
    </w:p>
    <w:p>
      <w:pPr>
        <w:ind w:right="1259" w:firstLine="648"/>
        <w:spacing w:after="0" w:line="235" w:lineRule="auto"/>
        <w:rPr>
          <w:sz w:val="20"/>
          <w:szCs w:val="20"/>
          <w:color w:val="auto"/>
        </w:rPr>
      </w:pPr>
      <w:r>
        <w:rPr>
          <w:rFonts w:ascii="Arial" w:cs="Arial" w:eastAsia="Arial" w:hAnsi="Arial"/>
          <w:sz w:val="22"/>
          <w:szCs w:val="22"/>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67" w:lineRule="exact"/>
        <w:rPr>
          <w:sz w:val="20"/>
          <w:szCs w:val="20"/>
          <w:color w:val="auto"/>
        </w:rPr>
      </w:pPr>
    </w:p>
    <w:p>
      <w:pPr>
        <w:ind w:right="1359" w:firstLine="648"/>
        <w:spacing w:after="0" w:line="251" w:lineRule="auto"/>
        <w:rPr>
          <w:sz w:val="20"/>
          <w:szCs w:val="20"/>
          <w:color w:val="auto"/>
        </w:rPr>
      </w:pPr>
      <w:r>
        <w:rPr>
          <w:rFonts w:ascii="Arial" w:cs="Arial" w:eastAsia="Arial" w:hAnsi="Arial"/>
          <w:sz w:val="22"/>
          <w:szCs w:val="22"/>
          <w:color w:val="auto"/>
        </w:rPr>
        <w:t>At our current stock price of about $4.468, all the named executive officers would each benefit from any potential accelerated vesting of unvested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37</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1" w:name="page52"/>
    <w:bookmarkEnd w:id="51"/>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Director Compensation</w:t>
      </w:r>
    </w:p>
    <w:p>
      <w:pPr>
        <w:spacing w:after="0" w:line="212" w:lineRule="exact"/>
        <w:rPr>
          <w:sz w:val="20"/>
          <w:szCs w:val="20"/>
          <w:color w:val="auto"/>
        </w:rPr>
      </w:pPr>
    </w:p>
    <w:p>
      <w:pPr>
        <w:ind w:right="1199" w:firstLine="648"/>
        <w:spacing w:after="0"/>
        <w:rPr>
          <w:sz w:val="20"/>
          <w:szCs w:val="20"/>
          <w:color w:val="auto"/>
        </w:rPr>
      </w:pPr>
      <w:r>
        <w:rPr>
          <w:rFonts w:ascii="Arial" w:cs="Arial" w:eastAsia="Arial" w:hAnsi="Arial"/>
          <w:sz w:val="22"/>
          <w:szCs w:val="22"/>
          <w:color w:val="auto"/>
        </w:rPr>
        <w:t>The following table summarizes the compensation paid by us to non-employee directors for the year ended December 31, 2011. Ms. Hakimoglu did not receive additional compensation for her service as a director.</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Fees Earned or Paid</w:t>
            </w:r>
          </w:p>
        </w:tc>
        <w:tc>
          <w:tcPr>
            <w:tcW w:w="200" w:type="dxa"/>
            <w:vAlign w:val="bottom"/>
          </w:tcPr>
          <w:p>
            <w:pPr>
              <w:spacing w:after="0"/>
              <w:rPr>
                <w:sz w:val="14"/>
                <w:szCs w:val="14"/>
                <w:color w:val="auto"/>
              </w:rPr>
            </w:pPr>
          </w:p>
        </w:tc>
        <w:tc>
          <w:tcPr>
            <w:tcW w:w="1160" w:type="dxa"/>
            <w:vAlign w:val="bottom"/>
          </w:tcPr>
          <w:p>
            <w:pPr>
              <w:jc w:val="right"/>
              <w:ind w:right="39"/>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 Cash (1)</w:t>
            </w:r>
          </w:p>
        </w:tc>
        <w:tc>
          <w:tcPr>
            <w:tcW w:w="136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(2) ( 3)</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tcBorders>
              <w:top w:val="single" w:sz="8" w:color="auto"/>
            </w:tcBorders>
            <w:shd w:val="clear" w:color="auto" w:fill="A0C4DA"/>
          </w:tcPr>
          <w:p>
            <w:pPr>
              <w:spacing w:after="0"/>
              <w:rPr>
                <w:sz w:val="20"/>
                <w:szCs w:val="20"/>
                <w:color w:val="auto"/>
              </w:rPr>
            </w:pPr>
            <w:r>
              <w:rPr>
                <w:rFonts w:ascii="Arial" w:cs="Arial" w:eastAsia="Arial" w:hAnsi="Arial"/>
                <w:sz w:val="18"/>
                <w:szCs w:val="18"/>
                <w:color w:val="auto"/>
              </w:rPr>
              <w:t>Brad R. Baldwin</w:t>
            </w:r>
          </w:p>
        </w:tc>
        <w:tc>
          <w:tcPr>
            <w:tcW w:w="200" w:type="dxa"/>
            <w:vAlign w:val="bottom"/>
            <w:shd w:val="clear" w:color="auto" w:fill="A0C4DA"/>
          </w:tcPr>
          <w:p>
            <w:pPr>
              <w:spacing w:after="0"/>
              <w:rPr>
                <w:sz w:val="19"/>
                <w:szCs w:val="19"/>
                <w:color w:val="auto"/>
              </w:rPr>
            </w:pPr>
          </w:p>
        </w:tc>
        <w:tc>
          <w:tcPr>
            <w:tcW w:w="280" w:type="dxa"/>
            <w:vAlign w:val="bottom"/>
            <w:tcBorders>
              <w:top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A0C4DA"/>
          </w:tcPr>
          <w:p>
            <w:pPr>
              <w:jc w:val="right"/>
              <w:ind w:right="214"/>
              <w:spacing w:after="0"/>
              <w:rPr>
                <w:sz w:val="20"/>
                <w:szCs w:val="20"/>
                <w:color w:val="auto"/>
              </w:rPr>
            </w:pPr>
            <w:r>
              <w:rPr>
                <w:rFonts w:ascii="Arial" w:cs="Arial" w:eastAsia="Arial" w:hAnsi="Arial"/>
                <w:sz w:val="18"/>
                <w:szCs w:val="18"/>
                <w:color w:val="auto"/>
              </w:rPr>
              <w:t>24,000</w:t>
            </w:r>
          </w:p>
        </w:tc>
        <w:tc>
          <w:tcPr>
            <w:tcW w:w="200" w:type="dxa"/>
            <w:vAlign w:val="bottom"/>
            <w:shd w:val="clear" w:color="auto" w:fill="A0C4DA"/>
          </w:tcPr>
          <w:p>
            <w:pPr>
              <w:spacing w:after="0"/>
              <w:rPr>
                <w:sz w:val="19"/>
                <w:szCs w:val="19"/>
                <w:color w:val="auto"/>
              </w:rPr>
            </w:pPr>
          </w:p>
        </w:tc>
        <w:tc>
          <w:tcPr>
            <w:tcW w:w="1160" w:type="dxa"/>
            <w:vAlign w:val="bottom"/>
            <w:tcBorders>
              <w:top w:val="single" w:sz="8" w:color="auto"/>
            </w:tcBorders>
            <w:shd w:val="clear" w:color="auto" w:fill="A0C4DA"/>
          </w:tcPr>
          <w:p>
            <w:pPr>
              <w:jc w:val="right"/>
              <w:ind w:right="239"/>
              <w:spacing w:after="0"/>
              <w:rPr>
                <w:sz w:val="20"/>
                <w:szCs w:val="20"/>
                <w:color w:val="auto"/>
              </w:rPr>
            </w:pPr>
            <w:r>
              <w:rPr>
                <w:rFonts w:ascii="Arial" w:cs="Arial" w:eastAsia="Arial" w:hAnsi="Arial"/>
                <w:sz w:val="18"/>
                <w:szCs w:val="18"/>
                <w:color w:val="auto"/>
              </w:rPr>
              <w:t>$  14,718</w:t>
            </w:r>
          </w:p>
        </w:tc>
        <w:tc>
          <w:tcPr>
            <w:tcW w:w="180" w:type="dxa"/>
            <w:vAlign w:val="bottom"/>
            <w:shd w:val="clear" w:color="auto" w:fill="A0C4DA"/>
          </w:tcPr>
          <w:p>
            <w:pPr>
              <w:spacing w:after="0"/>
              <w:rPr>
                <w:sz w:val="19"/>
                <w:szCs w:val="19"/>
                <w:color w:val="auto"/>
              </w:rPr>
            </w:pPr>
          </w:p>
        </w:tc>
        <w:tc>
          <w:tcPr>
            <w:tcW w:w="360" w:type="dxa"/>
            <w:vAlign w:val="bottom"/>
            <w:tcBorders>
              <w:top w:val="single" w:sz="8" w:color="auto"/>
            </w:tcBorders>
            <w:shd w:val="clear" w:color="auto" w:fill="A0C4DA"/>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A0C4DA"/>
          </w:tcPr>
          <w:p>
            <w:pPr>
              <w:ind w:left="120"/>
              <w:spacing w:after="0"/>
              <w:rPr>
                <w:sz w:val="20"/>
                <w:szCs w:val="20"/>
                <w:color w:val="auto"/>
              </w:rPr>
            </w:pPr>
            <w:r>
              <w:rPr>
                <w:rFonts w:ascii="Arial" w:cs="Arial" w:eastAsia="Arial" w:hAnsi="Arial"/>
                <w:sz w:val="18"/>
                <w:szCs w:val="18"/>
                <w:color w:val="auto"/>
              </w:rPr>
              <w:t>38,718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Larry R. Hendricks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8"/>
                <w:szCs w:val="18"/>
                <w:color w:val="auto"/>
              </w:rPr>
              <w:t>24,000</w:t>
            </w:r>
          </w:p>
        </w:tc>
        <w:tc>
          <w:tcPr>
            <w:tcW w:w="1360" w:type="dxa"/>
            <w:vAlign w:val="bottom"/>
            <w:gridSpan w:val="2"/>
          </w:tcPr>
          <w:p>
            <w:pPr>
              <w:jc w:val="right"/>
              <w:ind w:right="239"/>
              <w:spacing w:after="0"/>
              <w:rPr>
                <w:sz w:val="20"/>
                <w:szCs w:val="20"/>
                <w:color w:val="auto"/>
              </w:rPr>
            </w:pPr>
            <w:r>
              <w:rPr>
                <w:rFonts w:ascii="Arial" w:cs="Arial" w:eastAsia="Arial" w:hAnsi="Arial"/>
                <w:sz w:val="18"/>
                <w:szCs w:val="18"/>
                <w:color w:val="auto"/>
              </w:rPr>
              <w:t>14,718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38,718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shd w:val="clear" w:color="auto" w:fill="A0C4DA"/>
          </w:tcPr>
          <w:p>
            <w:pPr>
              <w:spacing w:after="0"/>
              <w:rPr>
                <w:sz w:val="20"/>
                <w:szCs w:val="20"/>
                <w:color w:val="auto"/>
              </w:rPr>
            </w:pPr>
            <w:r>
              <w:rPr>
                <w:rFonts w:ascii="Arial" w:cs="Arial" w:eastAsia="Arial" w:hAnsi="Arial"/>
                <w:sz w:val="18"/>
                <w:szCs w:val="18"/>
                <w:color w:val="auto"/>
              </w:rPr>
              <w:t>Scott M. Huntsman</w:t>
            </w:r>
          </w:p>
        </w:tc>
        <w:tc>
          <w:tcPr>
            <w:tcW w:w="200" w:type="dxa"/>
            <w:vAlign w:val="bottom"/>
            <w:shd w:val="clear" w:color="auto" w:fill="A0C4DA"/>
          </w:tcPr>
          <w:p>
            <w:pPr>
              <w:spacing w:after="0"/>
              <w:rPr>
                <w:sz w:val="19"/>
                <w:szCs w:val="19"/>
                <w:color w:val="auto"/>
              </w:rPr>
            </w:pPr>
          </w:p>
        </w:tc>
        <w:tc>
          <w:tcPr>
            <w:tcW w:w="280" w:type="dxa"/>
            <w:vAlign w:val="bottom"/>
            <w:shd w:val="clear" w:color="auto" w:fill="A0C4DA"/>
          </w:tcPr>
          <w:p>
            <w:pPr>
              <w:spacing w:after="0"/>
              <w:rPr>
                <w:sz w:val="19"/>
                <w:szCs w:val="19"/>
                <w:color w:val="auto"/>
              </w:rPr>
            </w:pPr>
          </w:p>
        </w:tc>
        <w:tc>
          <w:tcPr>
            <w:tcW w:w="1100" w:type="dxa"/>
            <w:vAlign w:val="bottom"/>
            <w:shd w:val="clear" w:color="auto" w:fill="A0C4DA"/>
          </w:tcPr>
          <w:p>
            <w:pPr>
              <w:jc w:val="right"/>
              <w:ind w:right="214"/>
              <w:spacing w:after="0"/>
              <w:rPr>
                <w:sz w:val="20"/>
                <w:szCs w:val="20"/>
                <w:color w:val="auto"/>
              </w:rPr>
            </w:pPr>
            <w:r>
              <w:rPr>
                <w:rFonts w:ascii="Arial" w:cs="Arial" w:eastAsia="Arial" w:hAnsi="Arial"/>
                <w:sz w:val="18"/>
                <w:szCs w:val="18"/>
                <w:color w:val="auto"/>
              </w:rPr>
              <w:t>24,000</w:t>
            </w:r>
          </w:p>
        </w:tc>
        <w:tc>
          <w:tcPr>
            <w:tcW w:w="1360" w:type="dxa"/>
            <w:vAlign w:val="bottom"/>
            <w:gridSpan w:val="2"/>
            <w:shd w:val="clear" w:color="auto" w:fill="A0C4DA"/>
          </w:tcPr>
          <w:p>
            <w:pPr>
              <w:jc w:val="right"/>
              <w:ind w:right="239"/>
              <w:spacing w:after="0"/>
              <w:rPr>
                <w:sz w:val="20"/>
                <w:szCs w:val="20"/>
                <w:color w:val="auto"/>
              </w:rPr>
            </w:pPr>
            <w:r>
              <w:rPr>
                <w:rFonts w:ascii="Arial" w:cs="Arial" w:eastAsia="Arial" w:hAnsi="Arial"/>
                <w:sz w:val="18"/>
                <w:szCs w:val="18"/>
                <w:color w:val="auto"/>
              </w:rPr>
              <w:t>14,718</w:t>
            </w:r>
          </w:p>
        </w:tc>
        <w:tc>
          <w:tcPr>
            <w:tcW w:w="180" w:type="dxa"/>
            <w:vAlign w:val="bottom"/>
            <w:shd w:val="clear" w:color="auto" w:fill="A0C4DA"/>
          </w:tcPr>
          <w:p>
            <w:pPr>
              <w:spacing w:after="0"/>
              <w:rPr>
                <w:sz w:val="19"/>
                <w:szCs w:val="19"/>
                <w:color w:val="auto"/>
              </w:rPr>
            </w:pPr>
          </w:p>
        </w:tc>
        <w:tc>
          <w:tcPr>
            <w:tcW w:w="360" w:type="dxa"/>
            <w:vAlign w:val="bottom"/>
            <w:shd w:val="clear" w:color="auto" w:fill="A0C4DA"/>
          </w:tcPr>
          <w:p>
            <w:pPr>
              <w:spacing w:after="0"/>
              <w:rPr>
                <w:sz w:val="19"/>
                <w:szCs w:val="19"/>
                <w:color w:val="auto"/>
              </w:rPr>
            </w:pPr>
          </w:p>
        </w:tc>
        <w:tc>
          <w:tcPr>
            <w:tcW w:w="940" w:type="dxa"/>
            <w:vAlign w:val="bottom"/>
            <w:shd w:val="clear" w:color="auto" w:fill="A0C4DA"/>
          </w:tcPr>
          <w:p>
            <w:pPr>
              <w:ind w:left="120"/>
              <w:spacing w:after="0"/>
              <w:rPr>
                <w:sz w:val="20"/>
                <w:szCs w:val="20"/>
                <w:color w:val="auto"/>
              </w:rPr>
            </w:pPr>
            <w:r>
              <w:rPr>
                <w:rFonts w:ascii="Arial" w:cs="Arial" w:eastAsia="Arial" w:hAnsi="Arial"/>
                <w:sz w:val="18"/>
                <w:szCs w:val="18"/>
                <w:color w:val="auto"/>
              </w:rPr>
              <w:t>38,718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 Bryan Bagley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214"/>
              <w:spacing w:after="0"/>
              <w:rPr>
                <w:sz w:val="20"/>
                <w:szCs w:val="20"/>
                <w:color w:val="auto"/>
              </w:rPr>
            </w:pPr>
            <w:r>
              <w:rPr>
                <w:rFonts w:ascii="Arial" w:cs="Arial" w:eastAsia="Arial" w:hAnsi="Arial"/>
                <w:sz w:val="18"/>
                <w:szCs w:val="18"/>
                <w:color w:val="auto"/>
              </w:rPr>
              <w:t>24,000</w:t>
            </w:r>
          </w:p>
        </w:tc>
        <w:tc>
          <w:tcPr>
            <w:tcW w:w="1360" w:type="dxa"/>
            <w:vAlign w:val="bottom"/>
            <w:gridSpan w:val="2"/>
          </w:tcPr>
          <w:p>
            <w:pPr>
              <w:jc w:val="right"/>
              <w:ind w:right="239"/>
              <w:spacing w:after="0"/>
              <w:rPr>
                <w:sz w:val="20"/>
                <w:szCs w:val="20"/>
                <w:color w:val="auto"/>
              </w:rPr>
            </w:pPr>
            <w:r>
              <w:rPr>
                <w:rFonts w:ascii="Arial" w:cs="Arial" w:eastAsia="Arial" w:hAnsi="Arial"/>
                <w:sz w:val="18"/>
                <w:szCs w:val="18"/>
                <w:color w:val="auto"/>
              </w:rPr>
              <w:t>14,718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38,718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base annual director’s fee for the year ended December 31, 2011 was $24,000.</w:t>
      </w:r>
    </w:p>
    <w:p>
      <w:pPr>
        <w:spacing w:after="0" w:line="57" w:lineRule="exact"/>
        <w:rPr>
          <w:rFonts w:ascii="Arial" w:cs="Arial" w:eastAsia="Arial" w:hAnsi="Arial"/>
          <w:sz w:val="22"/>
          <w:szCs w:val="22"/>
          <w:color w:val="auto"/>
        </w:rPr>
      </w:pPr>
    </w:p>
    <w:p>
      <w:pPr>
        <w:ind w:left="660" w:right="1159" w:hanging="652"/>
        <w:spacing w:after="0" w:line="282" w:lineRule="auto"/>
        <w:tabs>
          <w:tab w:leader="none" w:pos="633"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9"/>
          <w:szCs w:val="19"/>
          <w:i w:val="1"/>
          <w:iCs w:val="1"/>
          <w:color w:val="auto"/>
        </w:rPr>
        <w:t>Compensation - Stock</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w:t>
      </w:r>
      <w:r>
        <w:rPr>
          <w:rFonts w:ascii="Arial" w:cs="Arial" w:eastAsia="Arial" w:hAnsi="Arial"/>
          <w:sz w:val="19"/>
          <w:szCs w:val="19"/>
          <w:color w:val="auto"/>
        </w:rPr>
        <w:t>. The assumptions made in the valuation of our option awards are disclosed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0000FF"/>
        </w:rPr>
        <w:t>Note 9 - Share Based Payments</w:t>
      </w:r>
      <w:r>
        <w:rPr>
          <w:rFonts w:ascii="Arial" w:cs="Arial" w:eastAsia="Arial" w:hAnsi="Arial"/>
          <w:sz w:val="19"/>
          <w:szCs w:val="19"/>
          <w:color w:val="0000FF"/>
        </w:rPr>
        <w:t xml:space="preserve"> </w:t>
      </w:r>
      <w:r>
        <w:rPr>
          <w:rFonts w:ascii="Arial" w:cs="Arial" w:eastAsia="Arial" w:hAnsi="Arial"/>
          <w:sz w:val="19"/>
          <w:szCs w:val="19"/>
          <w:color w:val="000000"/>
        </w:rPr>
        <w:t>in our Notes to Consolidated Financial Statements..</w:t>
      </w:r>
    </w:p>
    <w:p>
      <w:pPr>
        <w:spacing w:after="0" w:line="12" w:lineRule="exact"/>
        <w:rPr>
          <w:rFonts w:ascii="Arial" w:cs="Arial" w:eastAsia="Arial" w:hAnsi="Arial"/>
          <w:sz w:val="19"/>
          <w:szCs w:val="19"/>
          <w:color w:val="auto"/>
        </w:rPr>
      </w:pPr>
    </w:p>
    <w:p>
      <w:pPr>
        <w:ind w:left="660" w:right="1199" w:hanging="598"/>
        <w:spacing w:after="0" w:line="258" w:lineRule="auto"/>
        <w:tabs>
          <w:tab w:leader="none" w:pos="633" w:val="left"/>
        </w:tabs>
        <w:numPr>
          <w:ilvl w:val="1"/>
          <w:numId w:val="19"/>
        </w:numPr>
        <w:rPr>
          <w:rFonts w:ascii="Arial" w:cs="Arial" w:eastAsia="Arial" w:hAnsi="Arial"/>
          <w:sz w:val="21"/>
          <w:szCs w:val="21"/>
          <w:color w:val="auto"/>
        </w:rPr>
      </w:pPr>
      <w:r>
        <w:rPr>
          <w:rFonts w:ascii="Arial" w:cs="Arial" w:eastAsia="Arial" w:hAnsi="Arial"/>
          <w:sz w:val="21"/>
          <w:szCs w:val="21"/>
          <w:color w:val="auto"/>
        </w:rPr>
        <w:t>As of the end of December 31, 2011, each non-employee director had outstanding options to purchase the following number of company shares of common stock: Mr. Baldwin, 140,000; Mr. Hendricks, 80,000; Mr. Huntsman, 90,000; and Mr. Bagley, 30,000.</w:t>
      </w:r>
    </w:p>
    <w:p>
      <w:pPr>
        <w:spacing w:after="0" w:line="45" w:lineRule="exact"/>
        <w:rPr>
          <w:sz w:val="20"/>
          <w:szCs w:val="20"/>
          <w:color w:val="auto"/>
        </w:rPr>
      </w:pPr>
    </w:p>
    <w:p>
      <w:pPr>
        <w:ind w:right="1539"/>
        <w:spacing w:after="0" w:line="276" w:lineRule="auto"/>
        <w:rPr>
          <w:sz w:val="20"/>
          <w:szCs w:val="20"/>
          <w:color w:val="auto"/>
        </w:rPr>
      </w:pPr>
      <w:r>
        <w:rPr>
          <w:rFonts w:ascii="Arial" w:cs="Arial" w:eastAsia="Arial" w:hAnsi="Arial"/>
          <w:sz w:val="19"/>
          <w:szCs w:val="19"/>
          <w:color w:val="auto"/>
        </w:rPr>
        <w:t>All non-employee directors are paid a fixed fee at the rate of $2,000 per month and receive the same option grants. In August 2011, each non-employee director received a grant of options to purchase</w:t>
      </w:r>
    </w:p>
    <w:p>
      <w:pPr>
        <w:spacing w:after="0" w:line="2" w:lineRule="exact"/>
        <w:rPr>
          <w:sz w:val="20"/>
          <w:szCs w:val="20"/>
          <w:color w:val="auto"/>
        </w:rPr>
      </w:pPr>
    </w:p>
    <w:p>
      <w:pPr>
        <w:ind w:right="1159"/>
        <w:spacing w:after="0" w:line="246" w:lineRule="auto"/>
        <w:rPr>
          <w:sz w:val="20"/>
          <w:szCs w:val="20"/>
          <w:color w:val="auto"/>
        </w:rPr>
      </w:pPr>
      <w:r>
        <w:rPr>
          <w:rFonts w:ascii="Arial" w:cs="Arial" w:eastAsia="Arial" w:hAnsi="Arial"/>
          <w:sz w:val="21"/>
          <w:szCs w:val="21"/>
          <w:color w:val="auto"/>
        </w:rPr>
        <w:t>5,000 shares of our common stock at an exercise price of $5.48.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363" w:lineRule="exact"/>
        <w:rPr>
          <w:sz w:val="20"/>
          <w:szCs w:val="20"/>
          <w:color w:val="auto"/>
        </w:rPr>
      </w:pPr>
    </w:p>
    <w:p>
      <w:pPr>
        <w:ind w:right="2419"/>
        <w:spacing w:after="0" w:line="22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44" w:lineRule="exact"/>
        <w:rPr>
          <w:sz w:val="20"/>
          <w:szCs w:val="20"/>
          <w:color w:val="auto"/>
        </w:rPr>
      </w:pPr>
    </w:p>
    <w:p>
      <w:pPr>
        <w:ind w:right="1279"/>
        <w:spacing w:after="0" w:line="251" w:lineRule="auto"/>
        <w:rPr>
          <w:sz w:val="20"/>
          <w:szCs w:val="20"/>
          <w:color w:val="auto"/>
        </w:rPr>
      </w:pPr>
      <w:r>
        <w:rPr>
          <w:rFonts w:ascii="Arial" w:cs="Arial" w:eastAsia="Arial" w:hAnsi="Arial"/>
          <w:sz w:val="22"/>
          <w:szCs w:val="22"/>
          <w:color w:val="auto"/>
        </w:rPr>
        <w:t>The following table sets forth information as of December 31, 2011 with respect to compensation plans under which equity securities of ClearOne are authorized for issuance.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Weighted-average exercise</w:t>
            </w:r>
          </w:p>
        </w:tc>
        <w:tc>
          <w:tcPr>
            <w:tcW w:w="220" w:type="dxa"/>
            <w:vAlign w:val="bottom"/>
          </w:tcPr>
          <w:p>
            <w:pPr>
              <w:spacing w:after="0"/>
              <w:rPr>
                <w:sz w:val="7"/>
                <w:szCs w:val="7"/>
                <w:color w:val="auto"/>
              </w:rPr>
            </w:pPr>
          </w:p>
        </w:tc>
        <w:tc>
          <w:tcPr>
            <w:tcW w:w="2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20" w:type="dxa"/>
            <w:vAlign w:val="bottom"/>
          </w:tcPr>
          <w:p>
            <w:pPr>
              <w:spacing w:after="0"/>
              <w:rPr>
                <w:sz w:val="7"/>
                <w:szCs w:val="7"/>
                <w:color w:val="auto"/>
              </w:rPr>
            </w:pPr>
          </w:p>
        </w:tc>
        <w:tc>
          <w:tcPr>
            <w:tcW w:w="2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2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vMerge w:val="restart"/>
          </w:tcPr>
          <w:p>
            <w:pPr>
              <w:jc w:val="center"/>
              <w:ind w:right="183"/>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20" w:type="dxa"/>
            <w:vAlign w:val="bottom"/>
          </w:tcPr>
          <w:p>
            <w:pPr>
              <w:spacing w:after="0"/>
              <w:rPr>
                <w:sz w:val="7"/>
                <w:szCs w:val="7"/>
                <w:color w:val="auto"/>
              </w:rPr>
            </w:pPr>
          </w:p>
        </w:tc>
        <w:tc>
          <w:tcPr>
            <w:tcW w:w="2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58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jc w:val="center"/>
              <w:ind w:right="183"/>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80" w:type="dxa"/>
            <w:vAlign w:val="bottom"/>
            <w:shd w:val="clear" w:color="auto" w:fill="A0C4DA"/>
          </w:tcPr>
          <w:p>
            <w:pPr>
              <w:spacing w:after="0"/>
              <w:rPr>
                <w:sz w:val="20"/>
                <w:szCs w:val="20"/>
                <w:color w:val="auto"/>
              </w:rPr>
            </w:pPr>
            <w:r>
              <w:rPr>
                <w:rFonts w:ascii="Arial" w:cs="Arial" w:eastAsia="Arial" w:hAnsi="Arial"/>
                <w:sz w:val="16"/>
                <w:szCs w:val="16"/>
                <w:color w:val="auto"/>
              </w:rPr>
              <w:t>Equity compensation plans</w:t>
            </w:r>
          </w:p>
        </w:tc>
        <w:tc>
          <w:tcPr>
            <w:tcW w:w="1960" w:type="dxa"/>
            <w:vAlign w:val="bottom"/>
            <w:vMerge w:val="restart"/>
            <w:shd w:val="clear" w:color="auto" w:fill="A0C4DA"/>
          </w:tcPr>
          <w:p>
            <w:pPr>
              <w:jc w:val="right"/>
              <w:ind w:right="245"/>
              <w:spacing w:after="0"/>
              <w:rPr>
                <w:sz w:val="20"/>
                <w:szCs w:val="20"/>
                <w:color w:val="auto"/>
              </w:rPr>
            </w:pPr>
            <w:r>
              <w:rPr>
                <w:rFonts w:ascii="Arial" w:cs="Arial" w:eastAsia="Arial" w:hAnsi="Arial"/>
                <w:sz w:val="16"/>
                <w:szCs w:val="16"/>
                <w:color w:val="auto"/>
              </w:rPr>
              <w:t>1,160,933</w:t>
            </w:r>
          </w:p>
        </w:tc>
        <w:tc>
          <w:tcPr>
            <w:tcW w:w="500" w:type="dxa"/>
            <w:vAlign w:val="bottom"/>
            <w:gridSpan w:val="2"/>
            <w:vMerge w:val="restart"/>
            <w:shd w:val="clear" w:color="auto" w:fill="A0C4DA"/>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shd w:val="clear" w:color="auto" w:fill="A0C4DA"/>
          </w:tcPr>
          <w:p>
            <w:pPr>
              <w:jc w:val="right"/>
              <w:ind w:right="243"/>
              <w:spacing w:after="0"/>
              <w:rPr>
                <w:sz w:val="20"/>
                <w:szCs w:val="20"/>
                <w:color w:val="auto"/>
              </w:rPr>
            </w:pPr>
            <w:r>
              <w:rPr>
                <w:rFonts w:ascii="Arial" w:cs="Arial" w:eastAsia="Arial" w:hAnsi="Arial"/>
                <w:sz w:val="16"/>
                <w:szCs w:val="16"/>
                <w:color w:val="auto"/>
              </w:rPr>
              <w:t>4.50</w:t>
            </w:r>
          </w:p>
        </w:tc>
        <w:tc>
          <w:tcPr>
            <w:tcW w:w="2220" w:type="dxa"/>
            <w:vAlign w:val="bottom"/>
            <w:gridSpan w:val="2"/>
            <w:vMerge w:val="restart"/>
            <w:shd w:val="clear" w:color="auto" w:fill="A0C4DA"/>
          </w:tcPr>
          <w:p>
            <w:pPr>
              <w:jc w:val="right"/>
              <w:ind w:right="247"/>
              <w:spacing w:after="0"/>
              <w:rPr>
                <w:sz w:val="20"/>
                <w:szCs w:val="20"/>
                <w:color w:val="auto"/>
              </w:rPr>
            </w:pPr>
            <w:r>
              <w:rPr>
                <w:rFonts w:ascii="Arial" w:cs="Arial" w:eastAsia="Arial" w:hAnsi="Arial"/>
                <w:sz w:val="16"/>
                <w:szCs w:val="16"/>
                <w:color w:val="auto"/>
              </w:rPr>
              <w:t>500,629</w:t>
            </w:r>
          </w:p>
        </w:tc>
        <w:tc>
          <w:tcPr>
            <w:tcW w:w="0" w:type="dxa"/>
            <w:vAlign w:val="bottom"/>
          </w:tcPr>
          <w:p>
            <w:pPr>
              <w:spacing w:after="0"/>
              <w:rPr>
                <w:sz w:val="1"/>
                <w:szCs w:val="1"/>
                <w:color w:val="auto"/>
              </w:rPr>
            </w:pPr>
          </w:p>
        </w:tc>
      </w:tr>
      <w:tr>
        <w:trPr>
          <w:trHeight w:val="112"/>
        </w:trPr>
        <w:tc>
          <w:tcPr>
            <w:tcW w:w="2580" w:type="dxa"/>
            <w:vAlign w:val="bottom"/>
            <w:vMerge w:val="restart"/>
            <w:shd w:val="clear" w:color="auto" w:fill="A0C4DA"/>
          </w:tcPr>
          <w:p>
            <w:pPr>
              <w:spacing w:after="0"/>
              <w:rPr>
                <w:sz w:val="20"/>
                <w:szCs w:val="20"/>
                <w:color w:val="auto"/>
              </w:rPr>
            </w:pPr>
            <w:r>
              <w:rPr>
                <w:rFonts w:ascii="Arial" w:cs="Arial" w:eastAsia="Arial" w:hAnsi="Arial"/>
                <w:sz w:val="16"/>
                <w:szCs w:val="16"/>
                <w:color w:val="auto"/>
              </w:rPr>
              <w:t>approved by shareholders</w:t>
            </w:r>
          </w:p>
        </w:tc>
        <w:tc>
          <w:tcPr>
            <w:tcW w:w="1960" w:type="dxa"/>
            <w:vAlign w:val="bottom"/>
            <w:vMerge w:val="continue"/>
            <w:shd w:val="clear" w:color="auto" w:fill="A0C4DA"/>
          </w:tcPr>
          <w:p>
            <w:pPr>
              <w:spacing w:after="0"/>
              <w:rPr>
                <w:sz w:val="9"/>
                <w:szCs w:val="9"/>
                <w:color w:val="auto"/>
              </w:rPr>
            </w:pPr>
          </w:p>
        </w:tc>
        <w:tc>
          <w:tcPr>
            <w:tcW w:w="500" w:type="dxa"/>
            <w:vAlign w:val="bottom"/>
            <w:gridSpan w:val="2"/>
            <w:vMerge w:val="continue"/>
            <w:shd w:val="clear" w:color="auto" w:fill="A0C4DA"/>
          </w:tcPr>
          <w:p>
            <w:pPr>
              <w:spacing w:after="0"/>
              <w:rPr>
                <w:sz w:val="9"/>
                <w:szCs w:val="9"/>
                <w:color w:val="auto"/>
              </w:rPr>
            </w:pPr>
          </w:p>
        </w:tc>
        <w:tc>
          <w:tcPr>
            <w:tcW w:w="1640" w:type="dxa"/>
            <w:vAlign w:val="bottom"/>
            <w:vMerge w:val="continue"/>
            <w:shd w:val="clear" w:color="auto" w:fill="A0C4DA"/>
          </w:tcPr>
          <w:p>
            <w:pPr>
              <w:spacing w:after="0"/>
              <w:rPr>
                <w:sz w:val="9"/>
                <w:szCs w:val="9"/>
                <w:color w:val="auto"/>
              </w:rPr>
            </w:pPr>
          </w:p>
        </w:tc>
        <w:tc>
          <w:tcPr>
            <w:tcW w:w="2220" w:type="dxa"/>
            <w:vAlign w:val="bottom"/>
            <w:gridSpan w:val="2"/>
            <w:vMerge w:val="continue"/>
            <w:shd w:val="clear" w:color="auto" w:fill="A0C4DA"/>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580" w:type="dxa"/>
            <w:vAlign w:val="bottom"/>
            <w:vMerge w:val="continue"/>
            <w:shd w:val="clear" w:color="auto" w:fill="A0C4DA"/>
          </w:tcPr>
          <w:p>
            <w:pPr>
              <w:spacing w:after="0"/>
              <w:rPr>
                <w:sz w:val="9"/>
                <w:szCs w:val="9"/>
                <w:color w:val="auto"/>
              </w:rPr>
            </w:pPr>
          </w:p>
        </w:tc>
        <w:tc>
          <w:tcPr>
            <w:tcW w:w="1960" w:type="dxa"/>
            <w:vAlign w:val="bottom"/>
            <w:shd w:val="clear" w:color="auto" w:fill="A0C4DA"/>
          </w:tcPr>
          <w:p>
            <w:pPr>
              <w:spacing w:after="0"/>
              <w:rPr>
                <w:sz w:val="9"/>
                <w:szCs w:val="9"/>
                <w:color w:val="auto"/>
              </w:rPr>
            </w:pPr>
          </w:p>
        </w:tc>
        <w:tc>
          <w:tcPr>
            <w:tcW w:w="240" w:type="dxa"/>
            <w:vAlign w:val="bottom"/>
            <w:shd w:val="clear" w:color="auto" w:fill="A0C4DA"/>
          </w:tcPr>
          <w:p>
            <w:pPr>
              <w:spacing w:after="0"/>
              <w:rPr>
                <w:sz w:val="9"/>
                <w:szCs w:val="9"/>
                <w:color w:val="auto"/>
              </w:rPr>
            </w:pPr>
          </w:p>
        </w:tc>
        <w:tc>
          <w:tcPr>
            <w:tcW w:w="260" w:type="dxa"/>
            <w:vAlign w:val="bottom"/>
            <w:shd w:val="clear" w:color="auto" w:fill="A0C4DA"/>
          </w:tcPr>
          <w:p>
            <w:pPr>
              <w:spacing w:after="0"/>
              <w:rPr>
                <w:sz w:val="9"/>
                <w:szCs w:val="9"/>
                <w:color w:val="auto"/>
              </w:rPr>
            </w:pPr>
          </w:p>
        </w:tc>
        <w:tc>
          <w:tcPr>
            <w:tcW w:w="1640" w:type="dxa"/>
            <w:vAlign w:val="bottom"/>
            <w:shd w:val="clear" w:color="auto" w:fill="A0C4DA"/>
          </w:tcPr>
          <w:p>
            <w:pPr>
              <w:spacing w:after="0"/>
              <w:rPr>
                <w:sz w:val="9"/>
                <w:szCs w:val="9"/>
                <w:color w:val="auto"/>
              </w:rPr>
            </w:pPr>
          </w:p>
        </w:tc>
        <w:tc>
          <w:tcPr>
            <w:tcW w:w="220" w:type="dxa"/>
            <w:vAlign w:val="bottom"/>
            <w:shd w:val="clear" w:color="auto" w:fill="A0C4DA"/>
          </w:tcPr>
          <w:p>
            <w:pPr>
              <w:spacing w:after="0"/>
              <w:rPr>
                <w:sz w:val="9"/>
                <w:szCs w:val="9"/>
                <w:color w:val="auto"/>
              </w:rPr>
            </w:pPr>
          </w:p>
        </w:tc>
        <w:tc>
          <w:tcPr>
            <w:tcW w:w="2000" w:type="dxa"/>
            <w:vAlign w:val="bottom"/>
            <w:shd w:val="clear" w:color="auto" w:fill="A0C4DA"/>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Equity compensation plans not</w:t>
            </w:r>
          </w:p>
        </w:tc>
        <w:tc>
          <w:tcPr>
            <w:tcW w:w="1960" w:type="dxa"/>
            <w:vAlign w:val="bottom"/>
            <w:vMerge w:val="restart"/>
          </w:tcPr>
          <w:p>
            <w:pPr>
              <w:jc w:val="right"/>
              <w:ind w:right="24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vMerge w:val="restart"/>
          </w:tcPr>
          <w:p>
            <w:pPr>
              <w:jc w:val="right"/>
              <w:ind w:right="243"/>
              <w:spacing w:after="0"/>
              <w:rPr>
                <w:sz w:val="20"/>
                <w:szCs w:val="20"/>
                <w:color w:val="auto"/>
              </w:rPr>
            </w:pPr>
            <w:r>
              <w:rPr>
                <w:rFonts w:ascii="Arial" w:cs="Arial" w:eastAsia="Arial" w:hAnsi="Arial"/>
                <w:sz w:val="16"/>
                <w:szCs w:val="16"/>
                <w:color w:val="auto"/>
              </w:rPr>
              <w:t>-</w:t>
            </w:r>
          </w:p>
        </w:tc>
        <w:tc>
          <w:tcPr>
            <w:tcW w:w="2220" w:type="dxa"/>
            <w:vAlign w:val="bottom"/>
            <w:gridSpan w:val="2"/>
            <w:vMerge w:val="restart"/>
          </w:tcPr>
          <w:p>
            <w:pPr>
              <w:jc w:val="right"/>
              <w:ind w:right="24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2"/>
        </w:trPr>
        <w:tc>
          <w:tcPr>
            <w:tcW w:w="2580" w:type="dxa"/>
            <w:vAlign w:val="bottom"/>
            <w:vMerge w:val="restart"/>
          </w:tcPr>
          <w:p>
            <w:pPr>
              <w:spacing w:after="0"/>
              <w:rPr>
                <w:sz w:val="20"/>
                <w:szCs w:val="20"/>
                <w:color w:val="auto"/>
              </w:rPr>
            </w:pPr>
            <w:r>
              <w:rPr>
                <w:rFonts w:ascii="Arial" w:cs="Arial" w:eastAsia="Arial" w:hAnsi="Arial"/>
                <w:sz w:val="16"/>
                <w:szCs w:val="16"/>
                <w:color w:val="auto"/>
              </w:rPr>
              <w:t>approved by shareholders</w:t>
            </w: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Borders>
              <w:bottom w:val="single" w:sz="8" w:color="A0C4DA"/>
            </w:tcBorders>
            <w:vMerge w:val="continue"/>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40" w:type="dxa"/>
            <w:vAlign w:val="bottom"/>
            <w:tcBorders>
              <w:bottom w:val="single" w:sz="8" w:color="A0C4DA"/>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20" w:type="dxa"/>
            <w:vAlign w:val="bottom"/>
            <w:tcBorders>
              <w:bottom w:val="single" w:sz="8" w:color="A0C4DA"/>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58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6"/>
                <w:szCs w:val="16"/>
                <w:color w:val="auto"/>
              </w:rPr>
              <w:t>Total</w:t>
            </w:r>
          </w:p>
        </w:tc>
        <w:tc>
          <w:tcPr>
            <w:tcW w:w="1960" w:type="dxa"/>
            <w:vAlign w:val="bottom"/>
            <w:tcBorders>
              <w:bottom w:val="single" w:sz="8" w:color="auto"/>
            </w:tcBorders>
            <w:shd w:val="clear" w:color="auto" w:fill="A0C4DA"/>
          </w:tcPr>
          <w:p>
            <w:pPr>
              <w:jc w:val="right"/>
              <w:ind w:right="245"/>
              <w:spacing w:after="0"/>
              <w:rPr>
                <w:sz w:val="20"/>
                <w:szCs w:val="20"/>
                <w:color w:val="auto"/>
              </w:rPr>
            </w:pPr>
            <w:r>
              <w:rPr>
                <w:rFonts w:ascii="Arial" w:cs="Arial" w:eastAsia="Arial" w:hAnsi="Arial"/>
                <w:sz w:val="16"/>
                <w:szCs w:val="16"/>
                <w:color w:val="auto"/>
              </w:rPr>
              <w:t>1,160,933</w:t>
            </w:r>
          </w:p>
        </w:tc>
        <w:tc>
          <w:tcPr>
            <w:tcW w:w="240" w:type="dxa"/>
            <w:vAlign w:val="bottom"/>
            <w:tcBorders>
              <w:bottom w:val="single" w:sz="8" w:color="A0C4DA"/>
            </w:tcBorders>
            <w:shd w:val="clear" w:color="auto" w:fill="A0C4DA"/>
          </w:tcPr>
          <w:p>
            <w:pPr>
              <w:spacing w:after="0"/>
              <w:rPr>
                <w:sz w:val="18"/>
                <w:szCs w:val="18"/>
                <w:color w:val="auto"/>
              </w:rPr>
            </w:pPr>
          </w:p>
        </w:tc>
        <w:tc>
          <w:tcPr>
            <w:tcW w:w="26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A0C4DA"/>
          </w:tcPr>
          <w:p>
            <w:pPr>
              <w:jc w:val="right"/>
              <w:ind w:right="243"/>
              <w:spacing w:after="0"/>
              <w:rPr>
                <w:sz w:val="20"/>
                <w:szCs w:val="20"/>
                <w:color w:val="auto"/>
              </w:rPr>
            </w:pPr>
            <w:r>
              <w:rPr>
                <w:rFonts w:ascii="Arial" w:cs="Arial" w:eastAsia="Arial" w:hAnsi="Arial"/>
                <w:sz w:val="16"/>
                <w:szCs w:val="16"/>
                <w:color w:val="auto"/>
              </w:rPr>
              <w:t>4.50</w:t>
            </w:r>
          </w:p>
        </w:tc>
        <w:tc>
          <w:tcPr>
            <w:tcW w:w="220" w:type="dxa"/>
            <w:vAlign w:val="bottom"/>
            <w:tcBorders>
              <w:bottom w:val="single" w:sz="8" w:color="A0C4DA"/>
            </w:tcBorders>
            <w:shd w:val="clear" w:color="auto" w:fill="A0C4DA"/>
          </w:tcPr>
          <w:p>
            <w:pPr>
              <w:spacing w:after="0"/>
              <w:rPr>
                <w:sz w:val="18"/>
                <w:szCs w:val="18"/>
                <w:color w:val="auto"/>
              </w:rPr>
            </w:pPr>
          </w:p>
        </w:tc>
        <w:tc>
          <w:tcPr>
            <w:tcW w:w="2000" w:type="dxa"/>
            <w:vAlign w:val="bottom"/>
            <w:tcBorders>
              <w:bottom w:val="single" w:sz="8" w:color="auto"/>
            </w:tcBorders>
            <w:shd w:val="clear" w:color="auto" w:fill="A0C4DA"/>
          </w:tcPr>
          <w:p>
            <w:pPr>
              <w:jc w:val="right"/>
              <w:ind w:right="247"/>
              <w:spacing w:after="0"/>
              <w:rPr>
                <w:sz w:val="20"/>
                <w:szCs w:val="20"/>
                <w:color w:val="auto"/>
              </w:rPr>
            </w:pPr>
            <w:r>
              <w:rPr>
                <w:rFonts w:ascii="Arial" w:cs="Arial" w:eastAsia="Arial" w:hAnsi="Arial"/>
                <w:sz w:val="16"/>
                <w:szCs w:val="16"/>
                <w:color w:val="auto"/>
              </w:rPr>
              <w:t>500,629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38</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2" w:name="page53"/>
    <w:bookmarkEnd w:id="52"/>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39" w:lineRule="exact"/>
        <w:rPr>
          <w:sz w:val="20"/>
          <w:szCs w:val="20"/>
          <w:color w:val="auto"/>
        </w:rPr>
      </w:pPr>
    </w:p>
    <w:p>
      <w:pPr>
        <w:ind w:right="1199" w:firstLine="648"/>
        <w:spacing w:after="0" w:line="238" w:lineRule="auto"/>
        <w:rPr>
          <w:sz w:val="20"/>
          <w:szCs w:val="20"/>
          <w:color w:val="auto"/>
        </w:rPr>
      </w:pPr>
      <w:r>
        <w:rPr>
          <w:rFonts w:ascii="Arial" w:cs="Arial" w:eastAsia="Arial" w:hAnsi="Arial"/>
          <w:sz w:val="22"/>
          <w:szCs w:val="22"/>
          <w:color w:val="auto"/>
        </w:rPr>
        <w:t>The following table sets forth certain information regarding ownership of our common stock as of March 23, 2012 by (i) each director, (ii) the named executive officers, (iii) all of our named executive officers and directors as a group, and (iv) each person known to us to be the beneficial owner of more than 5% of our outstanding common stock.</w:t>
      </w:r>
    </w:p>
    <w:p>
      <w:pPr>
        <w:sectPr>
          <w:pgSz w:w="11900" w:h="16838" w:orient="portrait"/>
          <w:cols w:equalWidth="0" w:num="1">
            <w:col w:w="10219"/>
          </w:cols>
          <w:pgMar w:left="240" w:top="112" w:right="1440" w:bottom="294" w:gutter="0" w:footer="0" w:header="0"/>
        </w:sect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Name of Beneficial Owner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5812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2106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10685"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Zeynep “Zee” Hakimoglu </w:t>
      </w:r>
      <w:r>
        <w:rPr>
          <w:rFonts w:ascii="Arial" w:cs="Arial" w:eastAsia="Arial" w:hAnsi="Arial"/>
          <w:sz w:val="10"/>
          <w:szCs w:val="10"/>
          <w:b w:val="1"/>
          <w:bCs w:val="1"/>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 Bryan Bagley </w:t>
      </w:r>
      <w:r>
        <w:rPr>
          <w:rFonts w:ascii="Arial" w:cs="Arial" w:eastAsia="Arial" w:hAnsi="Arial"/>
          <w:sz w:val="10"/>
          <w:szCs w:val="1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42106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106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Brad R. Baldwin </w:t>
      </w:r>
      <w:r>
        <w:rPr>
          <w:rFonts w:ascii="Arial" w:cs="Arial" w:eastAsia="Arial" w:hAnsi="Arial"/>
          <w:sz w:val="10"/>
          <w:szCs w:val="10"/>
          <w:b w:val="1"/>
          <w:bCs w:val="1"/>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Larry R. Hendricks </w:t>
      </w:r>
      <w:r>
        <w:rPr>
          <w:rFonts w:ascii="Arial" w:cs="Arial" w:eastAsia="Arial" w:hAnsi="Arial"/>
          <w:sz w:val="10"/>
          <w:szCs w:val="1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421068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106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Scott M. Huntsman </w:t>
      </w:r>
      <w:r>
        <w:rPr>
          <w:rFonts w:ascii="Arial" w:cs="Arial" w:eastAsia="Arial" w:hAnsi="Arial"/>
          <w:sz w:val="10"/>
          <w:szCs w:val="10"/>
          <w:b w:val="1"/>
          <w:bCs w:val="1"/>
          <w:color w:val="auto"/>
        </w:rPr>
        <w:t>(7)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Narsi Narayanan </w:t>
      </w:r>
      <w:r>
        <w:rPr>
          <w:rFonts w:ascii="Arial" w:cs="Arial" w:eastAsia="Arial" w:hAnsi="Arial"/>
          <w:sz w:val="10"/>
          <w:szCs w:val="1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421068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106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Michael J. Braithwaite </w:t>
      </w:r>
      <w:r>
        <w:rPr>
          <w:rFonts w:ascii="Arial" w:cs="Arial" w:eastAsia="Arial" w:hAnsi="Arial"/>
          <w:sz w:val="10"/>
          <w:szCs w:val="10"/>
          <w:b w:val="1"/>
          <w:bCs w:val="1"/>
          <w:color w:val="auto"/>
        </w:rPr>
        <w:t>(9)</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All directors and executive officers as a group (8 persons)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21068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10685" cy="1460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Edward Dallin Bagley </w:t>
      </w:r>
      <w:r>
        <w:rPr>
          <w:rFonts w:ascii="Arial" w:cs="Arial" w:eastAsia="Arial" w:hAnsi="Arial"/>
          <w:sz w:val="10"/>
          <w:szCs w:val="10"/>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42106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106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Royce &amp; Associates Inc. </w:t>
      </w: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39370</wp:posOffset>
            </wp:positionV>
            <wp:extent cx="15519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4"/>
          <w:szCs w:val="14"/>
          <w:b w:val="1"/>
          <w:bCs w:val="1"/>
          <w:color w:val="auto"/>
        </w:rPr>
        <w:t>Number (2)</w:t>
      </w:r>
      <w:r>
        <w:rPr>
          <w:sz w:val="20"/>
          <w:szCs w:val="20"/>
          <w:color w:val="auto"/>
        </w:rPr>
        <w:tab/>
      </w:r>
      <w:r>
        <w:rPr>
          <w:rFonts w:ascii="Arial" w:cs="Arial" w:eastAsia="Arial" w:hAnsi="Arial"/>
          <w:sz w:val="13"/>
          <w:szCs w:val="13"/>
          <w:b w:val="1"/>
          <w:bCs w:val="1"/>
          <w:color w:val="auto"/>
        </w:rPr>
        <w:t>Percent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32385</wp:posOffset>
            </wp:positionV>
            <wp:extent cx="15519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51940" cy="17145"/>
                    </a:xfrm>
                    <a:prstGeom prst="rect">
                      <a:avLst/>
                    </a:prstGeom>
                    <a:noFill/>
                  </pic:spPr>
                </pic:pic>
              </a:graphicData>
            </a:graphic>
          </wp:anchor>
        </w:drawing>
      </w:r>
    </w:p>
    <w:p>
      <w:pPr>
        <w:spacing w:after="0" w:line="318"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6"/>
          <w:szCs w:val="16"/>
          <w:color w:val="auto"/>
        </w:rPr>
        <w:t>579,209</w:t>
      </w:r>
      <w:r>
        <w:rPr>
          <w:sz w:val="20"/>
          <w:szCs w:val="20"/>
          <w:color w:val="auto"/>
        </w:rPr>
        <w:tab/>
      </w:r>
      <w:r>
        <w:rPr>
          <w:rFonts w:ascii="Arial" w:cs="Arial" w:eastAsia="Arial" w:hAnsi="Arial"/>
          <w:sz w:val="16"/>
          <w:szCs w:val="16"/>
          <w:color w:val="auto"/>
        </w:rPr>
        <w:t>5.8%</w:t>
      </w:r>
    </w:p>
    <w:p>
      <w:pPr>
        <w:spacing w:after="0" w:line="46"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6"/>
          <w:szCs w:val="16"/>
          <w:color w:val="auto"/>
        </w:rPr>
        <w:t>342,963</w:t>
      </w:r>
      <w:r>
        <w:rPr>
          <w:sz w:val="20"/>
          <w:szCs w:val="20"/>
          <w:color w:val="auto"/>
        </w:rPr>
        <w:tab/>
      </w:r>
      <w:r>
        <w:rPr>
          <w:rFonts w:ascii="Arial" w:cs="Arial" w:eastAsia="Arial" w:hAnsi="Arial"/>
          <w:sz w:val="16"/>
          <w:szCs w:val="16"/>
          <w:color w:val="auto"/>
        </w:rPr>
        <w:t>3.4%</w:t>
      </w:r>
    </w:p>
    <w:p>
      <w:pPr>
        <w:spacing w:after="0" w:line="46"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6"/>
          <w:szCs w:val="16"/>
          <w:color w:val="auto"/>
        </w:rPr>
        <w:t>229,499</w:t>
      </w:r>
      <w:r>
        <w:rPr>
          <w:sz w:val="20"/>
          <w:szCs w:val="20"/>
          <w:color w:val="auto"/>
        </w:rPr>
        <w:tab/>
      </w:r>
      <w:r>
        <w:rPr>
          <w:rFonts w:ascii="Arial" w:cs="Arial" w:eastAsia="Arial" w:hAnsi="Arial"/>
          <w:sz w:val="16"/>
          <w:szCs w:val="16"/>
          <w:color w:val="auto"/>
        </w:rPr>
        <w:t>2.3%</w:t>
      </w:r>
    </w:p>
    <w:p>
      <w:pPr>
        <w:spacing w:after="0" w:line="46" w:lineRule="exact"/>
        <w:rPr>
          <w:sz w:val="20"/>
          <w:szCs w:val="20"/>
          <w:color w:val="auto"/>
        </w:rPr>
      </w:pPr>
    </w:p>
    <w:p>
      <w:pPr>
        <w:ind w:left="200"/>
        <w:spacing w:after="0"/>
        <w:tabs>
          <w:tab w:leader="none" w:pos="1580" w:val="left"/>
        </w:tabs>
        <w:rPr>
          <w:sz w:val="20"/>
          <w:szCs w:val="20"/>
          <w:color w:val="auto"/>
        </w:rPr>
      </w:pPr>
      <w:r>
        <w:rPr>
          <w:rFonts w:ascii="Arial" w:cs="Arial" w:eastAsia="Arial" w:hAnsi="Arial"/>
          <w:sz w:val="16"/>
          <w:szCs w:val="16"/>
          <w:color w:val="auto"/>
        </w:rPr>
        <w:t>80,833</w:t>
      </w:r>
      <w:r>
        <w:rPr>
          <w:sz w:val="20"/>
          <w:szCs w:val="20"/>
          <w:color w:val="auto"/>
        </w:rPr>
        <w:tab/>
      </w:r>
      <w:r>
        <w:rPr>
          <w:rFonts w:ascii="Arial" w:cs="Arial" w:eastAsia="Arial" w:hAnsi="Arial"/>
          <w:sz w:val="16"/>
          <w:szCs w:val="16"/>
          <w:color w:val="auto"/>
        </w:rPr>
        <w:t>0.8%</w:t>
      </w:r>
    </w:p>
    <w:p>
      <w:pPr>
        <w:spacing w:after="0" w:line="46" w:lineRule="exact"/>
        <w:rPr>
          <w:sz w:val="20"/>
          <w:szCs w:val="20"/>
          <w:color w:val="auto"/>
        </w:rPr>
      </w:pPr>
    </w:p>
    <w:p>
      <w:pPr>
        <w:ind w:left="200"/>
        <w:spacing w:after="0"/>
        <w:tabs>
          <w:tab w:leader="none" w:pos="1580" w:val="left"/>
        </w:tabs>
        <w:rPr>
          <w:sz w:val="20"/>
          <w:szCs w:val="20"/>
          <w:color w:val="auto"/>
        </w:rPr>
      </w:pPr>
      <w:r>
        <w:rPr>
          <w:rFonts w:ascii="Arial" w:cs="Arial" w:eastAsia="Arial" w:hAnsi="Arial"/>
          <w:sz w:val="16"/>
          <w:szCs w:val="16"/>
          <w:color w:val="auto"/>
        </w:rPr>
        <w:t>84,333</w:t>
      </w:r>
      <w:r>
        <w:rPr>
          <w:sz w:val="20"/>
          <w:szCs w:val="20"/>
          <w:color w:val="auto"/>
        </w:rPr>
        <w:tab/>
      </w:r>
      <w:r>
        <w:rPr>
          <w:rFonts w:ascii="Arial" w:cs="Arial" w:eastAsia="Arial" w:hAnsi="Arial"/>
          <w:sz w:val="16"/>
          <w:szCs w:val="16"/>
          <w:color w:val="auto"/>
        </w:rPr>
        <w:t>0.8%</w:t>
      </w:r>
    </w:p>
    <w:p>
      <w:pPr>
        <w:spacing w:after="0" w:line="46" w:lineRule="exact"/>
        <w:rPr>
          <w:sz w:val="20"/>
          <w:szCs w:val="20"/>
          <w:color w:val="auto"/>
        </w:rPr>
      </w:pPr>
    </w:p>
    <w:p>
      <w:pPr>
        <w:ind w:left="200"/>
        <w:spacing w:after="0"/>
        <w:tabs>
          <w:tab w:leader="none" w:pos="1580" w:val="left"/>
        </w:tabs>
        <w:rPr>
          <w:sz w:val="20"/>
          <w:szCs w:val="20"/>
          <w:color w:val="auto"/>
        </w:rPr>
      </w:pPr>
      <w:r>
        <w:rPr>
          <w:rFonts w:ascii="Arial" w:cs="Arial" w:eastAsia="Arial" w:hAnsi="Arial"/>
          <w:sz w:val="16"/>
          <w:szCs w:val="16"/>
          <w:color w:val="auto"/>
        </w:rPr>
        <w:t>30,833</w:t>
      </w:r>
      <w:r>
        <w:rPr>
          <w:sz w:val="20"/>
          <w:szCs w:val="20"/>
          <w:color w:val="auto"/>
        </w:rPr>
        <w:tab/>
      </w:r>
      <w:r>
        <w:rPr>
          <w:rFonts w:ascii="Arial" w:cs="Arial" w:eastAsia="Arial" w:hAnsi="Arial"/>
          <w:sz w:val="16"/>
          <w:szCs w:val="16"/>
          <w:color w:val="auto"/>
        </w:rPr>
        <w:t>0.3%</w:t>
      </w:r>
    </w:p>
    <w:p>
      <w:pPr>
        <w:spacing w:after="0" w:line="46" w:lineRule="exact"/>
        <w:rPr>
          <w:sz w:val="20"/>
          <w:szCs w:val="20"/>
          <w:color w:val="auto"/>
        </w:rPr>
      </w:pPr>
    </w:p>
    <w:p>
      <w:pPr>
        <w:ind w:left="200"/>
        <w:spacing w:after="0"/>
        <w:tabs>
          <w:tab w:leader="none" w:pos="1580" w:val="left"/>
        </w:tabs>
        <w:rPr>
          <w:sz w:val="20"/>
          <w:szCs w:val="20"/>
          <w:color w:val="auto"/>
        </w:rPr>
      </w:pPr>
      <w:r>
        <w:rPr>
          <w:rFonts w:ascii="Arial" w:cs="Arial" w:eastAsia="Arial" w:hAnsi="Arial"/>
          <w:sz w:val="16"/>
          <w:szCs w:val="16"/>
          <w:color w:val="auto"/>
        </w:rPr>
        <w:t>28,333</w:t>
      </w:r>
      <w:r>
        <w:rPr>
          <w:sz w:val="20"/>
          <w:szCs w:val="20"/>
          <w:color w:val="auto"/>
        </w:rPr>
        <w:tab/>
      </w:r>
      <w:r>
        <w:rPr>
          <w:rFonts w:ascii="Arial" w:cs="Arial" w:eastAsia="Arial" w:hAnsi="Arial"/>
          <w:sz w:val="16"/>
          <w:szCs w:val="16"/>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17780</wp:posOffset>
            </wp:positionV>
            <wp:extent cx="15519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6"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1,376,003</w:t>
      </w:r>
      <w:r>
        <w:rPr>
          <w:sz w:val="20"/>
          <w:szCs w:val="20"/>
          <w:color w:val="auto"/>
        </w:rPr>
        <w:tab/>
      </w: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17780</wp:posOffset>
            </wp:positionV>
            <wp:extent cx="15519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69"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2,396,247</w:t>
      </w:r>
      <w:r>
        <w:rPr>
          <w:sz w:val="20"/>
          <w:szCs w:val="20"/>
          <w:color w:val="auto"/>
        </w:rPr>
        <w:tab/>
      </w:r>
      <w:r>
        <w:rPr>
          <w:rFonts w:ascii="Arial" w:cs="Arial" w:eastAsia="Arial" w:hAnsi="Arial"/>
          <w:sz w:val="16"/>
          <w:szCs w:val="16"/>
          <w:color w:val="auto"/>
        </w:rPr>
        <w:t>24.0%</w:t>
      </w:r>
    </w:p>
    <w:p>
      <w:pPr>
        <w:spacing w:after="0" w:line="46"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6"/>
          <w:szCs w:val="16"/>
          <w:color w:val="auto"/>
        </w:rPr>
        <w:t>697,684</w:t>
      </w:r>
      <w:r>
        <w:rPr>
          <w:sz w:val="20"/>
          <w:szCs w:val="20"/>
          <w:color w:val="auto"/>
        </w:rPr>
        <w:tab/>
      </w:r>
      <w:r>
        <w:rPr>
          <w:rFonts w:ascii="Arial" w:cs="Arial" w:eastAsia="Arial" w:hAnsi="Arial"/>
          <w:sz w:val="16"/>
          <w:szCs w:val="16"/>
          <w:color w:val="auto"/>
        </w:rPr>
        <w:t>7.0%</w:t>
      </w:r>
    </w:p>
    <w:p>
      <w:pPr>
        <w:spacing w:after="0" w:line="200" w:lineRule="exact"/>
        <w:rPr>
          <w:sz w:val="20"/>
          <w:szCs w:val="20"/>
          <w:color w:val="auto"/>
        </w:rPr>
      </w:pPr>
    </w:p>
    <w:p>
      <w:pPr>
        <w:sectPr>
          <w:pgSz w:w="11900" w:h="16838" w:orient="portrait"/>
          <w:cols w:equalWidth="0" w:num="2">
            <w:col w:w="3760" w:space="620"/>
            <w:col w:w="5839"/>
          </w:cols>
          <w:pgMar w:left="240" w:top="112" w:right="1440" w:bottom="294" w:gutter="0" w:footer="0" w:header="0"/>
          <w:type w:val="continuous"/>
        </w:sectPr>
      </w:pPr>
    </w:p>
    <w:p>
      <w:pPr>
        <w:spacing w:after="0" w:line="50" w:lineRule="exact"/>
        <w:rPr>
          <w:sz w:val="20"/>
          <w:szCs w:val="20"/>
          <w:color w:val="auto"/>
        </w:rPr>
      </w:pPr>
    </w:p>
    <w:p>
      <w:pPr>
        <w:ind w:left="660" w:right="1139" w:hanging="652"/>
        <w:spacing w:after="0" w:line="236" w:lineRule="auto"/>
        <w:tabs>
          <w:tab w:leader="none" w:pos="633" w:val="left"/>
        </w:tabs>
        <w:numPr>
          <w:ilvl w:val="0"/>
          <w:numId w:val="20"/>
        </w:numPr>
        <w:rPr>
          <w:rFonts w:ascii="Arial" w:cs="Arial" w:eastAsia="Arial" w:hAnsi="Arial"/>
          <w:sz w:val="22"/>
          <w:szCs w:val="22"/>
          <w:color w:val="auto"/>
        </w:rPr>
      </w:pPr>
      <w:r>
        <w:rPr>
          <w:rFonts w:ascii="Arial" w:cs="Arial" w:eastAsia="Arial" w:hAnsi="Arial"/>
          <w:sz w:val="22"/>
          <w:szCs w:val="22"/>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106" w:lineRule="exact"/>
        <w:rPr>
          <w:rFonts w:ascii="Arial" w:cs="Arial" w:eastAsia="Arial" w:hAnsi="Arial"/>
          <w:sz w:val="22"/>
          <w:szCs w:val="22"/>
          <w:color w:val="auto"/>
        </w:rPr>
      </w:pPr>
    </w:p>
    <w:p>
      <w:pPr>
        <w:ind w:left="660" w:right="1319" w:hanging="652"/>
        <w:spacing w:after="0" w:line="275" w:lineRule="auto"/>
        <w:tabs>
          <w:tab w:leader="none" w:pos="633"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percentages shown are calculated based on 9,098,152 shares of common stock outstanding on March 23, 2012. The numbers and percentages shown include the shares of common stock actually owned as of March 23, 2012 and the shares of common stock that the identified person or group had the right to acquire within 60 days of such date. In calculating the percentage of ownership, all shares of common stock that each identified person or group had the right to acquire within 60 days of March 23, 2012 upon the exercise of options are deemed to be outstanding for the purpose of computing the percentage of the shares of common stock owned by the persons or groups listed above.</w:t>
      </w:r>
    </w:p>
    <w:p>
      <w:pPr>
        <w:spacing w:after="0" w:line="77" w:lineRule="exact"/>
        <w:rPr>
          <w:rFonts w:ascii="Arial" w:cs="Arial" w:eastAsia="Arial" w:hAnsi="Arial"/>
          <w:sz w:val="19"/>
          <w:szCs w:val="19"/>
          <w:color w:val="auto"/>
        </w:rPr>
      </w:pPr>
    </w:p>
    <w:p>
      <w:pPr>
        <w:ind w:left="620" w:hanging="612"/>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505,833 shares of common stock issuable upon exercise of stock options.</w:t>
      </w:r>
    </w:p>
    <w:p>
      <w:pPr>
        <w:spacing w:after="0" w:line="125" w:lineRule="exact"/>
        <w:rPr>
          <w:rFonts w:ascii="Arial" w:cs="Arial" w:eastAsia="Arial" w:hAnsi="Arial"/>
          <w:sz w:val="22"/>
          <w:szCs w:val="22"/>
          <w:color w:val="auto"/>
        </w:rPr>
      </w:pPr>
    </w:p>
    <w:p>
      <w:pPr>
        <w:ind w:left="660" w:right="1699" w:hanging="652"/>
        <w:spacing w:after="0"/>
        <w:tabs>
          <w:tab w:leader="none" w:pos="633"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1,000 shares held by E. Bryan Bagley’s spouse with respect to which he disclaims beneficial ownership and 17,083 shares of common stock issuable upon exercise of stock options.</w:t>
      </w:r>
    </w:p>
    <w:p>
      <w:pPr>
        <w:spacing w:after="0" w:line="105" w:lineRule="exact"/>
        <w:rPr>
          <w:rFonts w:ascii="Arial" w:cs="Arial" w:eastAsia="Arial" w:hAnsi="Arial"/>
          <w:sz w:val="22"/>
          <w:szCs w:val="22"/>
          <w:color w:val="auto"/>
        </w:rPr>
      </w:pPr>
    </w:p>
    <w:p>
      <w:pPr>
        <w:ind w:left="660" w:right="1419" w:hanging="652"/>
        <w:spacing w:after="0"/>
        <w:tabs>
          <w:tab w:leader="none" w:pos="633"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88,666 shares held in the Baldwin Family Trust; 10,000 shares owned directly, which are held in an IRA under the name of Mr. Baldwin, and 130,833 shares of common stock issuable upon exercise of stock options.</w:t>
      </w:r>
    </w:p>
    <w:p>
      <w:pPr>
        <w:spacing w:after="0" w:line="105" w:lineRule="exact"/>
        <w:rPr>
          <w:rFonts w:ascii="Arial" w:cs="Arial" w:eastAsia="Arial" w:hAnsi="Arial"/>
          <w:sz w:val="22"/>
          <w:szCs w:val="22"/>
          <w:color w:val="auto"/>
        </w:rPr>
      </w:pPr>
    </w:p>
    <w:p>
      <w:pPr>
        <w:ind w:left="620" w:hanging="612"/>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70,833 shares of common stock issuable upon exercise of stock options.</w:t>
      </w:r>
    </w:p>
    <w:p>
      <w:pPr>
        <w:spacing w:after="0" w:line="125" w:lineRule="exact"/>
        <w:rPr>
          <w:rFonts w:ascii="Arial" w:cs="Arial" w:eastAsia="Arial" w:hAnsi="Arial"/>
          <w:sz w:val="22"/>
          <w:szCs w:val="22"/>
          <w:color w:val="auto"/>
        </w:rPr>
      </w:pPr>
    </w:p>
    <w:p>
      <w:pPr>
        <w:ind w:left="620" w:hanging="612"/>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80,833 shares of common stock issuable upon exercise of stock options.</w:t>
      </w:r>
    </w:p>
    <w:p>
      <w:pPr>
        <w:spacing w:after="0" w:line="125" w:lineRule="exact"/>
        <w:rPr>
          <w:rFonts w:ascii="Arial" w:cs="Arial" w:eastAsia="Arial" w:hAnsi="Arial"/>
          <w:sz w:val="22"/>
          <w:szCs w:val="22"/>
          <w:color w:val="auto"/>
        </w:rPr>
      </w:pPr>
    </w:p>
    <w:p>
      <w:pPr>
        <w:ind w:left="620" w:hanging="612"/>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30,833 shares of common stock issuable upon exercise of stock options.</w:t>
      </w:r>
    </w:p>
    <w:p>
      <w:pPr>
        <w:spacing w:after="0" w:line="125" w:lineRule="exact"/>
        <w:rPr>
          <w:rFonts w:ascii="Arial" w:cs="Arial" w:eastAsia="Arial" w:hAnsi="Arial"/>
          <w:sz w:val="22"/>
          <w:szCs w:val="22"/>
          <w:color w:val="auto"/>
        </w:rPr>
      </w:pPr>
    </w:p>
    <w:p>
      <w:pPr>
        <w:ind w:left="620" w:hanging="612"/>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28,633 shares of common stock issuable upon exercise of stock options.</w:t>
      </w:r>
    </w:p>
    <w:p>
      <w:pPr>
        <w:spacing w:after="0" w:line="125" w:lineRule="exact"/>
        <w:rPr>
          <w:rFonts w:ascii="Arial" w:cs="Arial" w:eastAsia="Arial" w:hAnsi="Arial"/>
          <w:sz w:val="22"/>
          <w:szCs w:val="22"/>
          <w:color w:val="auto"/>
        </w:rPr>
      </w:pPr>
    </w:p>
    <w:p>
      <w:pPr>
        <w:ind w:left="660" w:right="1339" w:hanging="652"/>
        <w:spacing w:after="0" w:line="234" w:lineRule="auto"/>
        <w:tabs>
          <w:tab w:leader="none" w:pos="633" w:val="left"/>
        </w:tabs>
        <w:numPr>
          <w:ilvl w:val="0"/>
          <w:numId w:val="20"/>
        </w:numPr>
        <w:rPr>
          <w:rFonts w:ascii="Arial" w:cs="Arial" w:eastAsia="Arial" w:hAnsi="Arial"/>
          <w:sz w:val="22"/>
          <w:szCs w:val="22"/>
          <w:color w:val="auto"/>
        </w:rPr>
      </w:pPr>
      <w:r>
        <w:rPr>
          <w:rFonts w:ascii="Arial" w:cs="Arial" w:eastAsia="Arial" w:hAnsi="Arial"/>
          <w:sz w:val="22"/>
          <w:szCs w:val="22"/>
          <w:color w:val="auto"/>
        </w:rPr>
        <w:t>E. Bryan Bagley is the son of Edward D. Bagley, and each of them disclaims beneficial ownership of common stock beneficially owned by the other. Amounts for Mr. Edward D. Bagley include 126,166 shares held by Edward D. Bagley’s spouse with respect to which he disclaims beneficial ownership and 8,333 shares of common stock issuable upon exercise of stock options. Mr. Edward D. Bagley has sole voting and dispositive power over 2,270,081 shares (including the shares that may be acquired pursuant to the exercise of stock options) and shared voting and dispositive power over the 126,166 shares held by Mr. Edward D. Bagley’s spouse.</w:t>
      </w:r>
    </w:p>
    <w:p>
      <w:pPr>
        <w:sectPr>
          <w:pgSz w:w="11900" w:h="16838" w:orient="portrait"/>
          <w:cols w:equalWidth="0" w:num="1">
            <w:col w:w="10219"/>
          </w:cols>
          <w:pgMar w:left="240" w:top="112" w:right="1440" w:bottom="29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39</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294" w:gutter="0" w:footer="0" w:header="0"/>
          <w:type w:val="continuous"/>
        </w:sectPr>
      </w:pPr>
    </w:p>
    <w:bookmarkStart w:id="53" w:name="page54"/>
    <w:bookmarkEnd w:id="53"/>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40" w:lineRule="exact"/>
        <w:rPr>
          <w:sz w:val="20"/>
          <w:szCs w:val="20"/>
          <w:color w:val="auto"/>
        </w:rPr>
      </w:pPr>
    </w:p>
    <w:p>
      <w:pPr>
        <w:ind w:left="660" w:right="1139" w:hanging="652"/>
        <w:spacing w:after="0" w:line="282" w:lineRule="auto"/>
        <w:tabs>
          <w:tab w:leader="none" w:pos="633"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Represents 697,684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10, 2012.</w:t>
      </w:r>
    </w:p>
    <w:p>
      <w:pPr>
        <w:spacing w:after="0" w:line="263" w:lineRule="exact"/>
        <w:rPr>
          <w:sz w:val="20"/>
          <w:szCs w:val="20"/>
          <w:color w:val="auto"/>
        </w:rPr>
      </w:pPr>
    </w:p>
    <w:p>
      <w:pPr>
        <w:ind w:right="1359"/>
        <w:spacing w:after="0" w:line="256" w:lineRule="auto"/>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55" w:lineRule="exact"/>
        <w:rPr>
          <w:sz w:val="20"/>
          <w:szCs w:val="20"/>
          <w:color w:val="auto"/>
        </w:rPr>
      </w:pPr>
    </w:p>
    <w:p>
      <w:pPr>
        <w:ind w:right="1179" w:firstLine="648"/>
        <w:spacing w:after="0" w:line="272" w:lineRule="auto"/>
        <w:rPr>
          <w:sz w:val="20"/>
          <w:szCs w:val="20"/>
          <w:color w:val="auto"/>
        </w:rPr>
      </w:pPr>
      <w:r>
        <w:rPr>
          <w:rFonts w:ascii="Arial" w:cs="Arial" w:eastAsia="Arial" w:hAnsi="Arial"/>
          <w:sz w:val="19"/>
          <w:szCs w:val="19"/>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162" w:lineRule="exact"/>
        <w:rPr>
          <w:sz w:val="20"/>
          <w:szCs w:val="20"/>
          <w:color w:val="auto"/>
        </w:rPr>
      </w:pPr>
    </w:p>
    <w:p>
      <w:pPr>
        <w:ind w:right="1959"/>
        <w:spacing w:after="0" w:line="297" w:lineRule="auto"/>
        <w:rPr>
          <w:sz w:val="20"/>
          <w:szCs w:val="20"/>
          <w:color w:val="auto"/>
        </w:rPr>
      </w:pPr>
      <w:r>
        <w:rPr>
          <w:rFonts w:ascii="Arial" w:cs="Arial" w:eastAsia="Arial" w:hAnsi="Arial"/>
          <w:sz w:val="19"/>
          <w:szCs w:val="19"/>
          <w:b w:val="1"/>
          <w:bCs w:val="1"/>
          <w:i w:val="1"/>
          <w:iCs w:val="1"/>
          <w:color w:val="auto"/>
        </w:rPr>
        <w:t xml:space="preserve">Indemnification of Officers and Directors. </w:t>
      </w:r>
      <w:r>
        <w:rPr>
          <w:rFonts w:ascii="Arial" w:cs="Arial" w:eastAsia="Arial" w:hAnsi="Arial"/>
          <w:sz w:val="19"/>
          <w:szCs w:val="19"/>
          <w:color w:val="auto"/>
        </w:rPr>
        <w:t>Please refer to the section titled “</w:t>
      </w:r>
      <w:r>
        <w:rPr>
          <w:rFonts w:ascii="Arial" w:cs="Arial" w:eastAsia="Arial" w:hAnsi="Arial"/>
          <w:sz w:val="19"/>
          <w:szCs w:val="19"/>
          <w:u w:val="single" w:color="auto"/>
          <w:color w:val="0000FF"/>
        </w:rPr>
        <w:t>Former Officers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0000FF"/>
        </w:rPr>
        <w:t>Indemnification</w:t>
      </w:r>
      <w:r>
        <w:rPr>
          <w:rFonts w:ascii="Arial" w:cs="Arial" w:eastAsia="Arial" w:hAnsi="Arial"/>
          <w:sz w:val="19"/>
          <w:szCs w:val="19"/>
          <w:color w:val="000000"/>
        </w:rPr>
        <w:t>” under Note 8 - Contingencies and Commitments in our Notes to Consolidated</w:t>
      </w:r>
      <w:r>
        <w:rPr>
          <w:rFonts w:ascii="Arial" w:cs="Arial" w:eastAsia="Arial" w:hAnsi="Arial"/>
          <w:sz w:val="19"/>
          <w:szCs w:val="19"/>
          <w:color w:val="0000FF"/>
        </w:rPr>
        <w:t xml:space="preserve"> </w:t>
      </w:r>
      <w:r>
        <w:rPr>
          <w:rFonts w:ascii="Arial" w:cs="Arial" w:eastAsia="Arial" w:hAnsi="Arial"/>
          <w:sz w:val="19"/>
          <w:szCs w:val="19"/>
          <w:color w:val="000000"/>
        </w:rPr>
        <w:t>Financial Statements forming part of this annual report on Form 10-K for full details.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jc w:val="both"/>
        <w:ind w:right="1139"/>
        <w:spacing w:after="0" w:line="238" w:lineRule="auto"/>
        <w:rPr>
          <w:sz w:val="20"/>
          <w:szCs w:val="20"/>
          <w:color w:val="auto"/>
        </w:rPr>
      </w:pPr>
      <w:r>
        <w:rPr>
          <w:rFonts w:ascii="Arial" w:cs="Arial" w:eastAsia="Arial" w:hAnsi="Arial"/>
          <w:sz w:val="22"/>
          <w:szCs w:val="22"/>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212" w:lineRule="exact"/>
        <w:rPr>
          <w:sz w:val="20"/>
          <w:szCs w:val="20"/>
          <w:color w:val="auto"/>
        </w:rPr>
      </w:pPr>
    </w:p>
    <w:p>
      <w:pPr>
        <w:jc w:val="both"/>
        <w:ind w:right="1139"/>
        <w:spacing w:after="0" w:line="232" w:lineRule="auto"/>
        <w:rPr>
          <w:sz w:val="20"/>
          <w:szCs w:val="20"/>
          <w:color w:val="auto"/>
        </w:rPr>
      </w:pPr>
      <w:r>
        <w:rPr>
          <w:rFonts w:ascii="Arial" w:cs="Arial" w:eastAsia="Arial" w:hAnsi="Arial"/>
          <w:sz w:val="22"/>
          <w:szCs w:val="22"/>
          <w:color w:val="auto"/>
        </w:rPr>
        <w:t>Our Board of Directors has an Audit and Compliance Committee, a Compensation Committee, and a Nominating Committee, each consisting entirely of independent directors.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48" w:lineRule="exact"/>
        <w:rPr>
          <w:sz w:val="20"/>
          <w:szCs w:val="20"/>
          <w:color w:val="auto"/>
        </w:rPr>
      </w:pPr>
    </w:p>
    <w:p>
      <w:pPr>
        <w:ind w:right="1319" w:firstLine="648"/>
        <w:spacing w:after="0" w:line="251" w:lineRule="auto"/>
        <w:rPr>
          <w:sz w:val="20"/>
          <w:szCs w:val="20"/>
          <w:color w:val="auto"/>
        </w:rPr>
      </w:pPr>
      <w:r>
        <w:rPr>
          <w:rFonts w:ascii="Arial" w:cs="Arial" w:eastAsia="Arial" w:hAnsi="Arial"/>
          <w:sz w:val="22"/>
          <w:szCs w:val="22"/>
          <w:color w:val="auto"/>
        </w:rPr>
        <w:t>We retained Jones Simkins, P.C. as our auditor and independent certified public accountants for the years ended December 31, 2011 and 2010.</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presents aggregate fees billed by the principal accountants to our company:</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228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2140" w:type="dxa"/>
            <w:vAlign w:val="bottom"/>
          </w:tcPr>
          <w:p>
            <w:pPr>
              <w:spacing w:after="0"/>
              <w:rPr>
                <w:sz w:val="17"/>
                <w:szCs w:val="17"/>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r>
      <w:tr>
        <w:trPr>
          <w:trHeight w:val="237"/>
        </w:trPr>
        <w:tc>
          <w:tcPr>
            <w:tcW w:w="2140" w:type="dxa"/>
            <w:vAlign w:val="bottom"/>
            <w:shd w:val="clear" w:color="auto" w:fill="A0C4DA"/>
          </w:tcPr>
          <w:p>
            <w:pPr>
              <w:spacing w:after="0" w:line="236"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7"/>
                <w:szCs w:val="27"/>
                <w:color w:val="auto"/>
                <w:vertAlign w:val="superscript"/>
              </w:rPr>
              <w:t>(1)</w:t>
            </w:r>
          </w:p>
        </w:tc>
        <w:tc>
          <w:tcPr>
            <w:tcW w:w="1040" w:type="dxa"/>
            <w:vAlign w:val="bottom"/>
            <w:shd w:val="clear" w:color="auto" w:fill="A0C4DA"/>
          </w:tcPr>
          <w:p>
            <w:pPr>
              <w:jc w:val="right"/>
              <w:ind w:right="115"/>
              <w:spacing w:after="0"/>
              <w:rPr>
                <w:sz w:val="20"/>
                <w:szCs w:val="20"/>
                <w:color w:val="auto"/>
              </w:rPr>
            </w:pPr>
            <w:r>
              <w:rPr>
                <w:rFonts w:ascii="Arial" w:cs="Arial" w:eastAsia="Arial" w:hAnsi="Arial"/>
                <w:sz w:val="18"/>
                <w:szCs w:val="18"/>
                <w:color w:val="auto"/>
              </w:rPr>
              <w:t>$ 191,632</w:t>
            </w:r>
          </w:p>
        </w:tc>
        <w:tc>
          <w:tcPr>
            <w:tcW w:w="1240" w:type="dxa"/>
            <w:vAlign w:val="bottom"/>
            <w:shd w:val="clear" w:color="auto" w:fill="A0C4DA"/>
          </w:tcPr>
          <w:p>
            <w:pPr>
              <w:jc w:val="right"/>
              <w:ind w:right="213"/>
              <w:spacing w:after="0"/>
              <w:rPr>
                <w:sz w:val="20"/>
                <w:szCs w:val="20"/>
                <w:color w:val="auto"/>
              </w:rPr>
            </w:pPr>
            <w:r>
              <w:rPr>
                <w:rFonts w:ascii="Arial" w:cs="Arial" w:eastAsia="Arial" w:hAnsi="Arial"/>
                <w:sz w:val="18"/>
                <w:szCs w:val="18"/>
                <w:color w:val="auto"/>
              </w:rPr>
              <w:t>$ 174,179</w:t>
            </w:r>
          </w:p>
        </w:tc>
      </w:tr>
      <w:tr>
        <w:trPr>
          <w:trHeight w:val="230"/>
        </w:trPr>
        <w:tc>
          <w:tcPr>
            <w:tcW w:w="2140" w:type="dxa"/>
            <w:vAlign w:val="bottom"/>
          </w:tcPr>
          <w:p>
            <w:pPr>
              <w:spacing w:after="0"/>
              <w:rPr>
                <w:sz w:val="20"/>
                <w:szCs w:val="20"/>
                <w:color w:val="auto"/>
              </w:rPr>
            </w:pPr>
            <w:r>
              <w:rPr>
                <w:rFonts w:ascii="Arial" w:cs="Arial" w:eastAsia="Arial" w:hAnsi="Arial"/>
                <w:sz w:val="16"/>
                <w:szCs w:val="16"/>
                <w:color w:val="auto"/>
              </w:rPr>
              <w:t>Audit-related Fees</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w:t>
            </w:r>
          </w:p>
        </w:tc>
      </w:tr>
      <w:tr>
        <w:trPr>
          <w:trHeight w:val="243"/>
        </w:trPr>
        <w:tc>
          <w:tcPr>
            <w:tcW w:w="2140" w:type="dxa"/>
            <w:vAlign w:val="bottom"/>
            <w:shd w:val="clear" w:color="auto" w:fill="A0C4DA"/>
          </w:tcPr>
          <w:p>
            <w:pPr>
              <w:spacing w:after="0" w:line="242"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7"/>
                <w:szCs w:val="27"/>
                <w:color w:val="auto"/>
                <w:vertAlign w:val="superscript"/>
              </w:rPr>
              <w:t>(2)</w:t>
            </w:r>
          </w:p>
        </w:tc>
        <w:tc>
          <w:tcPr>
            <w:tcW w:w="1040" w:type="dxa"/>
            <w:vAlign w:val="bottom"/>
            <w:shd w:val="clear" w:color="auto" w:fill="A0C4DA"/>
          </w:tcPr>
          <w:p>
            <w:pPr>
              <w:jc w:val="right"/>
              <w:ind w:right="115"/>
              <w:spacing w:after="0"/>
              <w:rPr>
                <w:sz w:val="20"/>
                <w:szCs w:val="20"/>
                <w:color w:val="auto"/>
              </w:rPr>
            </w:pPr>
            <w:r>
              <w:rPr>
                <w:rFonts w:ascii="Arial" w:cs="Arial" w:eastAsia="Arial" w:hAnsi="Arial"/>
                <w:sz w:val="18"/>
                <w:szCs w:val="18"/>
                <w:color w:val="auto"/>
              </w:rPr>
              <w:t>41,629</w:t>
            </w:r>
          </w:p>
        </w:tc>
        <w:tc>
          <w:tcPr>
            <w:tcW w:w="1240" w:type="dxa"/>
            <w:vAlign w:val="bottom"/>
            <w:shd w:val="clear" w:color="auto" w:fill="A0C4DA"/>
          </w:tcPr>
          <w:p>
            <w:pPr>
              <w:jc w:val="right"/>
              <w:ind w:right="213"/>
              <w:spacing w:after="0"/>
              <w:rPr>
                <w:sz w:val="20"/>
                <w:szCs w:val="20"/>
                <w:color w:val="auto"/>
              </w:rPr>
            </w:pPr>
            <w:r>
              <w:rPr>
                <w:rFonts w:ascii="Arial" w:cs="Arial" w:eastAsia="Arial" w:hAnsi="Arial"/>
                <w:sz w:val="18"/>
                <w:szCs w:val="18"/>
                <w:color w:val="auto"/>
              </w:rPr>
              <w:t>99,388</w:t>
            </w:r>
          </w:p>
        </w:tc>
      </w:tr>
      <w:tr>
        <w:trPr>
          <w:trHeight w:val="243"/>
        </w:trPr>
        <w:tc>
          <w:tcPr>
            <w:tcW w:w="2140" w:type="dxa"/>
            <w:vAlign w:val="bottom"/>
            <w:tcBorders>
              <w:bottom w:val="single" w:sz="8" w:color="A0C4DA"/>
            </w:tcBorders>
          </w:tcPr>
          <w:p>
            <w:pPr>
              <w:spacing w:after="0" w:line="242"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7"/>
                <w:szCs w:val="27"/>
                <w:color w:val="auto"/>
                <w:vertAlign w:val="superscript"/>
              </w:rPr>
              <w:t>(3)</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r>
      <w:tr>
        <w:trPr>
          <w:trHeight w:val="223"/>
        </w:trPr>
        <w:tc>
          <w:tcPr>
            <w:tcW w:w="2140" w:type="dxa"/>
            <w:vAlign w:val="bottom"/>
            <w:tcBorders>
              <w:bottom w:val="single" w:sz="8" w:color="A0C4DA"/>
            </w:tcBorders>
            <w:shd w:val="clear" w:color="auto" w:fill="A0C4DA"/>
          </w:tcPr>
          <w:p>
            <w:pPr>
              <w:ind w:left="180"/>
              <w:spacing w:after="0" w:line="182"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A0C4DA"/>
          </w:tcPr>
          <w:p>
            <w:pPr>
              <w:jc w:val="right"/>
              <w:ind w:right="115"/>
              <w:spacing w:after="0" w:line="182" w:lineRule="exact"/>
              <w:rPr>
                <w:sz w:val="20"/>
                <w:szCs w:val="20"/>
                <w:color w:val="auto"/>
              </w:rPr>
            </w:pPr>
            <w:r>
              <w:rPr>
                <w:rFonts w:ascii="Arial" w:cs="Arial" w:eastAsia="Arial" w:hAnsi="Arial"/>
                <w:sz w:val="18"/>
                <w:szCs w:val="18"/>
                <w:color w:val="auto"/>
              </w:rPr>
              <w:t>$ 233,261</w:t>
            </w:r>
          </w:p>
        </w:tc>
        <w:tc>
          <w:tcPr>
            <w:tcW w:w="1240" w:type="dxa"/>
            <w:vAlign w:val="bottom"/>
            <w:tcBorders>
              <w:bottom w:val="single" w:sz="8" w:color="auto"/>
            </w:tcBorders>
            <w:shd w:val="clear" w:color="auto" w:fill="A0C4DA"/>
          </w:tcPr>
          <w:p>
            <w:pPr>
              <w:jc w:val="right"/>
              <w:ind w:right="213"/>
              <w:spacing w:after="0" w:line="182" w:lineRule="exact"/>
              <w:rPr>
                <w:sz w:val="20"/>
                <w:szCs w:val="20"/>
                <w:color w:val="auto"/>
              </w:rPr>
            </w:pPr>
            <w:r>
              <w:rPr>
                <w:rFonts w:ascii="Arial" w:cs="Arial" w:eastAsia="Arial" w:hAnsi="Arial"/>
                <w:sz w:val="18"/>
                <w:szCs w:val="18"/>
                <w:color w:val="auto"/>
              </w:rPr>
              <w:t>$ 273,567</w:t>
            </w:r>
          </w:p>
        </w:tc>
      </w:tr>
    </w:tbl>
    <w:p>
      <w:pPr>
        <w:spacing w:after="0" w:line="60" w:lineRule="exact"/>
        <w:rPr>
          <w:sz w:val="20"/>
          <w:szCs w:val="20"/>
          <w:color w:val="auto"/>
        </w:rPr>
      </w:pPr>
    </w:p>
    <w:p>
      <w:pPr>
        <w:ind w:left="660" w:right="1939" w:hanging="598"/>
        <w:spacing w:after="0" w:line="274" w:lineRule="auto"/>
        <w:tabs>
          <w:tab w:leader="none" w:pos="633" w:val="left"/>
        </w:tabs>
        <w:numPr>
          <w:ilvl w:val="1"/>
          <w:numId w:val="22"/>
        </w:numPr>
        <w:rPr>
          <w:rFonts w:ascii="Arial" w:cs="Arial" w:eastAsia="Arial" w:hAnsi="Arial"/>
          <w:sz w:val="21"/>
          <w:szCs w:val="21"/>
          <w:color w:val="auto"/>
        </w:rPr>
      </w:pPr>
      <w:r>
        <w:rPr>
          <w:rFonts w:ascii="Arial" w:cs="Arial" w:eastAsia="Arial" w:hAnsi="Arial"/>
          <w:sz w:val="21"/>
          <w:szCs w:val="21"/>
          <w:color w:val="auto"/>
        </w:rPr>
        <w:t>Represents fees billed for professional services rendered for the audit and reviews of our financial statements filed with the SEC on Forms 10-K and 10-Q.</w:t>
      </w:r>
    </w:p>
    <w:p>
      <w:pPr>
        <w:spacing w:after="0" w:line="29" w:lineRule="exact"/>
        <w:rPr>
          <w:rFonts w:ascii="Arial" w:cs="Arial" w:eastAsia="Arial" w:hAnsi="Arial"/>
          <w:sz w:val="21"/>
          <w:szCs w:val="21"/>
          <w:color w:val="auto"/>
        </w:rPr>
      </w:pPr>
    </w:p>
    <w:p>
      <w:pPr>
        <w:ind w:left="620" w:hanging="612"/>
        <w:spacing w:after="0"/>
        <w:tabs>
          <w:tab w:leader="none" w:pos="6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Represents fees billed for tax filing, preparation, and tax advisory services.</w:t>
      </w:r>
    </w:p>
    <w:p>
      <w:pPr>
        <w:spacing w:after="0" w:line="84" w:lineRule="exact"/>
        <w:rPr>
          <w:rFonts w:ascii="Arial" w:cs="Arial" w:eastAsia="Arial" w:hAnsi="Arial"/>
          <w:sz w:val="22"/>
          <w:szCs w:val="22"/>
          <w:color w:val="auto"/>
        </w:rPr>
      </w:pPr>
    </w:p>
    <w:p>
      <w:pPr>
        <w:ind w:left="660" w:right="2219" w:hanging="652"/>
        <w:spacing w:after="0" w:line="251" w:lineRule="auto"/>
        <w:tabs>
          <w:tab w:leader="none" w:pos="633"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Represents fees billed for all other non-audit services, such as consulting on potential acquisitions or dispositions.</w:t>
      </w:r>
    </w:p>
    <w:p>
      <w:pPr>
        <w:sectPr>
          <w:pgSz w:w="11900" w:h="16838" w:orient="portrait"/>
          <w:cols w:equalWidth="0" w:num="1">
            <w:col w:w="10219"/>
          </w:cols>
          <w:pgMar w:left="240" w:top="112" w:right="1440"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40</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037" w:gutter="0" w:footer="0" w:header="0"/>
          <w:type w:val="continuous"/>
        </w:sectPr>
      </w:pPr>
    </w:p>
    <w:bookmarkStart w:id="54" w:name="page55"/>
    <w:bookmarkEnd w:id="54"/>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Policies and Procedures</w:t>
      </w:r>
    </w:p>
    <w:p>
      <w:pPr>
        <w:spacing w:after="0" w:line="91" w:lineRule="exact"/>
        <w:rPr>
          <w:sz w:val="20"/>
          <w:szCs w:val="20"/>
          <w:color w:val="auto"/>
        </w:rPr>
      </w:pPr>
    </w:p>
    <w:p>
      <w:pPr>
        <w:ind w:right="1199" w:firstLine="648"/>
        <w:spacing w:after="0" w:line="273" w:lineRule="auto"/>
        <w:rPr>
          <w:sz w:val="20"/>
          <w:szCs w:val="20"/>
          <w:color w:val="auto"/>
        </w:rPr>
      </w:pPr>
      <w:r>
        <w:rPr>
          <w:rFonts w:ascii="Arial" w:cs="Arial" w:eastAsia="Arial" w:hAnsi="Arial"/>
          <w:sz w:val="19"/>
          <w:szCs w:val="19"/>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2011,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41</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5" w:name="page56"/>
    <w:bookmarkEnd w:id="55"/>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PART IV</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179" w:lineRule="exact"/>
        <w:rPr>
          <w:sz w:val="20"/>
          <w:szCs w:val="20"/>
          <w:color w:val="auto"/>
        </w:rPr>
      </w:pPr>
    </w:p>
    <w:p>
      <w:pPr>
        <w:ind w:left="140" w:right="1219" w:hanging="134"/>
        <w:spacing w:after="0" w:line="291" w:lineRule="auto"/>
        <w:rPr>
          <w:sz w:val="20"/>
          <w:szCs w:val="20"/>
          <w:color w:val="auto"/>
        </w:rPr>
      </w:pPr>
      <w:r>
        <w:rPr>
          <w:rFonts w:ascii="Arial" w:cs="Arial" w:eastAsia="Arial" w:hAnsi="Arial"/>
          <w:sz w:val="17"/>
          <w:szCs w:val="17"/>
          <w:color w:val="auto"/>
        </w:rPr>
        <w:t>1.Financial Statements: Financial statements set forth under Part II, Item 8 of this Annual Report on Form 10-K are filed in a separate section of this Form 10-K. See "Index to Consolidated Financial Statements" on page F-1.</w:t>
      </w:r>
    </w:p>
    <w:p>
      <w:pPr>
        <w:spacing w:after="0" w:line="336" w:lineRule="exact"/>
        <w:rPr>
          <w:sz w:val="20"/>
          <w:szCs w:val="20"/>
          <w:color w:val="auto"/>
        </w:rPr>
      </w:pPr>
    </w:p>
    <w:p>
      <w:pPr>
        <w:ind w:left="140" w:right="1959" w:hanging="134"/>
        <w:spacing w:after="0" w:line="291" w:lineRule="auto"/>
        <w:rPr>
          <w:sz w:val="20"/>
          <w:szCs w:val="20"/>
          <w:color w:val="auto"/>
        </w:rPr>
      </w:pPr>
      <w:r>
        <w:rPr>
          <w:rFonts w:ascii="Arial" w:cs="Arial" w:eastAsia="Arial" w:hAnsi="Arial"/>
          <w:sz w:val="17"/>
          <w:szCs w:val="17"/>
          <w:color w:val="auto"/>
        </w:rPr>
        <w:t>2.Financial Statement Schedules: All schedules are omitted since they either are not required, not applicable or the information is presented in the accompanying consolidated financial statements and notes thereto.</w:t>
      </w:r>
    </w:p>
    <w:p>
      <w:pPr>
        <w:spacing w:after="0" w:line="336" w:lineRule="exact"/>
        <w:rPr>
          <w:sz w:val="20"/>
          <w:szCs w:val="20"/>
          <w:color w:val="auto"/>
        </w:rPr>
      </w:pPr>
    </w:p>
    <w:p>
      <w:pPr>
        <w:ind w:left="140" w:right="1439" w:hanging="134"/>
        <w:spacing w:after="0" w:line="262" w:lineRule="auto"/>
        <w:rPr>
          <w:sz w:val="20"/>
          <w:szCs w:val="20"/>
          <w:color w:val="auto"/>
        </w:rPr>
      </w:pPr>
      <w:r>
        <w:rPr>
          <w:rFonts w:ascii="Arial" w:cs="Arial" w:eastAsia="Arial" w:hAnsi="Arial"/>
          <w:sz w:val="18"/>
          <w:szCs w:val="18"/>
          <w:color w:val="auto"/>
        </w:rPr>
        <w:t>3.Exhibits: The exhibits listed under the Index of exhibits in the next page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42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6" w:name="page57"/>
    <w:bookmarkEnd w:id="56"/>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INDEX TO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14"/>
                <w:szCs w:val="14"/>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File Number</w:t>
            </w:r>
          </w:p>
        </w:tc>
        <w:tc>
          <w:tcPr>
            <w:tcW w:w="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44"/>
        </w:trPr>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60" w:type="dxa"/>
            <w:vAlign w:val="bottom"/>
            <w:gridSpan w:val="24"/>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Herewith</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160" w:type="dxa"/>
            <w:vAlign w:val="bottom"/>
            <w:gridSpan w:val="24"/>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40" w:type="dxa"/>
            <w:vAlign w:val="bottom"/>
          </w:tcPr>
          <w:p>
            <w:pPr>
              <w:spacing w:after="0"/>
              <w:rPr>
                <w:sz w:val="15"/>
                <w:szCs w:val="15"/>
                <w:color w:val="auto"/>
              </w:rPr>
            </w:pPr>
          </w:p>
        </w:tc>
        <w:tc>
          <w:tcPr>
            <w:tcW w:w="4880" w:type="dxa"/>
            <w:vAlign w:val="bottom"/>
            <w:gridSpan w:val="30"/>
          </w:tcPr>
          <w:p>
            <w:pPr>
              <w:spacing w:after="0" w:line="176" w:lineRule="exact"/>
              <w:rPr>
                <w:sz w:val="20"/>
                <w:szCs w:val="20"/>
                <w:color w:val="auto"/>
              </w:rPr>
            </w:pPr>
            <w:r>
              <w:rPr>
                <w:rFonts w:ascii="Arial" w:cs="Arial" w:eastAsia="Arial" w:hAnsi="Arial"/>
                <w:sz w:val="18"/>
                <w:szCs w:val="18"/>
                <w:color w:val="0000FF"/>
                <w:w w:val="92"/>
              </w:rPr>
              <w:t>Agreement and Plan of Merger, dated as of November 3, 2009, by</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001-33660</w:t>
            </w:r>
          </w:p>
        </w:tc>
        <w:tc>
          <w:tcPr>
            <w:tcW w:w="4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7"/>
              </w:rPr>
              <w:t>2.2</w:t>
            </w:r>
          </w:p>
        </w:tc>
        <w:tc>
          <w:tcPr>
            <w:tcW w:w="6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8"/>
              </w:rPr>
              <w:t>11/09/09</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40" w:type="dxa"/>
            <w:vAlign w:val="bottom"/>
            <w:tcBorders>
              <w:top w:val="single" w:sz="8" w:color="0000FF"/>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0"/>
              </w:rPr>
              <w:t>and among ClearOne Communications, Inc., Alta-Wasatch</w:t>
            </w:r>
          </w:p>
        </w:tc>
        <w:tc>
          <w:tcPr>
            <w:tcW w:w="520" w:type="dxa"/>
            <w:vAlign w:val="bottom"/>
            <w:tcBorders>
              <w:top w:val="single" w:sz="8" w:color="0000FF"/>
            </w:tcBorders>
            <w:gridSpan w:val="8"/>
          </w:tcPr>
          <w:p>
            <w:pPr>
              <w:spacing w:after="0"/>
              <w:rPr>
                <w:sz w:val="17"/>
                <w:szCs w:val="17"/>
                <w:color w:val="auto"/>
              </w:rPr>
            </w:pPr>
          </w:p>
        </w:tc>
        <w:tc>
          <w:tcPr>
            <w:tcW w:w="12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92"/>
              </w:rPr>
              <w:t>Acquisition Corporation, NetStreams, Inc., Austin Ventures VIII,</w:t>
            </w:r>
          </w:p>
        </w:tc>
        <w:tc>
          <w:tcPr>
            <w:tcW w:w="18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gridSpan w:val="30"/>
          </w:tcPr>
          <w:p>
            <w:pPr>
              <w:spacing w:after="0" w:line="196" w:lineRule="exact"/>
              <w:rPr>
                <w:sz w:val="20"/>
                <w:szCs w:val="20"/>
                <w:color w:val="auto"/>
              </w:rPr>
            </w:pPr>
            <w:r>
              <w:rPr>
                <w:rFonts w:ascii="Arial" w:cs="Arial" w:eastAsia="Arial" w:hAnsi="Arial"/>
                <w:sz w:val="18"/>
                <w:szCs w:val="18"/>
                <w:color w:val="0000FF"/>
              </w:rPr>
              <w:t>L.P., and Kevin A. Reinis.</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7"/>
                <w:szCs w:val="17"/>
                <w:color w:val="auto"/>
              </w:rPr>
            </w:pPr>
          </w:p>
        </w:tc>
        <w:tc>
          <w:tcPr>
            <w:tcW w:w="360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Articles of Incorporation and amendments thereto</w:t>
            </w:r>
          </w:p>
        </w:tc>
        <w:tc>
          <w:tcPr>
            <w:tcW w:w="1280" w:type="dxa"/>
            <w:vAlign w:val="bottom"/>
            <w:gridSpan w:val="19"/>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3"/>
          </w:tcPr>
          <w:p>
            <w:pPr>
              <w:jc w:val="right"/>
              <w:ind w:right="39"/>
              <w:spacing w:after="0" w:line="196" w:lineRule="exact"/>
              <w:rPr>
                <w:sz w:val="20"/>
                <w:szCs w:val="20"/>
                <w:color w:val="auto"/>
              </w:rPr>
            </w:pPr>
            <w:r>
              <w:rPr>
                <w:rFonts w:ascii="Arial" w:cs="Arial" w:eastAsia="Arial" w:hAnsi="Arial"/>
                <w:sz w:val="18"/>
                <w:szCs w:val="18"/>
                <w:color w:val="auto"/>
              </w:rPr>
              <w:t>10-K   001-33660</w:t>
            </w: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7"/>
              </w:rPr>
              <w:t>3.1</w:t>
            </w:r>
          </w:p>
        </w:tc>
        <w:tc>
          <w:tcPr>
            <w:tcW w:w="8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09/10/08</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0000FF"/>
              </w:rPr>
              <w:t>Bylaws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3"/>
          </w:tcPr>
          <w:p>
            <w:pPr>
              <w:jc w:val="right"/>
              <w:ind w:right="39"/>
              <w:spacing w:after="0"/>
              <w:rPr>
                <w:sz w:val="20"/>
                <w:szCs w:val="20"/>
                <w:color w:val="auto"/>
              </w:rPr>
            </w:pPr>
            <w:r>
              <w:rPr>
                <w:rFonts w:ascii="Arial" w:cs="Arial" w:eastAsia="Arial" w:hAnsi="Arial"/>
                <w:sz w:val="18"/>
                <w:szCs w:val="18"/>
                <w:color w:val="auto"/>
              </w:rPr>
              <w:t>10-K   001-33660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03/31/11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39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Employment Separation Agreement between ClearOne</w:t>
            </w:r>
          </w:p>
        </w:tc>
        <w:tc>
          <w:tcPr>
            <w:tcW w:w="900" w:type="dxa"/>
            <w:vAlign w:val="bottom"/>
            <w:gridSpan w:val="15"/>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000-17219</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08/18/05</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2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18"/>
                <w:szCs w:val="18"/>
                <w:color w:val="0000FF"/>
                <w:w w:val="89"/>
              </w:rPr>
              <w:t>Communications, Inc. and Frances Flood, dated December 5,</w:t>
            </w:r>
          </w:p>
        </w:tc>
        <w:tc>
          <w:tcPr>
            <w:tcW w:w="460" w:type="dxa"/>
            <w:vAlign w:val="bottom"/>
            <w:gridSpan w:val="10"/>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7"/>
                <w:szCs w:val="17"/>
                <w:color w:val="auto"/>
              </w:rPr>
            </w:pPr>
          </w:p>
        </w:tc>
        <w:tc>
          <w:tcPr>
            <w:tcW w:w="4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3"/>
              </w:rPr>
              <w:t>2003*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4"/>
              </w:rPr>
              <w:t>10-K</w:t>
            </w:r>
          </w:p>
        </w:tc>
        <w:tc>
          <w:tcPr>
            <w:tcW w:w="10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000-17219</w:t>
            </w:r>
          </w:p>
        </w:tc>
        <w:tc>
          <w:tcPr>
            <w:tcW w:w="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10.1</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08/18/05</w:t>
            </w:r>
          </w:p>
        </w:tc>
        <w:tc>
          <w:tcPr>
            <w:tcW w:w="0" w:type="dxa"/>
            <w:vAlign w:val="bottom"/>
          </w:tcPr>
          <w:p>
            <w:pPr>
              <w:spacing w:after="0"/>
              <w:rPr>
                <w:sz w:val="1"/>
                <w:szCs w:val="1"/>
                <w:color w:val="auto"/>
              </w:rPr>
            </w:pPr>
          </w:p>
        </w:tc>
      </w:tr>
      <w:tr>
        <w:trPr>
          <w:trHeight w:val="210"/>
        </w:trPr>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0000FF"/>
              </w:rPr>
              <w:t>Employment Termination Agreement between ClearOne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tcBorders>
              <w:bottom w:val="single" w:sz="8" w:color="0000FF"/>
            </w:tcBorders>
            <w:gridSpan w:val="30"/>
          </w:tcPr>
          <w:p>
            <w:pPr>
              <w:spacing w:after="0" w:line="196" w:lineRule="exact"/>
              <w:rPr>
                <w:sz w:val="20"/>
                <w:szCs w:val="20"/>
                <w:color w:val="auto"/>
              </w:rPr>
            </w:pPr>
            <w:r>
              <w:rPr>
                <w:rFonts w:ascii="Arial" w:cs="Arial" w:eastAsia="Arial" w:hAnsi="Arial"/>
                <w:sz w:val="18"/>
                <w:szCs w:val="18"/>
                <w:color w:val="0000FF"/>
                <w:w w:val="90"/>
              </w:rPr>
              <w:t>Communications, Inc. and Susie Strohm, dated December 5, 2003*</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2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1997 Employee Stock Purchase Plan</w:t>
            </w:r>
          </w:p>
        </w:tc>
        <w:tc>
          <w:tcPr>
            <w:tcW w:w="2220" w:type="dxa"/>
            <w:vAlign w:val="bottom"/>
            <w:gridSpan w:val="20"/>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333-137859</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10/06/06</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0000FF"/>
              </w:rPr>
              <w:t>1998 Stock Option Plan</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333-137859</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10/06/06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0000FF"/>
              </w:rPr>
              <w:t>2007 Equity Incentive Plan</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S-8   333-148789</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01/22/08</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4"/>
              </w:rPr>
              <w:t>10-K</w:t>
            </w:r>
          </w:p>
        </w:tc>
        <w:tc>
          <w:tcPr>
            <w:tcW w:w="10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000-17219</w:t>
            </w:r>
          </w:p>
        </w:tc>
        <w:tc>
          <w:tcPr>
            <w:tcW w:w="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10.19</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09/14/06</w:t>
            </w: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2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Office Lease between Edgewater Corporate Park, LLC and</w:t>
            </w:r>
          </w:p>
        </w:tc>
        <w:tc>
          <w:tcPr>
            <w:tcW w:w="620" w:type="dxa"/>
            <w:vAlign w:val="bottom"/>
            <w:gridSpan w:val="12"/>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gridSpan w:val="30"/>
          </w:tcPr>
          <w:p>
            <w:pPr>
              <w:spacing w:after="0" w:line="196" w:lineRule="exact"/>
              <w:rPr>
                <w:sz w:val="20"/>
                <w:szCs w:val="20"/>
                <w:color w:val="auto"/>
              </w:rPr>
            </w:pPr>
            <w:r>
              <w:rPr>
                <w:rFonts w:ascii="Arial" w:cs="Arial" w:eastAsia="Arial" w:hAnsi="Arial"/>
                <w:sz w:val="18"/>
                <w:szCs w:val="18"/>
                <w:color w:val="0000FF"/>
              </w:rPr>
              <w:t>ClearOne Communications, Inc. dated June 5, 2006</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48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1"/>
              </w:rPr>
              <w:t>Margin Loan Agreement between ClearOne Communications, Inc.</w:t>
            </w:r>
          </w:p>
        </w:tc>
        <w:tc>
          <w:tcPr>
            <w:tcW w:w="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001-33660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09/11/08</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2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89"/>
              </w:rPr>
              <w:t>and UBS Financial Services, Inc. dated September 10, 2008</w:t>
            </w:r>
          </w:p>
        </w:tc>
        <w:tc>
          <w:tcPr>
            <w:tcW w:w="560" w:type="dxa"/>
            <w:vAlign w:val="bottom"/>
            <w:gridSpan w:val="11"/>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486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1"/>
              </w:rPr>
              <w:t>Manufacturing Services Agreement between Flextronics Industrial,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001-33660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10.21</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10/13/09</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gridSpan w:val="30"/>
          </w:tcPr>
          <w:p>
            <w:pPr>
              <w:spacing w:after="0" w:line="196" w:lineRule="exact"/>
              <w:rPr>
                <w:sz w:val="20"/>
                <w:szCs w:val="20"/>
                <w:color w:val="auto"/>
              </w:rPr>
            </w:pPr>
            <w:r>
              <w:rPr>
                <w:rFonts w:ascii="Arial" w:cs="Arial" w:eastAsia="Arial" w:hAnsi="Arial"/>
                <w:sz w:val="18"/>
                <w:szCs w:val="18"/>
                <w:color w:val="0000FF"/>
                <w:w w:val="91"/>
              </w:rPr>
              <w:t>Ltd. and ClearOne Communications, Inc. dated November 3, 2008</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c>
          <w:tcPr>
            <w:tcW w:w="480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w w:val="90"/>
              </w:rPr>
              <w:t>Joinder to Loan and Security Agreement, dated as of November 3,</w:t>
            </w:r>
          </w:p>
        </w:tc>
        <w:tc>
          <w:tcPr>
            <w:tcW w:w="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001-33660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11/09/09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gridSpan w:val="30"/>
          </w:tcPr>
          <w:p>
            <w:pPr>
              <w:spacing w:after="0" w:line="196" w:lineRule="exact"/>
              <w:rPr>
                <w:sz w:val="20"/>
                <w:szCs w:val="20"/>
                <w:color w:val="auto"/>
              </w:rPr>
            </w:pPr>
            <w:r>
              <w:rPr>
                <w:rFonts w:ascii="Arial" w:cs="Arial" w:eastAsia="Arial" w:hAnsi="Arial"/>
                <w:sz w:val="18"/>
                <w:szCs w:val="18"/>
                <w:color w:val="0000FF"/>
                <w:w w:val="90"/>
              </w:rPr>
              <w:t>2009, by and between ClearOne Communications, Inc. and Square</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top w:val="single" w:sz="8" w:color="0000FF"/>
            </w:tcBorders>
            <w:gridSpan w:val="27"/>
          </w:tcPr>
          <w:p>
            <w:pPr>
              <w:spacing w:after="0" w:line="196" w:lineRule="exact"/>
              <w:rPr>
                <w:sz w:val="20"/>
                <w:szCs w:val="20"/>
                <w:color w:val="auto"/>
              </w:rPr>
            </w:pPr>
            <w:r>
              <w:rPr>
                <w:rFonts w:ascii="Arial" w:cs="Arial" w:eastAsia="Arial" w:hAnsi="Arial"/>
                <w:sz w:val="18"/>
                <w:szCs w:val="18"/>
                <w:color w:val="0000FF"/>
              </w:rPr>
              <w:t>1 Bank.</w:t>
            </w:r>
          </w:p>
        </w:tc>
        <w:tc>
          <w:tcPr>
            <w:tcW w:w="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40" w:type="dxa"/>
            <w:vAlign w:val="bottom"/>
          </w:tcPr>
          <w:p>
            <w:pPr>
              <w:spacing w:after="0"/>
              <w:rPr>
                <w:sz w:val="17"/>
                <w:szCs w:val="17"/>
                <w:color w:val="auto"/>
              </w:rPr>
            </w:pPr>
          </w:p>
        </w:tc>
        <w:tc>
          <w:tcPr>
            <w:tcW w:w="4880" w:type="dxa"/>
            <w:vAlign w:val="bottom"/>
            <w:gridSpan w:val="30"/>
          </w:tcPr>
          <w:p>
            <w:pPr>
              <w:spacing w:after="0" w:line="196" w:lineRule="exact"/>
              <w:rPr>
                <w:sz w:val="20"/>
                <w:szCs w:val="20"/>
                <w:color w:val="auto"/>
              </w:rPr>
            </w:pPr>
            <w:r>
              <w:rPr>
                <w:rFonts w:ascii="Arial" w:cs="Arial" w:eastAsia="Arial" w:hAnsi="Arial"/>
                <w:sz w:val="18"/>
                <w:szCs w:val="18"/>
                <w:color w:val="0000FF"/>
                <w:w w:val="91"/>
              </w:rPr>
              <w:t>Seventh Amendment to Loan and Security Agreement, dated as of</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001-33660</w:t>
            </w: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10.24</w:t>
            </w:r>
          </w:p>
        </w:tc>
        <w:tc>
          <w:tcPr>
            <w:tcW w:w="8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11/09/09</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89"/>
              </w:rPr>
              <w:t>November 3, 2009, by and between Square 1 Bank, ClearOne</w:t>
            </w:r>
          </w:p>
        </w:tc>
        <w:tc>
          <w:tcPr>
            <w:tcW w:w="320" w:type="dxa"/>
            <w:vAlign w:val="bottom"/>
            <w:tcBorders>
              <w:top w:val="single" w:sz="8" w:color="0000FF"/>
            </w:tcBorders>
            <w:gridSpan w:val="5"/>
          </w:tcPr>
          <w:p>
            <w:pPr>
              <w:spacing w:after="0"/>
              <w:rPr>
                <w:sz w:val="17"/>
                <w:szCs w:val="17"/>
                <w:color w:val="auto"/>
              </w:rPr>
            </w:pPr>
          </w:p>
        </w:tc>
        <w:tc>
          <w:tcPr>
            <w:tcW w:w="10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bottom w:val="single" w:sz="8" w:color="0000FF"/>
            </w:tcBorders>
            <w:gridSpan w:val="23"/>
          </w:tcPr>
          <w:p>
            <w:pPr>
              <w:spacing w:after="0" w:line="196" w:lineRule="exact"/>
              <w:rPr>
                <w:sz w:val="20"/>
                <w:szCs w:val="20"/>
                <w:color w:val="auto"/>
              </w:rPr>
            </w:pPr>
            <w:r>
              <w:rPr>
                <w:rFonts w:ascii="Arial" w:cs="Arial" w:eastAsia="Arial" w:hAnsi="Arial"/>
                <w:sz w:val="18"/>
                <w:szCs w:val="18"/>
                <w:color w:val="0000FF"/>
                <w:w w:val="90"/>
              </w:rPr>
              <w:t>Communications, Inc., NetStreams Inc., and NetStreams, LLC.</w:t>
            </w:r>
          </w:p>
        </w:tc>
        <w:tc>
          <w:tcPr>
            <w:tcW w:w="32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20"/>
                <w:szCs w:val="20"/>
                <w:color w:val="auto"/>
              </w:rPr>
            </w:pPr>
          </w:p>
        </w:tc>
        <w:tc>
          <w:tcPr>
            <w:tcW w:w="478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1"/>
              </w:rPr>
              <w:t>Code of Ethics, approved by the Board of Directors on August 23,</w:t>
            </w:r>
          </w:p>
        </w:tc>
        <w:tc>
          <w:tcPr>
            <w:tcW w:w="100" w:type="dxa"/>
            <w:vAlign w:val="bottom"/>
            <w:gridSpan w:val="4"/>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000-17219</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14.1</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09/14/06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40" w:type="dxa"/>
            <w:vAlign w:val="bottom"/>
          </w:tcPr>
          <w:p>
            <w:pPr>
              <w:spacing w:after="0"/>
              <w:rPr>
                <w:sz w:val="17"/>
                <w:szCs w:val="17"/>
                <w:color w:val="auto"/>
              </w:rPr>
            </w:pPr>
          </w:p>
        </w:tc>
        <w:tc>
          <w:tcPr>
            <w:tcW w:w="4880" w:type="dxa"/>
            <w:vAlign w:val="bottom"/>
            <w:gridSpan w:val="30"/>
          </w:tcPr>
          <w:p>
            <w:pPr>
              <w:spacing w:after="0" w:line="196" w:lineRule="exact"/>
              <w:rPr>
                <w:sz w:val="20"/>
                <w:szCs w:val="20"/>
                <w:color w:val="auto"/>
              </w:rPr>
            </w:pPr>
            <w:r>
              <w:rPr>
                <w:rFonts w:ascii="Arial" w:cs="Arial" w:eastAsia="Arial" w:hAnsi="Arial"/>
                <w:sz w:val="18"/>
                <w:szCs w:val="18"/>
                <w:color w:val="0000FF"/>
              </w:rPr>
              <w:t>Subsidiaries of the registrant</w:t>
            </w:r>
          </w:p>
        </w:tc>
        <w:tc>
          <w:tcPr>
            <w:tcW w:w="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0000FF"/>
                <w:w w:val="96"/>
              </w:rPr>
              <w:t>Consent of Jones Simkins P.C., Independent Registered Public</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3"/>
              </w:rPr>
              <w:t>Accounting Firm</w:t>
            </w:r>
          </w:p>
        </w:tc>
        <w:tc>
          <w:tcPr>
            <w:tcW w:w="3260" w:type="dxa"/>
            <w:vAlign w:val="bottom"/>
            <w:tcBorders>
              <w:top w:val="single" w:sz="8" w:color="0000FF"/>
            </w:tcBorders>
            <w:gridSpan w:val="17"/>
          </w:tcPr>
          <w:p>
            <w:pPr>
              <w:spacing w:after="0"/>
              <w:rPr>
                <w:sz w:val="17"/>
                <w:szCs w:val="17"/>
                <w:color w:val="auto"/>
              </w:rPr>
            </w:pPr>
          </w:p>
        </w:tc>
        <w:tc>
          <w:tcPr>
            <w:tcW w:w="380" w:type="dxa"/>
            <w:vAlign w:val="bottom"/>
            <w:gridSpan w:val="8"/>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7"/>
                <w:szCs w:val="17"/>
                <w:color w:val="auto"/>
              </w:rPr>
            </w:pPr>
          </w:p>
        </w:tc>
        <w:tc>
          <w:tcPr>
            <w:tcW w:w="378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3"/>
              </w:rPr>
              <w:t>Section 302 Certification of Chief Executive Officer</w:t>
            </w:r>
          </w:p>
        </w:tc>
        <w:tc>
          <w:tcPr>
            <w:tcW w:w="1100" w:type="dxa"/>
            <w:vAlign w:val="bottom"/>
            <w:gridSpan w:val="16"/>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3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3"/>
              </w:rPr>
              <w:t>Section 302 Certification of Chief Financial Officer</w:t>
            </w:r>
          </w:p>
        </w:tc>
        <w:tc>
          <w:tcPr>
            <w:tcW w:w="1140" w:type="dxa"/>
            <w:vAlign w:val="bottom"/>
            <w:gridSpan w:val="17"/>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37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3"/>
              </w:rPr>
              <w:t>Section 906 Certification of Chief Executive Officer</w:t>
            </w:r>
          </w:p>
        </w:tc>
        <w:tc>
          <w:tcPr>
            <w:tcW w:w="1100" w:type="dxa"/>
            <w:vAlign w:val="bottom"/>
            <w:gridSpan w:val="16"/>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18"/>
                <w:szCs w:val="18"/>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0000FF"/>
              </w:rPr>
              <w:t>Section 906 Certification of Chief Financial Officer</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37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XBRL Instance Document</w:t>
            </w:r>
          </w:p>
        </w:tc>
        <w:tc>
          <w:tcPr>
            <w:tcW w:w="1160" w:type="dxa"/>
            <w:vAlign w:val="bottom"/>
            <w:gridSpan w:val="18"/>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0" w:type="dxa"/>
            <w:vAlign w:val="bottom"/>
          </w:tcPr>
          <w:p>
            <w:pPr>
              <w:spacing w:after="0"/>
              <w:rPr>
                <w:sz w:val="19"/>
                <w:szCs w:val="19"/>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Schema</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0" w:type="dxa"/>
            <w:vAlign w:val="bottom"/>
          </w:tcPr>
          <w:p>
            <w:pPr>
              <w:spacing w:after="0"/>
              <w:rPr>
                <w:sz w:val="19"/>
                <w:szCs w:val="19"/>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0" w:type="dxa"/>
            <w:vAlign w:val="bottom"/>
          </w:tcPr>
          <w:p>
            <w:pPr>
              <w:spacing w:after="0"/>
              <w:rPr>
                <w:sz w:val="19"/>
                <w:szCs w:val="19"/>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Definitions Linkbase</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19"/>
                <w:szCs w:val="19"/>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Label Linkbase</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0" w:type="dxa"/>
            <w:vAlign w:val="bottom"/>
          </w:tcPr>
          <w:p>
            <w:pPr>
              <w:spacing w:after="0"/>
              <w:rPr>
                <w:sz w:val="20"/>
                <w:szCs w:val="20"/>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Presentation Linkbase</w:t>
            </w: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365F91"/>
        </w:rPr>
        <w:t>43</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763260" cy="85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7" w:name="page58"/>
    <w:bookmarkEnd w:id="57"/>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SIGNATURES</w:t>
      </w:r>
    </w:p>
    <w:p>
      <w:pPr>
        <w:spacing w:after="0" w:line="185" w:lineRule="exact"/>
        <w:rPr>
          <w:sz w:val="20"/>
          <w:szCs w:val="20"/>
          <w:color w:val="auto"/>
        </w:rPr>
      </w:pPr>
    </w:p>
    <w:p>
      <w:pPr>
        <w:ind w:right="1759"/>
        <w:spacing w:after="0" w:line="214"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CLEARONE COMMUNICATIONS, INC.</w:t>
      </w:r>
    </w:p>
    <w:p>
      <w:pPr>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0"/>
          <w:szCs w:val="10"/>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55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559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(Principal Executive</w:t>
      </w:r>
    </w:p>
    <w:p>
      <w:pPr>
        <w:spacing w:after="0" w:line="234" w:lineRule="auto"/>
        <w:rPr>
          <w:sz w:val="20"/>
          <w:szCs w:val="20"/>
          <w:color w:val="auto"/>
        </w:rPr>
      </w:pPr>
      <w:r>
        <w:rPr>
          <w:rFonts w:ascii="Arial" w:cs="Arial" w:eastAsia="Arial" w:hAnsi="Arial"/>
          <w:sz w:val="18"/>
          <w:szCs w:val="18"/>
          <w:color w:val="auto"/>
        </w:rPr>
        <w:t>Officer), and</w:t>
      </w:r>
    </w:p>
    <w:p>
      <w:pPr>
        <w:spacing w:after="0" w:line="235" w:lineRule="auto"/>
        <w:rPr>
          <w:sz w:val="20"/>
          <w:szCs w:val="20"/>
          <w:color w:val="auto"/>
        </w:rPr>
      </w:pPr>
      <w:r>
        <w:rPr>
          <w:rFonts w:ascii="Arial" w:cs="Arial" w:eastAsia="Arial" w:hAnsi="Arial"/>
          <w:sz w:val="18"/>
          <w:szCs w:val="18"/>
          <w:color w:val="auto"/>
        </w:rPr>
        <w:t>Chairman of the Board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391" w:lineRule="exact"/>
        <w:rPr>
          <w:sz w:val="20"/>
          <w:szCs w:val="20"/>
          <w:color w:val="auto"/>
        </w:rPr>
      </w:pPr>
    </w:p>
    <w:p>
      <w:pPr>
        <w:ind w:right="1279"/>
        <w:spacing w:after="0" w:line="284"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112" w:right="1440" w:bottom="144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0"/>
          <w:szCs w:val="10"/>
          <w:i w:val="1"/>
          <w:iCs w:val="1"/>
          <w:color w:val="auto"/>
        </w:rPr>
        <w:t>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476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(Principal Executive Officer), and Chairman of the Board and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0"/>
          <w:szCs w:val="10"/>
          <w:i w:val="1"/>
          <w:iCs w:val="1"/>
          <w:color w:val="auto"/>
        </w:rPr>
        <w:t>E. BRYAN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767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76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E.Bryan Bagley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0"/>
          <w:szCs w:val="10"/>
          <w:i w:val="1"/>
          <w:iCs w:val="1"/>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4767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767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6"/>
          <w:szCs w:val="6"/>
          <w:i w:val="1"/>
          <w:iCs w:val="1"/>
          <w:color w:val="auto"/>
        </w:rPr>
        <w:t xml:space="preserve">/S/ </w:t>
      </w:r>
      <w:r>
        <w:rPr>
          <w:rFonts w:ascii="Arial" w:cs="Arial" w:eastAsia="Arial" w:hAnsi="Arial"/>
          <w:sz w:val="10"/>
          <w:szCs w:val="10"/>
          <w:i w:val="1"/>
          <w:iCs w:val="1"/>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120078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Finance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0"/>
          <w:szCs w:val="10"/>
          <w:i w:val="1"/>
          <w:iCs w:val="1"/>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2007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Brad R. Baldwin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0"/>
          <w:szCs w:val="10"/>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20078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M. Huntsman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ectPr>
          <w:pgSz w:w="11900" w:h="16838" w:orient="portrait"/>
          <w:cols w:equalWidth="0" w:num="2">
            <w:col w:w="6980" w:space="220"/>
            <w:col w:w="3019"/>
          </w:cols>
          <w:pgMar w:left="240" w:top="1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1"/>
          <w:szCs w:val="11"/>
          <w:b w:val="1"/>
          <w:bCs w:val="1"/>
          <w:color w:val="365F91"/>
        </w:rPr>
        <w:t>44</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763260"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58" w:name="page59"/>
    <w:bookmarkEnd w:id="58"/>
    <w:p>
      <w:pPr>
        <w:jc w:val="center"/>
        <w:ind w:right="119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ind w:left="1660"/>
        <w:spacing w:after="0"/>
        <w:rPr>
          <w:sz w:val="20"/>
          <w:szCs w:val="20"/>
          <w:color w:val="auto"/>
        </w:rPr>
      </w:pPr>
      <w:r>
        <w:rPr>
          <w:rFonts w:ascii="Arial" w:cs="Arial" w:eastAsia="Arial" w:hAnsi="Arial"/>
          <w:sz w:val="22"/>
          <w:szCs w:val="22"/>
          <w:b w:val="1"/>
          <w:bCs w:val="1"/>
          <w:u w:val="single" w:color="auto"/>
          <w:color w:val="auto"/>
        </w:rPr>
        <w:t>INDEX TO CONSOLIDATED FINANCIAL STATEMENTS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12"/>
        </w:trPr>
        <w:tc>
          <w:tcPr>
            <w:tcW w:w="854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 – Jones Simkins, P.C</w:t>
            </w:r>
            <w:r>
              <w:rPr>
                <w:rFonts w:ascii="Arial" w:cs="Arial" w:eastAsia="Arial" w:hAnsi="Arial"/>
                <w:sz w:val="18"/>
                <w:szCs w:val="18"/>
                <w:color w:val="000000"/>
              </w:rPr>
              <w:t>.</w:t>
            </w:r>
          </w:p>
        </w:tc>
        <w:tc>
          <w:tcPr>
            <w:tcW w:w="380" w:type="dxa"/>
            <w:vAlign w:val="bottom"/>
          </w:tcPr>
          <w:p>
            <w:pPr>
              <w:jc w:val="center"/>
              <w:spacing w:after="0"/>
              <w:rPr>
                <w:sz w:val="20"/>
                <w:szCs w:val="20"/>
                <w:color w:val="auto"/>
              </w:rPr>
            </w:pPr>
            <w:r>
              <w:rPr>
                <w:rFonts w:ascii="Arial" w:cs="Arial" w:eastAsia="Arial" w:hAnsi="Arial"/>
                <w:sz w:val="18"/>
                <w:szCs w:val="18"/>
                <w:color w:val="0000FF"/>
                <w:w w:val="96"/>
              </w:rPr>
              <w:t>F-2</w:t>
            </w:r>
          </w:p>
        </w:tc>
      </w:tr>
      <w:tr>
        <w:trPr>
          <w:trHeight w:val="304"/>
        </w:trPr>
        <w:tc>
          <w:tcPr>
            <w:tcW w:w="57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89"/>
              </w:rPr>
              <w:t>Consolidated Balance Sheets as of December 31, 2011 and December 31, 2010</w:t>
            </w:r>
          </w:p>
        </w:tc>
        <w:tc>
          <w:tcPr>
            <w:tcW w:w="2760" w:type="dxa"/>
            <w:vAlign w:val="bottom"/>
            <w:gridSpan w:val="4"/>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0000FF"/>
                <w:w w:val="96"/>
              </w:rPr>
              <w:t>F-3</w:t>
            </w:r>
          </w:p>
        </w:tc>
      </w:tr>
      <w:tr>
        <w:trPr>
          <w:trHeight w:val="20"/>
        </w:trPr>
        <w:tc>
          <w:tcPr>
            <w:tcW w:w="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4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Consolidated Statements of Operations for the years ended December 31, 2011 and 2010</w:t>
            </w:r>
          </w:p>
        </w:tc>
        <w:tc>
          <w:tcPr>
            <w:tcW w:w="2120" w:type="dxa"/>
            <w:vAlign w:val="bottom"/>
            <w:gridSpan w:val="3"/>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0000FF"/>
                <w:w w:val="96"/>
              </w:rPr>
              <w:t>F-4</w:t>
            </w:r>
          </w:p>
        </w:tc>
      </w:tr>
      <w:tr>
        <w:trPr>
          <w:trHeight w:val="304"/>
        </w:trPr>
        <w:tc>
          <w:tcPr>
            <w:tcW w:w="2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Arial" w:cs="Arial" w:eastAsia="Arial" w:hAnsi="Arial"/>
                <w:sz w:val="18"/>
                <w:szCs w:val="18"/>
                <w:color w:val="0000FF"/>
              </w:rPr>
              <w:t>Consolidated Statements of Shareholders' Equity for the years ended December 31, 2011 and 2010</w:t>
            </w:r>
          </w:p>
        </w:tc>
        <w:tc>
          <w:tcPr>
            <w:tcW w:w="380" w:type="dxa"/>
            <w:vAlign w:val="bottom"/>
          </w:tcPr>
          <w:p>
            <w:pPr>
              <w:jc w:val="center"/>
              <w:spacing w:after="0"/>
              <w:rPr>
                <w:sz w:val="20"/>
                <w:szCs w:val="20"/>
                <w:color w:val="auto"/>
              </w:rPr>
            </w:pPr>
            <w:r>
              <w:rPr>
                <w:rFonts w:ascii="Arial" w:cs="Arial" w:eastAsia="Arial" w:hAnsi="Arial"/>
                <w:sz w:val="18"/>
                <w:szCs w:val="18"/>
                <w:color w:val="0000FF"/>
                <w:w w:val="96"/>
              </w:rPr>
              <w:t>F-5</w:t>
            </w:r>
          </w:p>
        </w:tc>
      </w:tr>
      <w:tr>
        <w:trPr>
          <w:trHeight w:val="304"/>
        </w:trPr>
        <w:tc>
          <w:tcPr>
            <w:tcW w:w="20" w:type="dxa"/>
            <w:vAlign w:val="bottom"/>
          </w:tcPr>
          <w:p>
            <w:pPr>
              <w:spacing w:after="0"/>
              <w:rPr>
                <w:sz w:val="24"/>
                <w:szCs w:val="24"/>
                <w:color w:val="auto"/>
              </w:rPr>
            </w:pPr>
          </w:p>
        </w:tc>
        <w:tc>
          <w:tcPr>
            <w:tcW w:w="64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2011 and 2010</w:t>
            </w:r>
          </w:p>
        </w:tc>
        <w:tc>
          <w:tcPr>
            <w:tcW w:w="64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0000FF"/>
                <w:w w:val="96"/>
              </w:rPr>
              <w:t>F-6</w:t>
            </w:r>
          </w:p>
        </w:tc>
      </w:tr>
      <w:tr>
        <w:trPr>
          <w:trHeight w:val="304"/>
        </w:trPr>
        <w:tc>
          <w:tcPr>
            <w:tcW w:w="31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380" w:type="dxa"/>
            <w:vAlign w:val="bottom"/>
            <w:gridSpan w:val="6"/>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0000FF"/>
                <w:w w:val="96"/>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365F91"/>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229235</wp:posOffset>
            </wp:positionV>
            <wp:extent cx="5763260"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9" w:name="page60"/>
    <w:bookmarkEnd w:id="59"/>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Shareholders of ClearOne Communications, Inc.</w:t>
      </w:r>
    </w:p>
    <w:p>
      <w:pPr>
        <w:spacing w:after="0" w:line="215" w:lineRule="exact"/>
        <w:rPr>
          <w:sz w:val="20"/>
          <w:szCs w:val="20"/>
          <w:color w:val="auto"/>
        </w:rPr>
      </w:pPr>
    </w:p>
    <w:p>
      <w:pPr>
        <w:ind w:right="1259"/>
        <w:spacing w:after="0" w:line="282" w:lineRule="auto"/>
        <w:rPr>
          <w:sz w:val="20"/>
          <w:szCs w:val="20"/>
          <w:color w:val="auto"/>
        </w:rPr>
      </w:pPr>
      <w:r>
        <w:rPr>
          <w:rFonts w:ascii="Arial" w:cs="Arial" w:eastAsia="Arial" w:hAnsi="Arial"/>
          <w:sz w:val="19"/>
          <w:szCs w:val="19"/>
          <w:color w:val="auto"/>
        </w:rPr>
        <w:t>We have audited the accompanying consolidated balance sheets of ClearOne Communications, Inc. and subsidiaries (the Company) as of December 31, 2011 and 2010, and the related consolidated statements of operations, shareholders’ equity, and cash flows for each of the years in the two-year period ended December 31, 2011. The Company’s management is responsible for these financial statements. Our responsibility is to express an opinion on these financial statements based on our audits.</w:t>
      </w:r>
    </w:p>
    <w:p>
      <w:pPr>
        <w:spacing w:after="0" w:line="175" w:lineRule="exact"/>
        <w:rPr>
          <w:sz w:val="20"/>
          <w:szCs w:val="20"/>
          <w:color w:val="auto"/>
        </w:rPr>
      </w:pPr>
    </w:p>
    <w:p>
      <w:pPr>
        <w:ind w:right="1179"/>
        <w:spacing w:after="0" w:line="273"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3" w:lineRule="exact"/>
        <w:rPr>
          <w:sz w:val="20"/>
          <w:szCs w:val="20"/>
          <w:color w:val="auto"/>
        </w:rPr>
      </w:pPr>
    </w:p>
    <w:p>
      <w:pPr>
        <w:ind w:right="1319"/>
        <w:spacing w:after="0" w:line="236" w:lineRule="auto"/>
        <w:rPr>
          <w:sz w:val="20"/>
          <w:szCs w:val="20"/>
          <w:color w:val="auto"/>
        </w:rPr>
      </w:pPr>
      <w:r>
        <w:rPr>
          <w:rFonts w:ascii="Arial" w:cs="Arial" w:eastAsia="Arial" w:hAnsi="Arial"/>
          <w:sz w:val="22"/>
          <w:szCs w:val="22"/>
          <w:color w:val="auto"/>
        </w:rPr>
        <w:t>In our opinion, the consolidated financial statements referred to above present fairly, in all material respects, the financial position of ClearOne Communications, Inc. and subsidiaries as of December 31, 2011 and 2010, and the results of its operations and its cash flows for each of the years in the two-year period ended December 31, 2011 in conformity with accounting principles generally accepted in the United States of America.</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xml:space="preserve">/s/ </w:t>
      </w:r>
      <w:r>
        <w:rPr>
          <w:rFonts w:ascii="Arial" w:cs="Arial" w:eastAsia="Arial" w:hAnsi="Arial"/>
          <w:sz w:val="10"/>
          <w:szCs w:val="10"/>
          <w:i w:val="1"/>
          <w:iCs w:val="1"/>
          <w:u w:val="single" w:color="auto"/>
          <w:color w:val="auto"/>
        </w:rPr>
        <w:t>JONES SIMKINS, P.C.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JONES SIMKINS, P.C.</w:t>
      </w:r>
    </w:p>
    <w:p>
      <w:pPr>
        <w:spacing w:after="0" w:line="238" w:lineRule="auto"/>
        <w:rPr>
          <w:sz w:val="20"/>
          <w:szCs w:val="20"/>
          <w:color w:val="auto"/>
        </w:rPr>
      </w:pPr>
      <w:r>
        <w:rPr>
          <w:rFonts w:ascii="Arial" w:cs="Arial" w:eastAsia="Arial" w:hAnsi="Arial"/>
          <w:sz w:val="22"/>
          <w:szCs w:val="22"/>
          <w:color w:val="auto"/>
        </w:rPr>
        <w:t>Logan, Utah</w:t>
      </w:r>
    </w:p>
    <w:p>
      <w:pPr>
        <w:spacing w:after="0"/>
        <w:rPr>
          <w:sz w:val="20"/>
          <w:szCs w:val="20"/>
          <w:color w:val="auto"/>
        </w:rPr>
      </w:pPr>
      <w:r>
        <w:rPr>
          <w:rFonts w:ascii="Arial" w:cs="Arial" w:eastAsia="Arial" w:hAnsi="Arial"/>
          <w:sz w:val="22"/>
          <w:szCs w:val="22"/>
          <w:color w:val="auto"/>
        </w:rPr>
        <w:t>March 30,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365F91"/>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763260"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60" w:name="page61"/>
    <w:bookmarkEnd w:id="60"/>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CONSOLIDATED BALANCE SHEETS</w:t>
      </w:r>
    </w:p>
    <w:p>
      <w:pPr>
        <w:ind w:left="2720"/>
        <w:spacing w:after="0"/>
        <w:rPr>
          <w:sz w:val="20"/>
          <w:szCs w:val="20"/>
          <w:color w:val="auto"/>
        </w:rPr>
      </w:pPr>
      <w:r>
        <w:rPr>
          <w:rFonts w:ascii="Arial" w:cs="Arial" w:eastAsia="Arial" w:hAnsi="Arial"/>
          <w:sz w:val="22"/>
          <w:szCs w:val="22"/>
          <w:b w:val="1"/>
          <w:bCs w:val="1"/>
          <w:color w:val="auto"/>
        </w:rPr>
        <w:t>(Dollars in thousands, except par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7"/>
              </w:rPr>
              <w:t>December 31, 2011</w:t>
            </w:r>
          </w:p>
        </w:tc>
        <w:tc>
          <w:tcPr>
            <w:tcW w:w="20" w:type="dxa"/>
            <w:vAlign w:val="bottom"/>
          </w:tcPr>
          <w:p>
            <w:pPr>
              <w:spacing w:after="0"/>
              <w:rPr>
                <w:sz w:val="18"/>
                <w:szCs w:val="18"/>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8"/>
              </w:rPr>
              <w:t>December 31, 2010</w:t>
            </w:r>
          </w:p>
        </w:tc>
      </w:tr>
      <w:tr>
        <w:trPr>
          <w:trHeight w:val="229"/>
        </w:trPr>
        <w:tc>
          <w:tcPr>
            <w:tcW w:w="4780" w:type="dxa"/>
            <w:vAlign w:val="bottom"/>
          </w:tcPr>
          <w:p>
            <w:pPr>
              <w:ind w:left="2440"/>
              <w:spacing w:after="0"/>
              <w:rPr>
                <w:sz w:val="20"/>
                <w:szCs w:val="20"/>
                <w:color w:val="auto"/>
              </w:rPr>
            </w:pPr>
            <w:r>
              <w:rPr>
                <w:rFonts w:ascii="Arial" w:cs="Arial" w:eastAsia="Arial" w:hAnsi="Arial"/>
                <w:sz w:val="18"/>
                <w:szCs w:val="18"/>
                <w:b w:val="1"/>
                <w:bCs w:val="1"/>
                <w:color w:val="auto"/>
              </w:rPr>
              <w:t>ASSETS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80" w:type="dxa"/>
            <w:vAlign w:val="bottom"/>
            <w:shd w:val="clear" w:color="auto" w:fill="A0C4DA"/>
          </w:tcPr>
          <w:p>
            <w:pPr>
              <w:spacing w:after="0"/>
              <w:rPr>
                <w:sz w:val="20"/>
                <w:szCs w:val="20"/>
                <w:color w:val="auto"/>
              </w:rPr>
            </w:pPr>
            <w:r>
              <w:rPr>
                <w:rFonts w:ascii="Arial" w:cs="Arial" w:eastAsia="Arial" w:hAnsi="Arial"/>
                <w:sz w:val="18"/>
                <w:szCs w:val="18"/>
                <w:color w:val="auto"/>
              </w:rPr>
              <w:t>Current assets:</w:t>
            </w:r>
          </w:p>
        </w:tc>
        <w:tc>
          <w:tcPr>
            <w:tcW w:w="80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spacing w:after="0"/>
              <w:rPr>
                <w:sz w:val="19"/>
                <w:szCs w:val="19"/>
                <w:color w:val="auto"/>
              </w:rPr>
            </w:pPr>
          </w:p>
        </w:tc>
        <w:tc>
          <w:tcPr>
            <w:tcW w:w="2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16,683</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11,431</w:t>
            </w:r>
          </w:p>
        </w:tc>
      </w:tr>
      <w:tr>
        <w:trPr>
          <w:trHeight w:val="229"/>
        </w:trPr>
        <w:tc>
          <w:tcPr>
            <w:tcW w:w="4780" w:type="dxa"/>
            <w:vAlign w:val="bottom"/>
            <w:shd w:val="clear" w:color="auto" w:fill="A0C4DA"/>
          </w:tcPr>
          <w:p>
            <w:pPr>
              <w:spacing w:after="0"/>
              <w:rPr>
                <w:sz w:val="20"/>
                <w:szCs w:val="20"/>
                <w:color w:val="auto"/>
              </w:rPr>
            </w:pPr>
            <w:r>
              <w:rPr>
                <w:rFonts w:ascii="Arial" w:cs="Arial" w:eastAsia="Arial" w:hAnsi="Arial"/>
                <w:sz w:val="18"/>
                <w:szCs w:val="18"/>
                <w:color w:val="auto"/>
                <w:w w:val="93"/>
              </w:rPr>
              <w:t>Receivables, net of allowance for doubtful accounts of $149 and</w:t>
            </w:r>
          </w:p>
        </w:tc>
        <w:tc>
          <w:tcPr>
            <w:tcW w:w="800" w:type="dxa"/>
            <w:vAlign w:val="bottom"/>
            <w:shd w:val="clear" w:color="auto" w:fill="A0C4DA"/>
          </w:tcPr>
          <w:p>
            <w:pPr>
              <w:jc w:val="right"/>
              <w:ind w:right="170"/>
              <w:spacing w:after="0"/>
              <w:rPr>
                <w:sz w:val="20"/>
                <w:szCs w:val="20"/>
                <w:color w:val="auto"/>
              </w:rPr>
            </w:pPr>
            <w:r>
              <w:rPr>
                <w:rFonts w:ascii="Arial" w:cs="Arial" w:eastAsia="Arial" w:hAnsi="Arial"/>
                <w:sz w:val="18"/>
                <w:szCs w:val="18"/>
                <w:color w:val="auto"/>
              </w:rPr>
              <w:t>$206,</w:t>
            </w: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spacing w:after="0"/>
              <w:rPr>
                <w:sz w:val="19"/>
                <w:szCs w:val="19"/>
                <w:color w:val="auto"/>
              </w:rPr>
            </w:pPr>
          </w:p>
        </w:tc>
        <w:tc>
          <w:tcPr>
            <w:tcW w:w="2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spacing w:after="0"/>
              <w:rPr>
                <w:sz w:val="19"/>
                <w:szCs w:val="19"/>
                <w:color w:val="auto"/>
              </w:rPr>
            </w:pPr>
          </w:p>
        </w:tc>
      </w:tr>
      <w:tr>
        <w:trPr>
          <w:trHeight w:val="230"/>
        </w:trPr>
        <w:tc>
          <w:tcPr>
            <w:tcW w:w="4780" w:type="dxa"/>
            <w:vAlign w:val="bottom"/>
            <w:shd w:val="clear" w:color="auto" w:fill="A0C4DA"/>
          </w:tcPr>
          <w:p>
            <w:pPr>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A0C4DA"/>
          </w:tcPr>
          <w:p>
            <w:pPr>
              <w:spacing w:after="0"/>
              <w:rPr>
                <w:sz w:val="20"/>
                <w:szCs w:val="20"/>
                <w:color w:val="auto"/>
              </w:rPr>
            </w:pPr>
          </w:p>
        </w:tc>
        <w:tc>
          <w:tcPr>
            <w:tcW w:w="460" w:type="dxa"/>
            <w:vAlign w:val="bottom"/>
            <w:shd w:val="clear" w:color="auto" w:fill="A0C4DA"/>
          </w:tcPr>
          <w:p>
            <w:pPr>
              <w:spacing w:after="0"/>
              <w:rPr>
                <w:sz w:val="20"/>
                <w:szCs w:val="20"/>
                <w:color w:val="auto"/>
              </w:rPr>
            </w:pPr>
          </w:p>
        </w:tc>
        <w:tc>
          <w:tcPr>
            <w:tcW w:w="110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8,457</w:t>
            </w:r>
          </w:p>
        </w:tc>
        <w:tc>
          <w:tcPr>
            <w:tcW w:w="20" w:type="dxa"/>
            <w:vAlign w:val="bottom"/>
            <w:shd w:val="clear" w:color="auto" w:fill="A0C4DA"/>
          </w:tcPr>
          <w:p>
            <w:pPr>
              <w:spacing w:after="0"/>
              <w:rPr>
                <w:sz w:val="20"/>
                <w:szCs w:val="20"/>
                <w:color w:val="auto"/>
              </w:rPr>
            </w:pPr>
          </w:p>
        </w:tc>
        <w:tc>
          <w:tcPr>
            <w:tcW w:w="460" w:type="dxa"/>
            <w:vAlign w:val="bottom"/>
            <w:shd w:val="clear" w:color="auto" w:fill="A0C4DA"/>
          </w:tcPr>
          <w:p>
            <w:pPr>
              <w:spacing w:after="0"/>
              <w:rPr>
                <w:sz w:val="20"/>
                <w:szCs w:val="20"/>
                <w:color w:val="auto"/>
              </w:rPr>
            </w:pPr>
          </w:p>
        </w:tc>
        <w:tc>
          <w:tcPr>
            <w:tcW w:w="110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9,951</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12,565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8,780</w:t>
            </w:r>
          </w:p>
        </w:tc>
      </w:tr>
      <w:tr>
        <w:trPr>
          <w:trHeight w:val="230"/>
        </w:trPr>
        <w:tc>
          <w:tcPr>
            <w:tcW w:w="4780" w:type="dxa"/>
            <w:vAlign w:val="bottom"/>
            <w:shd w:val="clear" w:color="auto" w:fill="A0C4DA"/>
          </w:tcPr>
          <w:p>
            <w:pPr>
              <w:spacing w:after="0"/>
              <w:rPr>
                <w:sz w:val="20"/>
                <w:szCs w:val="20"/>
                <w:color w:val="auto"/>
              </w:rPr>
            </w:pPr>
            <w:r>
              <w:rPr>
                <w:rFonts w:ascii="Arial" w:cs="Arial" w:eastAsia="Arial" w:hAnsi="Arial"/>
                <w:sz w:val="18"/>
                <w:szCs w:val="18"/>
                <w:color w:val="auto"/>
              </w:rPr>
              <w:t>Deferred income taxes</w:t>
            </w:r>
          </w:p>
        </w:tc>
        <w:tc>
          <w:tcPr>
            <w:tcW w:w="80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2,987</w:t>
            </w:r>
          </w:p>
        </w:tc>
        <w:tc>
          <w:tcPr>
            <w:tcW w:w="2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3,389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446</w:t>
            </w:r>
          </w:p>
        </w:tc>
      </w:tr>
      <w:tr>
        <w:trPr>
          <w:trHeight w:val="223"/>
        </w:trPr>
        <w:tc>
          <w:tcPr>
            <w:tcW w:w="4780" w:type="dxa"/>
            <w:vAlign w:val="bottom"/>
            <w:shd w:val="clear" w:color="auto" w:fill="A0C4DA"/>
          </w:tcPr>
          <w:p>
            <w:pPr>
              <w:ind w:left="18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41,432</w:t>
            </w:r>
          </w:p>
        </w:tc>
        <w:tc>
          <w:tcPr>
            <w:tcW w:w="2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110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33,997</w:t>
            </w:r>
          </w:p>
        </w:tc>
      </w:tr>
    </w:tbl>
    <w:p>
      <w:pPr>
        <w:spacing w:after="0" w:line="200" w:lineRule="exact"/>
        <w:rPr>
          <w:sz w:val="20"/>
          <w:szCs w:val="20"/>
          <w:color w:val="auto"/>
        </w:rPr>
      </w:pPr>
    </w:p>
    <w:p>
      <w:pPr>
        <w:sectPr>
          <w:pgSz w:w="11900" w:h="16838" w:orient="portrait"/>
          <w:cols w:equalWidth="0" w:num="1">
            <w:col w:w="10219"/>
          </w:cols>
          <w:pgMar w:left="240" w:top="355" w:right="1440"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Long-term inventories, 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2,617</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2,338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2,965</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2,745</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1,153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726</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913</w:t>
            </w:r>
          </w:p>
        </w:tc>
      </w:tr>
      <w:tr>
        <w:trPr>
          <w:trHeight w:val="203"/>
        </w:trPr>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18</w:t>
            </w:r>
          </w:p>
        </w:tc>
      </w:tr>
      <w:tr>
        <w:trPr>
          <w:trHeight w:val="183"/>
        </w:trPr>
        <w:tc>
          <w:tcPr>
            <w:tcW w:w="4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49,559</w:t>
            </w:r>
          </w:p>
        </w:tc>
        <w:tc>
          <w:tcPr>
            <w:tcW w:w="20" w:type="dxa"/>
            <w:vAlign w:val="bottom"/>
          </w:tcPr>
          <w:p>
            <w:pPr>
              <w:spacing w:after="0"/>
              <w:rPr>
                <w:sz w:val="15"/>
                <w:szCs w:val="15"/>
                <w:color w:val="auto"/>
              </w:rPr>
            </w:pPr>
          </w:p>
        </w:tc>
        <w:tc>
          <w:tcPr>
            <w:tcW w:w="4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43,981</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-1028700</wp:posOffset>
            </wp:positionV>
            <wp:extent cx="553148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314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-736600</wp:posOffset>
            </wp:positionV>
            <wp:extent cx="55314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314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-445135</wp:posOffset>
            </wp:positionV>
            <wp:extent cx="553148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14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-153670</wp:posOffset>
            </wp:positionV>
            <wp:extent cx="553148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14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4639"/>
          </w:cols>
          <w:pgMar w:left="240" w:top="355" w:right="1440" w:bottom="1440" w:gutter="0" w:footer="0" w:header="0"/>
          <w:type w:val="continuous"/>
        </w:sectPr>
      </w:pPr>
    </w:p>
    <w:p>
      <w:pPr>
        <w:spacing w:after="0" w:line="38" w:lineRule="exact"/>
        <w:rPr>
          <w:sz w:val="20"/>
          <w:szCs w:val="20"/>
          <w:color w:val="auto"/>
        </w:rPr>
      </w:pPr>
    </w:p>
    <w:p>
      <w:pPr>
        <w:ind w:right="800" w:firstLine="827"/>
        <w:spacing w:after="0" w:line="269" w:lineRule="auto"/>
        <w:rPr>
          <w:sz w:val="20"/>
          <w:szCs w:val="20"/>
          <w:color w:val="auto"/>
        </w:rPr>
      </w:pPr>
      <w:r>
        <w:rPr>
          <w:rFonts w:ascii="Arial" w:cs="Arial" w:eastAsia="Arial" w:hAnsi="Arial"/>
          <w:sz w:val="18"/>
          <w:szCs w:val="18"/>
          <w:b w:val="1"/>
          <w:bCs w:val="1"/>
          <w:color w:val="auto"/>
        </w:rPr>
        <w:t xml:space="preserve">LIABILITIES AND SHAREHOLDERS' EQUITY </w:t>
      </w: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55314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53148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53148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5314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5314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53148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5314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line="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Common stock, par value $0.001, 50,000,000 shares authorized, 9,098,152 and 8,929,439 shares issued and outstanding, respectively</w:t>
      </w: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53148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3148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2,814</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2,362</w:t>
            </w:r>
          </w:p>
        </w:tc>
      </w:tr>
      <w:tr>
        <w:trPr>
          <w:trHeight w:val="216"/>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2,534</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4,573</w:t>
            </w:r>
          </w:p>
        </w:tc>
      </w:tr>
      <w:tr>
        <w:trPr>
          <w:trHeight w:val="203"/>
        </w:trPr>
        <w:tc>
          <w:tcPr>
            <w:tcW w:w="15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3,404</w:t>
            </w:r>
          </w:p>
        </w:tc>
        <w:tc>
          <w:tcPr>
            <w:tcW w:w="20" w:type="dxa"/>
            <w:vAlign w:val="bottom"/>
          </w:tcPr>
          <w:p>
            <w:pPr>
              <w:spacing w:after="0"/>
              <w:rPr>
                <w:sz w:val="17"/>
                <w:szCs w:val="17"/>
                <w:color w:val="auto"/>
              </w:rPr>
            </w:pPr>
          </w:p>
        </w:tc>
        <w:tc>
          <w:tcPr>
            <w:tcW w:w="15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4,306</w:t>
            </w:r>
          </w:p>
        </w:tc>
      </w:tr>
      <w:tr>
        <w:trPr>
          <w:trHeight w:val="250"/>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8,752</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11,241</w:t>
            </w:r>
          </w:p>
        </w:tc>
      </w:tr>
      <w:tr>
        <w:trPr>
          <w:trHeight w:val="458"/>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r>
      <w:tr>
        <w:trPr>
          <w:trHeight w:val="230"/>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494</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584</w:t>
            </w:r>
          </w:p>
        </w:tc>
      </w:tr>
      <w:tr>
        <w:trPr>
          <w:trHeight w:val="203"/>
        </w:trPr>
        <w:tc>
          <w:tcPr>
            <w:tcW w:w="156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548</w:t>
            </w:r>
          </w:p>
        </w:tc>
        <w:tc>
          <w:tcPr>
            <w:tcW w:w="1580" w:type="dxa"/>
            <w:vAlign w:val="bottom"/>
            <w:gridSpan w:val="2"/>
          </w:tcPr>
          <w:p>
            <w:pPr>
              <w:jc w:val="right"/>
              <w:ind w:right="270"/>
              <w:spacing w:after="0" w:line="203" w:lineRule="exact"/>
              <w:rPr>
                <w:sz w:val="20"/>
                <w:szCs w:val="20"/>
                <w:color w:val="auto"/>
              </w:rPr>
            </w:pPr>
            <w:r>
              <w:rPr>
                <w:rFonts w:ascii="Arial" w:cs="Arial" w:eastAsia="Arial" w:hAnsi="Arial"/>
                <w:sz w:val="18"/>
                <w:szCs w:val="18"/>
                <w:color w:val="auto"/>
              </w:rPr>
              <w:t>421</w:t>
            </w:r>
          </w:p>
        </w:tc>
      </w:tr>
      <w:tr>
        <w:trPr>
          <w:trHeight w:val="196"/>
        </w:trPr>
        <w:tc>
          <w:tcPr>
            <w:tcW w:w="15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9,895</w:t>
            </w:r>
          </w:p>
        </w:tc>
        <w:tc>
          <w:tcPr>
            <w:tcW w:w="2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12,246</w:t>
            </w:r>
          </w:p>
        </w:tc>
      </w:tr>
      <w:tr>
        <w:trPr>
          <w:trHeight w:val="938"/>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9</w:t>
            </w:r>
          </w:p>
        </w:tc>
      </w:tr>
      <w:tr>
        <w:trPr>
          <w:trHeight w:val="230"/>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40,073</w:t>
            </w: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39,073</w:t>
            </w:r>
          </w:p>
        </w:tc>
      </w:tr>
    </w:tbl>
    <w:p>
      <w:pPr>
        <w:ind w:left="2300" w:hanging="1442"/>
        <w:spacing w:after="0" w:line="232" w:lineRule="auto"/>
        <w:tabs>
          <w:tab w:leader="none" w:pos="2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(7,347)</w:t>
      </w:r>
    </w:p>
    <w:p>
      <w:pPr>
        <w:spacing w:after="0" w:line="1" w:lineRule="exact"/>
        <w:rPr>
          <w:sz w:val="20"/>
          <w:szCs w:val="20"/>
          <w:color w:val="auto"/>
        </w:rPr>
      </w:pPr>
    </w:p>
    <w:p>
      <w:pPr>
        <w:sectPr>
          <w:pgSz w:w="11900" w:h="16838" w:orient="portrait"/>
          <w:cols w:equalWidth="0" w:num="2">
            <w:col w:w="5540" w:space="40"/>
            <w:col w:w="4639"/>
          </w:cols>
          <w:pgMar w:left="240" w:top="355" w:right="1440"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580" w:type="dxa"/>
            <w:vAlign w:val="bottom"/>
            <w:tcBorders>
              <w:top w:val="single" w:sz="8" w:color="A0C4DA"/>
              <w:bottom w:val="single" w:sz="8" w:color="A0C4DA"/>
            </w:tcBorders>
            <w:shd w:val="clear" w:color="auto" w:fill="A0C4DA"/>
          </w:tcPr>
          <w:p>
            <w:pPr>
              <w:ind w:left="180"/>
              <w:spacing w:after="0" w:line="198" w:lineRule="exact"/>
              <w:rPr>
                <w:sz w:val="20"/>
                <w:szCs w:val="20"/>
                <w:color w:val="auto"/>
              </w:rPr>
            </w:pPr>
            <w:r>
              <w:rPr>
                <w:rFonts w:ascii="Arial" w:cs="Arial" w:eastAsia="Arial" w:hAnsi="Arial"/>
                <w:sz w:val="18"/>
                <w:szCs w:val="18"/>
                <w:color w:val="auto"/>
              </w:rPr>
              <w:t>Total shareholders' equity</w:t>
            </w:r>
          </w:p>
        </w:tc>
        <w:tc>
          <w:tcPr>
            <w:tcW w:w="460" w:type="dxa"/>
            <w:vAlign w:val="bottom"/>
            <w:tcBorders>
              <w:top w:val="single" w:sz="8" w:color="auto"/>
              <w:bottom w:val="single" w:sz="8" w:color="auto"/>
            </w:tcBorders>
            <w:shd w:val="clear" w:color="auto" w:fill="A0C4DA"/>
          </w:tcPr>
          <w:p>
            <w:pPr>
              <w:spacing w:after="0"/>
              <w:rPr>
                <w:sz w:val="17"/>
                <w:szCs w:val="17"/>
                <w:color w:val="auto"/>
              </w:rPr>
            </w:pPr>
          </w:p>
        </w:tc>
        <w:tc>
          <w:tcPr>
            <w:tcW w:w="1100" w:type="dxa"/>
            <w:vAlign w:val="bottom"/>
            <w:tcBorders>
              <w:top w:val="single" w:sz="8" w:color="auto"/>
              <w:bottom w:val="single" w:sz="8" w:color="auto"/>
            </w:tcBorders>
            <w:shd w:val="clear" w:color="auto" w:fill="A0C4DA"/>
          </w:tcPr>
          <w:p>
            <w:pPr>
              <w:jc w:val="right"/>
              <w:ind w:right="270"/>
              <w:spacing w:after="0" w:line="198" w:lineRule="exact"/>
              <w:rPr>
                <w:sz w:val="20"/>
                <w:szCs w:val="20"/>
                <w:color w:val="auto"/>
              </w:rPr>
            </w:pPr>
            <w:r>
              <w:rPr>
                <w:rFonts w:ascii="Arial" w:cs="Arial" w:eastAsia="Arial" w:hAnsi="Arial"/>
                <w:sz w:val="18"/>
                <w:szCs w:val="18"/>
                <w:color w:val="auto"/>
              </w:rPr>
              <w:t>39,664</w:t>
            </w:r>
          </w:p>
        </w:tc>
        <w:tc>
          <w:tcPr>
            <w:tcW w:w="20" w:type="dxa"/>
            <w:vAlign w:val="bottom"/>
            <w:tcBorders>
              <w:top w:val="single" w:sz="8" w:color="A0C4DA"/>
              <w:bottom w:val="single" w:sz="8" w:color="A0C4DA"/>
            </w:tcBorders>
            <w:shd w:val="clear" w:color="auto" w:fill="A0C4DA"/>
          </w:tcPr>
          <w:p>
            <w:pPr>
              <w:spacing w:after="0"/>
              <w:rPr>
                <w:sz w:val="17"/>
                <w:szCs w:val="17"/>
                <w:color w:val="auto"/>
              </w:rPr>
            </w:pPr>
          </w:p>
        </w:tc>
        <w:tc>
          <w:tcPr>
            <w:tcW w:w="460" w:type="dxa"/>
            <w:vAlign w:val="bottom"/>
            <w:tcBorders>
              <w:top w:val="single" w:sz="8" w:color="auto"/>
              <w:bottom w:val="single" w:sz="8" w:color="auto"/>
            </w:tcBorders>
            <w:shd w:val="clear" w:color="auto" w:fill="A0C4DA"/>
          </w:tcPr>
          <w:p>
            <w:pPr>
              <w:spacing w:after="0"/>
              <w:rPr>
                <w:sz w:val="17"/>
                <w:szCs w:val="17"/>
                <w:color w:val="auto"/>
              </w:rPr>
            </w:pPr>
          </w:p>
        </w:tc>
        <w:tc>
          <w:tcPr>
            <w:tcW w:w="1100" w:type="dxa"/>
            <w:vAlign w:val="bottom"/>
            <w:tcBorders>
              <w:top w:val="single" w:sz="8" w:color="auto"/>
              <w:bottom w:val="single" w:sz="8" w:color="auto"/>
            </w:tcBorders>
            <w:shd w:val="clear" w:color="auto" w:fill="A0C4DA"/>
          </w:tcPr>
          <w:p>
            <w:pPr>
              <w:jc w:val="right"/>
              <w:ind w:right="270"/>
              <w:spacing w:after="0" w:line="198" w:lineRule="exact"/>
              <w:rPr>
                <w:sz w:val="20"/>
                <w:szCs w:val="20"/>
                <w:color w:val="auto"/>
              </w:rPr>
            </w:pPr>
            <w:r>
              <w:rPr>
                <w:rFonts w:ascii="Arial" w:cs="Arial" w:eastAsia="Arial" w:hAnsi="Arial"/>
                <w:sz w:val="18"/>
                <w:szCs w:val="18"/>
                <w:color w:val="auto"/>
              </w:rPr>
              <w:t>31,735</w:t>
            </w:r>
          </w:p>
        </w:tc>
      </w:tr>
      <w:tr>
        <w:trPr>
          <w:trHeight w:val="196"/>
        </w:trPr>
        <w:tc>
          <w:tcPr>
            <w:tcW w:w="5580" w:type="dxa"/>
            <w:vAlign w:val="bottom"/>
          </w:tcPr>
          <w:p>
            <w:pPr>
              <w:ind w:left="18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49,559</w:t>
            </w:r>
          </w:p>
        </w:tc>
        <w:tc>
          <w:tcPr>
            <w:tcW w:w="4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43,981</w:t>
            </w:r>
          </w:p>
        </w:tc>
      </w:tr>
      <w:tr>
        <w:trPr>
          <w:trHeight w:val="20"/>
        </w:trPr>
        <w:tc>
          <w:tcPr>
            <w:tcW w:w="5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365F91"/>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76326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61" w:name="page62"/>
    <w:bookmarkEnd w:id="61"/>
    <w:p>
      <w:pPr>
        <w:jc w:val="center"/>
        <w:ind w:right="2199"/>
        <w:spacing w:after="0" w:line="261" w:lineRule="auto"/>
        <w:rPr>
          <w:sz w:val="20"/>
          <w:szCs w:val="20"/>
          <w:color w:val="auto"/>
        </w:rPr>
      </w:pPr>
      <w:r>
        <w:rPr>
          <w:rFonts w:ascii="Arial" w:cs="Arial" w:eastAsia="Arial" w:hAnsi="Arial"/>
          <w:sz w:val="21"/>
          <w:szCs w:val="21"/>
          <w:b w:val="1"/>
          <w:bCs w:val="1"/>
          <w:color w:val="auto"/>
        </w:rPr>
        <w:t>CLEARONE COMMUNICATIONS, INC. CONSOLIDATED STATEMENTS OF OPERATIONS (Dollars in thousands, except per share amounts)</w:t>
      </w:r>
    </w:p>
    <w:p>
      <w:pPr>
        <w:spacing w:after="0" w:line="19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17145</wp:posOffset>
            </wp:positionV>
            <wp:extent cx="16897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shd w:val="clear" w:color="auto" w:fill="A0C4DA"/>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A0C4DA"/>
          </w:tcPr>
          <w:p>
            <w:pPr>
              <w:jc w:val="right"/>
              <w:ind w:right="130"/>
              <w:spacing w:after="0"/>
              <w:rPr>
                <w:sz w:val="20"/>
                <w:szCs w:val="20"/>
                <w:color w:val="auto"/>
              </w:rPr>
            </w:pPr>
            <w:r>
              <w:rPr>
                <w:rFonts w:ascii="Arial" w:cs="Arial" w:eastAsia="Arial" w:hAnsi="Arial"/>
                <w:sz w:val="18"/>
                <w:szCs w:val="18"/>
                <w:color w:val="auto"/>
              </w:rPr>
              <w:t>46,067</w:t>
            </w:r>
          </w:p>
        </w:tc>
        <w:tc>
          <w:tcPr>
            <w:tcW w:w="34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A0C4DA"/>
          </w:tcPr>
          <w:p>
            <w:pPr>
              <w:jc w:val="right"/>
              <w:ind w:right="250"/>
              <w:spacing w:after="0"/>
              <w:rPr>
                <w:sz w:val="20"/>
                <w:szCs w:val="20"/>
                <w:color w:val="auto"/>
              </w:rPr>
            </w:pPr>
            <w:r>
              <w:rPr>
                <w:rFonts w:ascii="Arial" w:cs="Arial" w:eastAsia="Arial" w:hAnsi="Arial"/>
                <w:sz w:val="18"/>
                <w:szCs w:val="18"/>
                <w:color w:val="auto"/>
              </w:rPr>
              <w:t>41,284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0C4DA"/>
            </w:tcBorders>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18,522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A0C4DA"/>
            </w:tcBorders>
            <w:gridSpan w:val="2"/>
            <w:shd w:val="clear" w:color="auto" w:fill="A0C4DA"/>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A0C4DA"/>
          </w:tcPr>
          <w:p>
            <w:pPr>
              <w:spacing w:after="0"/>
              <w:rPr>
                <w:sz w:val="18"/>
                <w:szCs w:val="18"/>
                <w:color w:val="auto"/>
              </w:rPr>
            </w:pPr>
          </w:p>
        </w:tc>
        <w:tc>
          <w:tcPr>
            <w:tcW w:w="1000" w:type="dxa"/>
            <w:vAlign w:val="bottom"/>
            <w:tcBorders>
              <w:bottom w:val="single" w:sz="8" w:color="auto"/>
            </w:tcBorders>
            <w:shd w:val="clear" w:color="auto" w:fill="A0C4DA"/>
          </w:tcPr>
          <w:p>
            <w:pPr>
              <w:jc w:val="right"/>
              <w:ind w:right="130"/>
              <w:spacing w:after="0"/>
              <w:rPr>
                <w:sz w:val="20"/>
                <w:szCs w:val="20"/>
                <w:color w:val="auto"/>
              </w:rPr>
            </w:pPr>
            <w:r>
              <w:rPr>
                <w:rFonts w:ascii="Arial" w:cs="Arial" w:eastAsia="Arial" w:hAnsi="Arial"/>
                <w:sz w:val="18"/>
                <w:szCs w:val="18"/>
                <w:color w:val="auto"/>
              </w:rPr>
              <w:t>27,545</w:t>
            </w:r>
          </w:p>
        </w:tc>
        <w:tc>
          <w:tcPr>
            <w:tcW w:w="340" w:type="dxa"/>
            <w:vAlign w:val="bottom"/>
            <w:tcBorders>
              <w:bottom w:val="single" w:sz="8" w:color="auto"/>
            </w:tcBorders>
            <w:shd w:val="clear" w:color="auto" w:fill="A0C4DA"/>
          </w:tcPr>
          <w:p>
            <w:pPr>
              <w:spacing w:after="0"/>
              <w:rPr>
                <w:sz w:val="18"/>
                <w:szCs w:val="18"/>
                <w:color w:val="auto"/>
              </w:rPr>
            </w:pPr>
          </w:p>
        </w:tc>
        <w:tc>
          <w:tcPr>
            <w:tcW w:w="1120" w:type="dxa"/>
            <w:vAlign w:val="bottom"/>
            <w:tcBorders>
              <w:bottom w:val="single" w:sz="8" w:color="auto"/>
            </w:tcBorders>
            <w:shd w:val="clear" w:color="auto" w:fill="A0C4DA"/>
          </w:tcPr>
          <w:p>
            <w:pPr>
              <w:jc w:val="right"/>
              <w:ind w:right="250"/>
              <w:spacing w:after="0"/>
              <w:rPr>
                <w:sz w:val="20"/>
                <w:szCs w:val="20"/>
                <w:color w:val="auto"/>
              </w:rPr>
            </w:pPr>
            <w:r>
              <w:rPr>
                <w:rFonts w:ascii="Arial" w:cs="Arial" w:eastAsia="Arial" w:hAnsi="Arial"/>
                <w:sz w:val="18"/>
                <w:szCs w:val="18"/>
                <w:color w:val="auto"/>
              </w:rPr>
              <w:t>24,641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gridSpan w:val="2"/>
            <w:shd w:val="clear" w:color="auto" w:fill="A0C4DA"/>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12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8,120</w:t>
            </w:r>
          </w:p>
        </w:tc>
        <w:tc>
          <w:tcPr>
            <w:tcW w:w="3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A0C4DA"/>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130"/>
              <w:spacing w:after="0"/>
              <w:rPr>
                <w:sz w:val="20"/>
                <w:szCs w:val="20"/>
                <w:color w:val="auto"/>
              </w:rPr>
            </w:pPr>
            <w:r>
              <w:rPr>
                <w:rFonts w:ascii="Arial" w:cs="Arial" w:eastAsia="Arial" w:hAnsi="Arial"/>
                <w:sz w:val="18"/>
                <w:szCs w:val="18"/>
                <w:color w:val="auto"/>
              </w:rPr>
              <w:t>7,128</w:t>
            </w:r>
          </w:p>
        </w:tc>
        <w:tc>
          <w:tcPr>
            <w:tcW w:w="340" w:type="dxa"/>
            <w:vAlign w:val="bottom"/>
            <w:shd w:val="clear" w:color="auto" w:fill="A0C4DA"/>
          </w:tcPr>
          <w:p>
            <w:pPr>
              <w:spacing w:after="0"/>
              <w:rPr>
                <w:sz w:val="19"/>
                <w:szCs w:val="19"/>
                <w:color w:val="auto"/>
              </w:rPr>
            </w:pPr>
          </w:p>
        </w:tc>
        <w:tc>
          <w:tcPr>
            <w:tcW w:w="1120" w:type="dxa"/>
            <w:vAlign w:val="bottom"/>
            <w:shd w:val="clear" w:color="auto" w:fill="A0C4DA"/>
          </w:tcPr>
          <w:p>
            <w:pPr>
              <w:jc w:val="right"/>
              <w:ind w:right="250"/>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5,427</w:t>
            </w:r>
          </w:p>
        </w:tc>
        <w:tc>
          <w:tcPr>
            <w:tcW w:w="3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A0C4DA"/>
          </w:tcPr>
          <w:p>
            <w:pPr>
              <w:spacing w:after="0"/>
              <w:rPr>
                <w:sz w:val="20"/>
                <w:szCs w:val="20"/>
                <w:color w:val="auto"/>
              </w:rPr>
            </w:pPr>
            <w:r>
              <w:rPr>
                <w:rFonts w:ascii="Arial" w:cs="Arial" w:eastAsia="Arial" w:hAnsi="Arial"/>
                <w:sz w:val="18"/>
                <w:szCs w:val="18"/>
                <w:color w:val="auto"/>
              </w:rPr>
              <w:t>Proceeds from litigation</w:t>
            </w:r>
          </w:p>
        </w:tc>
        <w:tc>
          <w:tcPr>
            <w:tcW w:w="200" w:type="dxa"/>
            <w:vAlign w:val="bottom"/>
            <w:tcBorders>
              <w:bottom w:val="single" w:sz="8" w:color="auto"/>
            </w:tcBorders>
            <w:shd w:val="clear" w:color="auto" w:fill="A0C4DA"/>
          </w:tcPr>
          <w:p>
            <w:pPr>
              <w:spacing w:after="0"/>
              <w:rPr>
                <w:sz w:val="19"/>
                <w:szCs w:val="19"/>
                <w:color w:val="auto"/>
              </w:rPr>
            </w:pPr>
          </w:p>
        </w:tc>
        <w:tc>
          <w:tcPr>
            <w:tcW w:w="1000" w:type="dxa"/>
            <w:vAlign w:val="bottom"/>
            <w:tcBorders>
              <w:bottom w:val="single" w:sz="8" w:color="auto"/>
            </w:tcBorders>
            <w:shd w:val="clear" w:color="auto" w:fill="A0C4DA"/>
          </w:tcPr>
          <w:p>
            <w:pPr>
              <w:jc w:val="right"/>
              <w:ind w:right="90"/>
              <w:spacing w:after="0"/>
              <w:rPr>
                <w:sz w:val="20"/>
                <w:szCs w:val="20"/>
                <w:color w:val="auto"/>
              </w:rPr>
            </w:pPr>
            <w:r>
              <w:rPr>
                <w:rFonts w:ascii="Arial" w:cs="Arial" w:eastAsia="Arial" w:hAnsi="Arial"/>
                <w:sz w:val="18"/>
                <w:szCs w:val="18"/>
                <w:color w:val="auto"/>
              </w:rPr>
              <w:t>(3,702)</w:t>
            </w:r>
          </w:p>
        </w:tc>
        <w:tc>
          <w:tcPr>
            <w:tcW w:w="340" w:type="dxa"/>
            <w:vAlign w:val="bottom"/>
            <w:tcBorders>
              <w:bottom w:val="single" w:sz="8" w:color="auto"/>
            </w:tcBorders>
            <w:shd w:val="clear" w:color="auto" w:fill="A0C4DA"/>
          </w:tcPr>
          <w:p>
            <w:pPr>
              <w:spacing w:after="0"/>
              <w:rPr>
                <w:sz w:val="19"/>
                <w:szCs w:val="19"/>
                <w:color w:val="auto"/>
              </w:rPr>
            </w:pPr>
          </w:p>
        </w:tc>
        <w:tc>
          <w:tcPr>
            <w:tcW w:w="1120" w:type="dxa"/>
            <w:vAlign w:val="bottom"/>
            <w:tcBorders>
              <w:bottom w:val="single" w:sz="8" w:color="auto"/>
            </w:tcBorders>
            <w:shd w:val="clear" w:color="auto" w:fill="A0C4DA"/>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16,973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22,844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shd w:val="clear" w:color="auto" w:fill="A0C4DA"/>
          </w:tcPr>
          <w:p>
            <w:pPr>
              <w:spacing w:after="0"/>
              <w:rPr>
                <w:sz w:val="19"/>
                <w:szCs w:val="19"/>
                <w:color w:val="auto"/>
              </w:rPr>
            </w:pPr>
          </w:p>
        </w:tc>
        <w:tc>
          <w:tcPr>
            <w:tcW w:w="80" w:type="dxa"/>
            <w:vAlign w:val="bottom"/>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12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10,572</w:t>
            </w:r>
          </w:p>
        </w:tc>
        <w:tc>
          <w:tcPr>
            <w:tcW w:w="3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shd w:val="clear" w:color="auto" w:fill="A0C4DA"/>
          </w:tcPr>
          <w:p>
            <w:pPr>
              <w:spacing w:after="0"/>
              <w:rPr>
                <w:sz w:val="19"/>
                <w:szCs w:val="19"/>
                <w:color w:val="auto"/>
              </w:rPr>
            </w:pPr>
          </w:p>
        </w:tc>
        <w:tc>
          <w:tcPr>
            <w:tcW w:w="80" w:type="dxa"/>
            <w:vAlign w:val="bottom"/>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12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60" w:type="dxa"/>
            <w:vAlign w:val="bottom"/>
            <w:gridSpan w:val="2"/>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12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10,596</w:t>
            </w:r>
          </w:p>
        </w:tc>
        <w:tc>
          <w:tcPr>
            <w:tcW w:w="3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0C4DA"/>
            </w:tcBorders>
            <w:gridSpan w:val="2"/>
            <w:shd w:val="clear" w:color="auto" w:fill="A0C4DA"/>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auto"/>
            </w:tcBorders>
            <w:shd w:val="clear" w:color="auto" w:fill="A0C4DA"/>
          </w:tcPr>
          <w:p>
            <w:pPr>
              <w:spacing w:after="0"/>
              <w:rPr>
                <w:sz w:val="18"/>
                <w:szCs w:val="18"/>
                <w:color w:val="auto"/>
              </w:rPr>
            </w:pPr>
          </w:p>
        </w:tc>
        <w:tc>
          <w:tcPr>
            <w:tcW w:w="1000" w:type="dxa"/>
            <w:vAlign w:val="bottom"/>
            <w:tcBorders>
              <w:bottom w:val="single" w:sz="8" w:color="auto"/>
            </w:tcBorders>
            <w:shd w:val="clear" w:color="auto" w:fill="A0C4DA"/>
          </w:tcPr>
          <w:p>
            <w:pPr>
              <w:jc w:val="right"/>
              <w:ind w:right="90"/>
              <w:spacing w:after="0"/>
              <w:rPr>
                <w:sz w:val="20"/>
                <w:szCs w:val="20"/>
                <w:color w:val="auto"/>
              </w:rPr>
            </w:pPr>
            <w:r>
              <w:rPr>
                <w:rFonts w:ascii="Arial" w:cs="Arial" w:eastAsia="Arial" w:hAnsi="Arial"/>
                <w:sz w:val="18"/>
                <w:szCs w:val="18"/>
                <w:color w:val="auto"/>
              </w:rPr>
              <w:t>(3,667)</w:t>
            </w:r>
          </w:p>
        </w:tc>
        <w:tc>
          <w:tcPr>
            <w:tcW w:w="340" w:type="dxa"/>
            <w:vAlign w:val="bottom"/>
            <w:tcBorders>
              <w:bottom w:val="single" w:sz="8" w:color="auto"/>
            </w:tcBorders>
            <w:shd w:val="clear" w:color="auto" w:fill="A0C4DA"/>
          </w:tcPr>
          <w:p>
            <w:pPr>
              <w:spacing w:after="0"/>
              <w:rPr>
                <w:sz w:val="18"/>
                <w:szCs w:val="18"/>
                <w:color w:val="auto"/>
              </w:rPr>
            </w:pPr>
          </w:p>
        </w:tc>
        <w:tc>
          <w:tcPr>
            <w:tcW w:w="1120" w:type="dxa"/>
            <w:vAlign w:val="bottom"/>
            <w:tcBorders>
              <w:bottom w:val="single" w:sz="8" w:color="auto"/>
            </w:tcBorders>
            <w:shd w:val="clear" w:color="auto" w:fill="A0C4DA"/>
          </w:tcPr>
          <w:p>
            <w:pPr>
              <w:jc w:val="right"/>
              <w:ind w:right="25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0"/>
        </w:trPr>
        <w:tc>
          <w:tcPr>
            <w:tcW w:w="42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
        </w:trPr>
        <w:tc>
          <w:tcPr>
            <w:tcW w:w="428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260" w:type="dxa"/>
            <w:vAlign w:val="bottom"/>
            <w:gridSpan w:val="2"/>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12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0.77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A0C4DA"/>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A0C4DA"/>
          </w:tcPr>
          <w:p>
            <w:pPr>
              <w:jc w:val="right"/>
              <w:ind w:right="130"/>
              <w:spacing w:after="0"/>
              <w:rPr>
                <w:sz w:val="20"/>
                <w:szCs w:val="20"/>
                <w:color w:val="auto"/>
              </w:rPr>
            </w:pPr>
            <w:r>
              <w:rPr>
                <w:rFonts w:ascii="Arial" w:cs="Arial" w:eastAsia="Arial" w:hAnsi="Arial"/>
                <w:sz w:val="18"/>
                <w:szCs w:val="18"/>
                <w:color w:val="auto"/>
              </w:rPr>
              <w:t>0.75</w:t>
            </w:r>
          </w:p>
        </w:tc>
        <w:tc>
          <w:tcPr>
            <w:tcW w:w="34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A0C4DA"/>
          </w:tcPr>
          <w:p>
            <w:pPr>
              <w:jc w:val="right"/>
              <w:ind w:right="25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gridSpan w:val="2"/>
            <w:shd w:val="clear" w:color="auto" w:fill="A0C4DA"/>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130"/>
              <w:spacing w:after="0"/>
              <w:rPr>
                <w:sz w:val="20"/>
                <w:szCs w:val="20"/>
                <w:color w:val="auto"/>
              </w:rPr>
            </w:pPr>
            <w:r>
              <w:rPr>
                <w:rFonts w:ascii="Arial" w:cs="Arial" w:eastAsia="Arial" w:hAnsi="Arial"/>
                <w:sz w:val="18"/>
                <w:szCs w:val="18"/>
                <w:color w:val="auto"/>
                <w:w w:val="94"/>
              </w:rPr>
              <w:t>9,027,934</w:t>
            </w:r>
          </w:p>
        </w:tc>
        <w:tc>
          <w:tcPr>
            <w:tcW w:w="340" w:type="dxa"/>
            <w:vAlign w:val="bottom"/>
            <w:shd w:val="clear" w:color="auto" w:fill="A0C4DA"/>
          </w:tcPr>
          <w:p>
            <w:pPr>
              <w:spacing w:after="0"/>
              <w:rPr>
                <w:sz w:val="19"/>
                <w:szCs w:val="19"/>
                <w:color w:val="auto"/>
              </w:rPr>
            </w:pPr>
          </w:p>
        </w:tc>
        <w:tc>
          <w:tcPr>
            <w:tcW w:w="1120" w:type="dxa"/>
            <w:vAlign w:val="bottom"/>
            <w:shd w:val="clear" w:color="auto" w:fill="A0C4DA"/>
          </w:tcPr>
          <w:p>
            <w:pPr>
              <w:jc w:val="right"/>
              <w:ind w:right="250"/>
              <w:spacing w:after="0"/>
              <w:rPr>
                <w:sz w:val="20"/>
                <w:szCs w:val="20"/>
                <w:color w:val="auto"/>
              </w:rPr>
            </w:pPr>
            <w:r>
              <w:rPr>
                <w:rFonts w:ascii="Arial" w:cs="Arial" w:eastAsia="Arial" w:hAnsi="Arial"/>
                <w:sz w:val="18"/>
                <w:szCs w:val="18"/>
                <w:color w:val="auto"/>
                <w:w w:val="94"/>
              </w:rPr>
              <w:t>8,929,305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w w:val="94"/>
              </w:rPr>
              <w:t>9,271,811</w:t>
            </w:r>
          </w:p>
        </w:tc>
        <w:tc>
          <w:tcPr>
            <w:tcW w:w="340" w:type="dxa"/>
            <w:vAlign w:val="bottom"/>
          </w:tcPr>
          <w:p>
            <w:pPr>
              <w:spacing w:after="0"/>
              <w:rPr>
                <w:sz w:val="22"/>
                <w:szCs w:val="22"/>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w w:val="94"/>
              </w:rPr>
              <w:t>8,942,929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365F91"/>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229235</wp:posOffset>
            </wp:positionV>
            <wp:extent cx="576326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139"/>
          </w:cols>
          <w:pgMar w:left="1320" w:top="355" w:right="1440" w:bottom="1440" w:gutter="0" w:footer="0" w:header="0"/>
        </w:sectPr>
      </w:pPr>
    </w:p>
    <w:bookmarkStart w:id="62" w:name="page63"/>
    <w:bookmarkEnd w:id="62"/>
    <w:p>
      <w:pPr>
        <w:jc w:val="center"/>
        <w:ind w:left="760" w:right="820"/>
        <w:spacing w:after="0" w:line="243" w:lineRule="auto"/>
        <w:rPr>
          <w:sz w:val="20"/>
          <w:szCs w:val="20"/>
          <w:color w:val="auto"/>
        </w:rPr>
      </w:pPr>
      <w:r>
        <w:rPr>
          <w:rFonts w:ascii="Arial" w:cs="Arial" w:eastAsia="Arial" w:hAnsi="Arial"/>
          <w:sz w:val="22"/>
          <w:szCs w:val="22"/>
          <w:b w:val="1"/>
          <w:bCs w:val="1"/>
          <w:color w:val="auto"/>
        </w:rPr>
        <w:t>CLEARONE COMMUNICATIONS, INC. CONSOLIDATED STATEMENTS OF SHAREHOLDERS’ EQUITY (Dollars in thousands, except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r>
      <w:tr>
        <w:trPr>
          <w:trHeight w:val="201"/>
        </w:trPr>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17"/>
                <w:szCs w:val="17"/>
                <w:color w:val="auto"/>
              </w:rPr>
            </w:pPr>
          </w:p>
        </w:tc>
        <w:tc>
          <w:tcPr>
            <w:tcW w:w="110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4"/>
          </w:tcPr>
          <w:p>
            <w:pPr>
              <w:ind w:left="14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Shareholders'</w:t>
            </w:r>
          </w:p>
        </w:tc>
      </w:tr>
      <w:tr>
        <w:trPr>
          <w:trHeight w:val="210"/>
        </w:trPr>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10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r>
      <w:tr>
        <w:trPr>
          <w:trHeight w:val="20"/>
        </w:trPr>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3660" w:type="dxa"/>
            <w:vAlign w:val="bottom"/>
            <w:shd w:val="clear" w:color="auto" w:fill="A0C4DA"/>
          </w:tcPr>
          <w:p>
            <w:pPr>
              <w:spacing w:after="0"/>
              <w:rPr>
                <w:sz w:val="20"/>
                <w:szCs w:val="20"/>
                <w:color w:val="auto"/>
              </w:rPr>
            </w:pPr>
            <w:r>
              <w:rPr>
                <w:rFonts w:ascii="Arial" w:cs="Arial" w:eastAsia="Arial" w:hAnsi="Arial"/>
                <w:sz w:val="16"/>
                <w:szCs w:val="16"/>
                <w:color w:val="auto"/>
              </w:rPr>
              <w:t>Balances at December 31, 2009</w:t>
            </w:r>
          </w:p>
        </w:tc>
        <w:tc>
          <w:tcPr>
            <w:tcW w:w="980" w:type="dxa"/>
            <w:vAlign w:val="bottom"/>
            <w:gridSpan w:val="4"/>
            <w:shd w:val="clear" w:color="auto" w:fill="A0C4DA"/>
          </w:tcPr>
          <w:p>
            <w:pPr>
              <w:jc w:val="right"/>
              <w:ind w:right="200"/>
              <w:spacing w:after="0"/>
              <w:rPr>
                <w:sz w:val="20"/>
                <w:szCs w:val="20"/>
                <w:color w:val="auto"/>
              </w:rPr>
            </w:pPr>
            <w:r>
              <w:rPr>
                <w:rFonts w:ascii="Arial" w:cs="Arial" w:eastAsia="Arial" w:hAnsi="Arial"/>
                <w:sz w:val="16"/>
                <w:szCs w:val="16"/>
                <w:color w:val="auto"/>
              </w:rPr>
              <w:t>8,929,134</w:t>
            </w:r>
          </w:p>
        </w:tc>
        <w:tc>
          <w:tcPr>
            <w:tcW w:w="420" w:type="dxa"/>
            <w:vAlign w:val="bottom"/>
            <w:gridSpan w:val="2"/>
            <w:shd w:val="clear" w:color="auto" w:fill="A0C4DA"/>
          </w:tcPr>
          <w:p>
            <w:pPr>
              <w:jc w:val="right"/>
              <w:ind w:right="68"/>
              <w:spacing w:after="0"/>
              <w:rPr>
                <w:sz w:val="20"/>
                <w:szCs w:val="20"/>
                <w:color w:val="auto"/>
              </w:rPr>
            </w:pPr>
            <w:r>
              <w:rPr>
                <w:rFonts w:ascii="Arial" w:cs="Arial" w:eastAsia="Arial" w:hAnsi="Arial"/>
                <w:sz w:val="16"/>
                <w:szCs w:val="16"/>
                <w:color w:val="auto"/>
              </w:rPr>
              <w:t>$</w:t>
            </w:r>
          </w:p>
        </w:tc>
        <w:tc>
          <w:tcPr>
            <w:tcW w:w="300" w:type="dxa"/>
            <w:vAlign w:val="bottom"/>
            <w:shd w:val="clear" w:color="auto" w:fill="A0C4DA"/>
          </w:tcPr>
          <w:p>
            <w:pPr>
              <w:jc w:val="right"/>
              <w:ind w:right="79"/>
              <w:spacing w:after="0"/>
              <w:rPr>
                <w:sz w:val="20"/>
                <w:szCs w:val="20"/>
                <w:color w:val="auto"/>
              </w:rPr>
            </w:pPr>
            <w:r>
              <w:rPr>
                <w:rFonts w:ascii="Arial" w:cs="Arial" w:eastAsia="Arial" w:hAnsi="Arial"/>
                <w:sz w:val="16"/>
                <w:szCs w:val="16"/>
                <w:color w:val="auto"/>
              </w:rPr>
              <w:t>9</w:t>
            </w:r>
          </w:p>
        </w:tc>
        <w:tc>
          <w:tcPr>
            <w:tcW w:w="880" w:type="dxa"/>
            <w:vAlign w:val="bottom"/>
            <w:gridSpan w:val="2"/>
            <w:shd w:val="clear" w:color="auto" w:fill="A0C4DA"/>
          </w:tcPr>
          <w:p>
            <w:pPr>
              <w:jc w:val="right"/>
              <w:ind w:right="40"/>
              <w:spacing w:after="0"/>
              <w:rPr>
                <w:sz w:val="20"/>
                <w:szCs w:val="20"/>
                <w:color w:val="auto"/>
              </w:rPr>
            </w:pPr>
            <w:r>
              <w:rPr>
                <w:rFonts w:ascii="Arial" w:cs="Arial" w:eastAsia="Arial" w:hAnsi="Arial"/>
                <w:sz w:val="16"/>
                <w:szCs w:val="16"/>
                <w:color w:val="auto"/>
              </w:rPr>
              <w:t>$ 38,810</w:t>
            </w:r>
          </w:p>
        </w:tc>
        <w:tc>
          <w:tcPr>
            <w:tcW w:w="220" w:type="dxa"/>
            <w:vAlign w:val="bottom"/>
            <w:shd w:val="clear" w:color="auto" w:fill="A0C4DA"/>
          </w:tcPr>
          <w:p>
            <w:pPr>
              <w:spacing w:after="0"/>
              <w:rPr>
                <w:sz w:val="19"/>
                <w:szCs w:val="19"/>
                <w:color w:val="auto"/>
              </w:rPr>
            </w:pPr>
          </w:p>
        </w:tc>
        <w:tc>
          <w:tcPr>
            <w:tcW w:w="260" w:type="dxa"/>
            <w:vAlign w:val="bottom"/>
            <w:shd w:val="clear" w:color="auto" w:fill="A0C4DA"/>
          </w:tcPr>
          <w:p>
            <w:pPr>
              <w:ind w:left="14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A0C4DA"/>
          </w:tcPr>
          <w:p>
            <w:pPr>
              <w:jc w:val="right"/>
              <w:ind w:right="280"/>
              <w:spacing w:after="0"/>
              <w:rPr>
                <w:sz w:val="20"/>
                <w:szCs w:val="20"/>
                <w:color w:val="auto"/>
              </w:rPr>
            </w:pPr>
            <w:r>
              <w:rPr>
                <w:rFonts w:ascii="Arial" w:cs="Arial" w:eastAsia="Arial" w:hAnsi="Arial"/>
                <w:sz w:val="16"/>
                <w:szCs w:val="16"/>
                <w:color w:val="auto"/>
                <w:w w:val="98"/>
              </w:rPr>
              <w:t>(9,721)</w:t>
            </w:r>
          </w:p>
        </w:tc>
        <w:tc>
          <w:tcPr>
            <w:tcW w:w="240" w:type="dxa"/>
            <w:vAlign w:val="bottom"/>
            <w:shd w:val="clear" w:color="auto" w:fill="A0C4DA"/>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A0C4DA"/>
          </w:tcPr>
          <w:p>
            <w:pPr>
              <w:jc w:val="right"/>
              <w:spacing w:after="0"/>
              <w:rPr>
                <w:sz w:val="20"/>
                <w:szCs w:val="20"/>
                <w:color w:val="auto"/>
              </w:rPr>
            </w:pPr>
            <w:r>
              <w:rPr>
                <w:rFonts w:ascii="Arial" w:cs="Arial" w:eastAsia="Arial" w:hAnsi="Arial"/>
                <w:sz w:val="16"/>
                <w:szCs w:val="16"/>
                <w:color w:val="auto"/>
                <w:w w:val="93"/>
              </w:rPr>
              <w:t>29,098</w:t>
            </w:r>
          </w:p>
        </w:tc>
        <w:tc>
          <w:tcPr>
            <w:tcW w:w="320" w:type="dxa"/>
            <w:vAlign w:val="bottom"/>
            <w:shd w:val="clear" w:color="auto" w:fill="A0C4DA"/>
          </w:tcPr>
          <w:p>
            <w:pPr>
              <w:spacing w:after="0"/>
              <w:rPr>
                <w:sz w:val="19"/>
                <w:szCs w:val="19"/>
                <w:color w:val="auto"/>
              </w:rPr>
            </w:pPr>
          </w:p>
        </w:tc>
      </w:tr>
      <w:tr>
        <w:trPr>
          <w:trHeight w:val="230"/>
        </w:trPr>
        <w:tc>
          <w:tcPr>
            <w:tcW w:w="3660" w:type="dxa"/>
            <w:vAlign w:val="bottom"/>
          </w:tcPr>
          <w:p>
            <w:pPr>
              <w:ind w:left="80"/>
              <w:spacing w:after="0"/>
              <w:rPr>
                <w:sz w:val="20"/>
                <w:szCs w:val="20"/>
                <w:color w:val="auto"/>
              </w:rPr>
            </w:pPr>
            <w:r>
              <w:rPr>
                <w:rFonts w:ascii="Arial" w:cs="Arial" w:eastAsia="Arial" w:hAnsi="Arial"/>
                <w:sz w:val="16"/>
                <w:szCs w:val="16"/>
                <w:color w:val="auto"/>
                <w:w w:val="98"/>
              </w:rPr>
              <w:t>Compensation cost associated with ASC Topic 718</w:t>
            </w:r>
          </w:p>
        </w:tc>
        <w:tc>
          <w:tcPr>
            <w:tcW w:w="9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262</w:t>
            </w:r>
          </w:p>
        </w:tc>
        <w:tc>
          <w:tcPr>
            <w:tcW w:w="320" w:type="dxa"/>
            <w:vAlign w:val="bottom"/>
          </w:tcPr>
          <w:p>
            <w:pPr>
              <w:spacing w:after="0"/>
              <w:rPr>
                <w:sz w:val="19"/>
                <w:szCs w:val="19"/>
                <w:color w:val="auto"/>
              </w:rPr>
            </w:pPr>
          </w:p>
        </w:tc>
      </w:tr>
      <w:tr>
        <w:trPr>
          <w:trHeight w:val="230"/>
        </w:trPr>
        <w:tc>
          <w:tcPr>
            <w:tcW w:w="3660" w:type="dxa"/>
            <w:vAlign w:val="bottom"/>
            <w:shd w:val="clear" w:color="auto" w:fill="A0C4DA"/>
          </w:tcPr>
          <w:p>
            <w:pPr>
              <w:ind w:left="80"/>
              <w:spacing w:after="0"/>
              <w:rPr>
                <w:sz w:val="20"/>
                <w:szCs w:val="20"/>
                <w:color w:val="auto"/>
              </w:rPr>
            </w:pPr>
            <w:r>
              <w:rPr>
                <w:rFonts w:ascii="Arial" w:cs="Arial" w:eastAsia="Arial" w:hAnsi="Arial"/>
                <w:sz w:val="16"/>
                <w:szCs w:val="16"/>
                <w:color w:val="auto"/>
              </w:rPr>
              <w:t>Employee Stock Purchase Plan</w:t>
            </w:r>
          </w:p>
        </w:tc>
        <w:tc>
          <w:tcPr>
            <w:tcW w:w="980" w:type="dxa"/>
            <w:vAlign w:val="bottom"/>
            <w:gridSpan w:val="4"/>
            <w:shd w:val="clear" w:color="auto" w:fill="A0C4DA"/>
          </w:tcPr>
          <w:p>
            <w:pPr>
              <w:jc w:val="right"/>
              <w:ind w:right="200"/>
              <w:spacing w:after="0"/>
              <w:rPr>
                <w:sz w:val="20"/>
                <w:szCs w:val="20"/>
                <w:color w:val="auto"/>
              </w:rPr>
            </w:pPr>
            <w:r>
              <w:rPr>
                <w:rFonts w:ascii="Arial" w:cs="Arial" w:eastAsia="Arial" w:hAnsi="Arial"/>
                <w:sz w:val="16"/>
                <w:szCs w:val="16"/>
                <w:color w:val="auto"/>
              </w:rPr>
              <w:t>305</w:t>
            </w:r>
          </w:p>
        </w:tc>
        <w:tc>
          <w:tcPr>
            <w:tcW w:w="220" w:type="dxa"/>
            <w:vAlign w:val="bottom"/>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300" w:type="dxa"/>
            <w:vAlign w:val="bottom"/>
            <w:shd w:val="clear" w:color="auto" w:fill="A0C4D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A0C4DA"/>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shd w:val="clear" w:color="auto" w:fill="A0C4DA"/>
          </w:tcPr>
          <w:p>
            <w:pPr>
              <w:spacing w:after="0"/>
              <w:rPr>
                <w:sz w:val="19"/>
                <w:szCs w:val="19"/>
                <w:color w:val="auto"/>
              </w:rPr>
            </w:pPr>
          </w:p>
        </w:tc>
        <w:tc>
          <w:tcPr>
            <w:tcW w:w="260" w:type="dxa"/>
            <w:vAlign w:val="bottom"/>
            <w:shd w:val="clear" w:color="auto" w:fill="A0C4DA"/>
          </w:tcPr>
          <w:p>
            <w:pPr>
              <w:spacing w:after="0"/>
              <w:rPr>
                <w:sz w:val="19"/>
                <w:szCs w:val="19"/>
                <w:color w:val="auto"/>
              </w:rPr>
            </w:pPr>
          </w:p>
        </w:tc>
        <w:tc>
          <w:tcPr>
            <w:tcW w:w="500" w:type="dxa"/>
            <w:vAlign w:val="bottom"/>
            <w:gridSpan w:val="2"/>
            <w:shd w:val="clear" w:color="auto" w:fill="A0C4DA"/>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A0C4DA"/>
          </w:tcPr>
          <w:p>
            <w:pPr>
              <w:spacing w:after="0"/>
              <w:rPr>
                <w:sz w:val="19"/>
                <w:szCs w:val="19"/>
                <w:color w:val="auto"/>
              </w:rPr>
            </w:pPr>
          </w:p>
        </w:tc>
        <w:tc>
          <w:tcPr>
            <w:tcW w:w="240" w:type="dxa"/>
            <w:vAlign w:val="bottom"/>
            <w:shd w:val="clear" w:color="auto" w:fill="A0C4DA"/>
          </w:tcPr>
          <w:p>
            <w:pPr>
              <w:spacing w:after="0"/>
              <w:rPr>
                <w:sz w:val="19"/>
                <w:szCs w:val="19"/>
                <w:color w:val="auto"/>
              </w:rPr>
            </w:pPr>
          </w:p>
        </w:tc>
        <w:tc>
          <w:tcPr>
            <w:tcW w:w="500" w:type="dxa"/>
            <w:vAlign w:val="bottom"/>
            <w:gridSpan w:val="2"/>
            <w:shd w:val="clear" w:color="auto" w:fill="A0C4DA"/>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A0C4DA"/>
          </w:tcPr>
          <w:p>
            <w:pPr>
              <w:spacing w:after="0"/>
              <w:rPr>
                <w:sz w:val="19"/>
                <w:szCs w:val="19"/>
                <w:color w:val="auto"/>
              </w:rPr>
            </w:pPr>
          </w:p>
        </w:tc>
      </w:tr>
      <w:tr>
        <w:trPr>
          <w:trHeight w:val="216"/>
        </w:trPr>
        <w:tc>
          <w:tcPr>
            <w:tcW w:w="366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2,374</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2,374</w:t>
            </w:r>
          </w:p>
        </w:tc>
        <w:tc>
          <w:tcPr>
            <w:tcW w:w="320" w:type="dxa"/>
            <w:vAlign w:val="bottom"/>
            <w:tcBorders>
              <w:bottom w:val="single" w:sz="8" w:color="auto"/>
            </w:tcBorders>
          </w:tcPr>
          <w:p>
            <w:pPr>
              <w:spacing w:after="0"/>
              <w:rPr>
                <w:sz w:val="18"/>
                <w:szCs w:val="18"/>
                <w:color w:val="auto"/>
              </w:rPr>
            </w:pPr>
          </w:p>
        </w:tc>
      </w:tr>
      <w:tr>
        <w:trPr>
          <w:trHeight w:val="223"/>
        </w:trPr>
        <w:tc>
          <w:tcPr>
            <w:tcW w:w="3660" w:type="dxa"/>
            <w:vAlign w:val="bottom"/>
            <w:shd w:val="clear" w:color="auto" w:fill="A0C4DA"/>
          </w:tcPr>
          <w:p>
            <w:pPr>
              <w:spacing w:after="0"/>
              <w:rPr>
                <w:sz w:val="20"/>
                <w:szCs w:val="20"/>
                <w:color w:val="auto"/>
              </w:rPr>
            </w:pPr>
            <w:r>
              <w:rPr>
                <w:rFonts w:ascii="Arial" w:cs="Arial" w:eastAsia="Arial" w:hAnsi="Arial"/>
                <w:sz w:val="16"/>
                <w:szCs w:val="16"/>
                <w:color w:val="auto"/>
              </w:rPr>
              <w:t>Balances at December 31, 2010</w:t>
            </w:r>
          </w:p>
        </w:tc>
        <w:tc>
          <w:tcPr>
            <w:tcW w:w="980" w:type="dxa"/>
            <w:vAlign w:val="bottom"/>
            <w:gridSpan w:val="4"/>
            <w:shd w:val="clear" w:color="auto" w:fill="A0C4DA"/>
          </w:tcPr>
          <w:p>
            <w:pPr>
              <w:jc w:val="right"/>
              <w:ind w:right="200"/>
              <w:spacing w:after="0"/>
              <w:rPr>
                <w:sz w:val="20"/>
                <w:szCs w:val="20"/>
                <w:color w:val="auto"/>
              </w:rPr>
            </w:pPr>
            <w:r>
              <w:rPr>
                <w:rFonts w:ascii="Arial" w:cs="Arial" w:eastAsia="Arial" w:hAnsi="Arial"/>
                <w:sz w:val="16"/>
                <w:szCs w:val="16"/>
                <w:color w:val="auto"/>
              </w:rPr>
              <w:t>8,929,439</w:t>
            </w:r>
          </w:p>
        </w:tc>
        <w:tc>
          <w:tcPr>
            <w:tcW w:w="420" w:type="dxa"/>
            <w:vAlign w:val="bottom"/>
            <w:gridSpan w:val="2"/>
            <w:shd w:val="clear" w:color="auto" w:fill="A0C4DA"/>
          </w:tcPr>
          <w:p>
            <w:pPr>
              <w:jc w:val="right"/>
              <w:ind w:right="68"/>
              <w:spacing w:after="0"/>
              <w:rPr>
                <w:sz w:val="20"/>
                <w:szCs w:val="20"/>
                <w:color w:val="auto"/>
              </w:rPr>
            </w:pPr>
            <w:r>
              <w:rPr>
                <w:rFonts w:ascii="Arial" w:cs="Arial" w:eastAsia="Arial" w:hAnsi="Arial"/>
                <w:sz w:val="16"/>
                <w:szCs w:val="16"/>
                <w:color w:val="auto"/>
              </w:rPr>
              <w:t>$</w:t>
            </w:r>
          </w:p>
        </w:tc>
        <w:tc>
          <w:tcPr>
            <w:tcW w:w="300" w:type="dxa"/>
            <w:vAlign w:val="bottom"/>
            <w:shd w:val="clear" w:color="auto" w:fill="A0C4DA"/>
          </w:tcPr>
          <w:p>
            <w:pPr>
              <w:jc w:val="right"/>
              <w:ind w:right="79"/>
              <w:spacing w:after="0"/>
              <w:rPr>
                <w:sz w:val="20"/>
                <w:szCs w:val="20"/>
                <w:color w:val="auto"/>
              </w:rPr>
            </w:pPr>
            <w:r>
              <w:rPr>
                <w:rFonts w:ascii="Arial" w:cs="Arial" w:eastAsia="Arial" w:hAnsi="Arial"/>
                <w:sz w:val="16"/>
                <w:szCs w:val="16"/>
                <w:color w:val="auto"/>
              </w:rPr>
              <w:t>9</w:t>
            </w:r>
          </w:p>
        </w:tc>
        <w:tc>
          <w:tcPr>
            <w:tcW w:w="880" w:type="dxa"/>
            <w:vAlign w:val="bottom"/>
            <w:gridSpan w:val="2"/>
            <w:shd w:val="clear" w:color="auto" w:fill="A0C4DA"/>
          </w:tcPr>
          <w:p>
            <w:pPr>
              <w:jc w:val="right"/>
              <w:ind w:right="40"/>
              <w:spacing w:after="0"/>
              <w:rPr>
                <w:sz w:val="20"/>
                <w:szCs w:val="20"/>
                <w:color w:val="auto"/>
              </w:rPr>
            </w:pPr>
            <w:r>
              <w:rPr>
                <w:rFonts w:ascii="Arial" w:cs="Arial" w:eastAsia="Arial" w:hAnsi="Arial"/>
                <w:sz w:val="16"/>
                <w:szCs w:val="16"/>
                <w:color w:val="auto"/>
              </w:rPr>
              <w:t>$ 39,073</w:t>
            </w:r>
          </w:p>
        </w:tc>
        <w:tc>
          <w:tcPr>
            <w:tcW w:w="220" w:type="dxa"/>
            <w:vAlign w:val="bottom"/>
            <w:shd w:val="clear" w:color="auto" w:fill="A0C4DA"/>
          </w:tcPr>
          <w:p>
            <w:pPr>
              <w:spacing w:after="0"/>
              <w:rPr>
                <w:sz w:val="19"/>
                <w:szCs w:val="19"/>
                <w:color w:val="auto"/>
              </w:rPr>
            </w:pPr>
          </w:p>
        </w:tc>
        <w:tc>
          <w:tcPr>
            <w:tcW w:w="260" w:type="dxa"/>
            <w:vAlign w:val="bottom"/>
            <w:shd w:val="clear" w:color="auto" w:fill="A0C4DA"/>
          </w:tcPr>
          <w:p>
            <w:pPr>
              <w:ind w:left="14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A0C4DA"/>
          </w:tcPr>
          <w:p>
            <w:pPr>
              <w:jc w:val="right"/>
              <w:ind w:right="280"/>
              <w:spacing w:after="0"/>
              <w:rPr>
                <w:sz w:val="20"/>
                <w:szCs w:val="20"/>
                <w:color w:val="auto"/>
              </w:rPr>
            </w:pPr>
            <w:r>
              <w:rPr>
                <w:rFonts w:ascii="Arial" w:cs="Arial" w:eastAsia="Arial" w:hAnsi="Arial"/>
                <w:sz w:val="16"/>
                <w:szCs w:val="16"/>
                <w:color w:val="auto"/>
                <w:w w:val="98"/>
              </w:rPr>
              <w:t>(7,347)</w:t>
            </w:r>
          </w:p>
        </w:tc>
        <w:tc>
          <w:tcPr>
            <w:tcW w:w="240" w:type="dxa"/>
            <w:vAlign w:val="bottom"/>
            <w:shd w:val="clear" w:color="auto" w:fill="A0C4DA"/>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A0C4DA"/>
          </w:tcPr>
          <w:p>
            <w:pPr>
              <w:jc w:val="right"/>
              <w:spacing w:after="0"/>
              <w:rPr>
                <w:sz w:val="20"/>
                <w:szCs w:val="20"/>
                <w:color w:val="auto"/>
              </w:rPr>
            </w:pPr>
            <w:r>
              <w:rPr>
                <w:rFonts w:ascii="Arial" w:cs="Arial" w:eastAsia="Arial" w:hAnsi="Arial"/>
                <w:sz w:val="16"/>
                <w:szCs w:val="16"/>
                <w:color w:val="auto"/>
                <w:w w:val="93"/>
              </w:rPr>
              <w:t>31,735</w:t>
            </w:r>
          </w:p>
        </w:tc>
        <w:tc>
          <w:tcPr>
            <w:tcW w:w="320" w:type="dxa"/>
            <w:vAlign w:val="bottom"/>
            <w:shd w:val="clear" w:color="auto" w:fill="A0C4DA"/>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3660" w:type="dxa"/>
            <w:vAlign w:val="bottom"/>
            <w:shd w:val="clear" w:color="auto" w:fill="A0C4DA"/>
          </w:tcPr>
          <w:p>
            <w:pPr>
              <w:ind w:left="80"/>
              <w:spacing w:after="0"/>
              <w:rPr>
                <w:sz w:val="20"/>
                <w:szCs w:val="20"/>
                <w:color w:val="auto"/>
              </w:rPr>
            </w:pPr>
            <w:r>
              <w:rPr>
                <w:rFonts w:ascii="Arial" w:cs="Arial" w:eastAsia="Arial" w:hAnsi="Arial"/>
                <w:sz w:val="16"/>
                <w:szCs w:val="16"/>
                <w:color w:val="auto"/>
              </w:rPr>
              <w:t>Exercise of stock options</w:t>
            </w:r>
          </w:p>
        </w:tc>
        <w:tc>
          <w:tcPr>
            <w:tcW w:w="980" w:type="dxa"/>
            <w:vAlign w:val="bottom"/>
            <w:gridSpan w:val="4"/>
            <w:shd w:val="clear" w:color="auto" w:fill="A0C4DA"/>
          </w:tcPr>
          <w:p>
            <w:pPr>
              <w:jc w:val="right"/>
              <w:ind w:right="200"/>
              <w:spacing w:after="0"/>
              <w:rPr>
                <w:sz w:val="20"/>
                <w:szCs w:val="20"/>
                <w:color w:val="auto"/>
              </w:rPr>
            </w:pPr>
            <w:r>
              <w:rPr>
                <w:rFonts w:ascii="Arial" w:cs="Arial" w:eastAsia="Arial" w:hAnsi="Arial"/>
                <w:sz w:val="16"/>
                <w:szCs w:val="16"/>
                <w:color w:val="auto"/>
              </w:rPr>
              <w:t>168,514</w:t>
            </w:r>
          </w:p>
        </w:tc>
        <w:tc>
          <w:tcPr>
            <w:tcW w:w="220" w:type="dxa"/>
            <w:vAlign w:val="bottom"/>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300" w:type="dxa"/>
            <w:vAlign w:val="bottom"/>
            <w:shd w:val="clear" w:color="auto" w:fill="A0C4D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A0C4DA"/>
          </w:tcPr>
          <w:p>
            <w:pPr>
              <w:jc w:val="right"/>
              <w:ind w:right="40"/>
              <w:spacing w:after="0"/>
              <w:rPr>
                <w:sz w:val="20"/>
                <w:szCs w:val="20"/>
                <w:color w:val="auto"/>
              </w:rPr>
            </w:pPr>
            <w:r>
              <w:rPr>
                <w:rFonts w:ascii="Arial" w:cs="Arial" w:eastAsia="Arial" w:hAnsi="Arial"/>
                <w:sz w:val="16"/>
                <w:szCs w:val="16"/>
                <w:color w:val="auto"/>
              </w:rPr>
              <w:t>746</w:t>
            </w:r>
          </w:p>
        </w:tc>
        <w:tc>
          <w:tcPr>
            <w:tcW w:w="220" w:type="dxa"/>
            <w:vAlign w:val="bottom"/>
            <w:shd w:val="clear" w:color="auto" w:fill="A0C4DA"/>
          </w:tcPr>
          <w:p>
            <w:pPr>
              <w:spacing w:after="0"/>
              <w:rPr>
                <w:sz w:val="19"/>
                <w:szCs w:val="19"/>
                <w:color w:val="auto"/>
              </w:rPr>
            </w:pPr>
          </w:p>
        </w:tc>
        <w:tc>
          <w:tcPr>
            <w:tcW w:w="260" w:type="dxa"/>
            <w:vAlign w:val="bottom"/>
            <w:shd w:val="clear" w:color="auto" w:fill="A0C4DA"/>
          </w:tcPr>
          <w:p>
            <w:pPr>
              <w:spacing w:after="0"/>
              <w:rPr>
                <w:sz w:val="19"/>
                <w:szCs w:val="19"/>
                <w:color w:val="auto"/>
              </w:rPr>
            </w:pPr>
          </w:p>
        </w:tc>
        <w:tc>
          <w:tcPr>
            <w:tcW w:w="500" w:type="dxa"/>
            <w:vAlign w:val="bottom"/>
            <w:gridSpan w:val="2"/>
            <w:shd w:val="clear" w:color="auto" w:fill="A0C4DA"/>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A0C4DA"/>
          </w:tcPr>
          <w:p>
            <w:pPr>
              <w:spacing w:after="0"/>
              <w:rPr>
                <w:sz w:val="19"/>
                <w:szCs w:val="19"/>
                <w:color w:val="auto"/>
              </w:rPr>
            </w:pPr>
          </w:p>
        </w:tc>
        <w:tc>
          <w:tcPr>
            <w:tcW w:w="240" w:type="dxa"/>
            <w:vAlign w:val="bottom"/>
            <w:shd w:val="clear" w:color="auto" w:fill="A0C4DA"/>
          </w:tcPr>
          <w:p>
            <w:pPr>
              <w:spacing w:after="0"/>
              <w:rPr>
                <w:sz w:val="19"/>
                <w:szCs w:val="19"/>
                <w:color w:val="auto"/>
              </w:rPr>
            </w:pPr>
          </w:p>
        </w:tc>
        <w:tc>
          <w:tcPr>
            <w:tcW w:w="500" w:type="dxa"/>
            <w:vAlign w:val="bottom"/>
            <w:gridSpan w:val="2"/>
            <w:shd w:val="clear" w:color="auto" w:fill="A0C4DA"/>
          </w:tcPr>
          <w:p>
            <w:pPr>
              <w:jc w:val="right"/>
              <w:spacing w:after="0"/>
              <w:rPr>
                <w:sz w:val="20"/>
                <w:szCs w:val="20"/>
                <w:color w:val="auto"/>
              </w:rPr>
            </w:pPr>
            <w:r>
              <w:rPr>
                <w:rFonts w:ascii="Arial" w:cs="Arial" w:eastAsia="Arial" w:hAnsi="Arial"/>
                <w:sz w:val="16"/>
                <w:szCs w:val="16"/>
                <w:color w:val="auto"/>
              </w:rPr>
              <w:t>746</w:t>
            </w:r>
          </w:p>
        </w:tc>
        <w:tc>
          <w:tcPr>
            <w:tcW w:w="320" w:type="dxa"/>
            <w:vAlign w:val="bottom"/>
            <w:shd w:val="clear" w:color="auto" w:fill="A0C4DA"/>
          </w:tcPr>
          <w:p>
            <w:pPr>
              <w:spacing w:after="0"/>
              <w:rPr>
                <w:sz w:val="19"/>
                <w:szCs w:val="19"/>
                <w:color w:val="auto"/>
              </w:rPr>
            </w:pPr>
          </w:p>
        </w:tc>
      </w:tr>
      <w:tr>
        <w:trPr>
          <w:trHeight w:val="230"/>
        </w:trPr>
        <w:tc>
          <w:tcPr>
            <w:tcW w:w="3660" w:type="dxa"/>
            <w:vAlign w:val="bottom"/>
          </w:tcPr>
          <w:p>
            <w:pPr>
              <w:ind w:left="80"/>
              <w:spacing w:after="0"/>
              <w:rPr>
                <w:sz w:val="20"/>
                <w:szCs w:val="20"/>
                <w:color w:val="auto"/>
              </w:rPr>
            </w:pPr>
            <w:r>
              <w:rPr>
                <w:rFonts w:ascii="Arial" w:cs="Arial" w:eastAsia="Arial" w:hAnsi="Arial"/>
                <w:sz w:val="16"/>
                <w:szCs w:val="16"/>
                <w:color w:val="auto"/>
              </w:rPr>
              <w:t>Tax Benefit - Stock option exercise</w:t>
            </w:r>
          </w:p>
        </w:tc>
        <w:tc>
          <w:tcPr>
            <w:tcW w:w="9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9"/>
                <w:szCs w:val="19"/>
                <w:color w:val="auto"/>
              </w:rPr>
            </w:pPr>
          </w:p>
        </w:tc>
      </w:tr>
      <w:tr>
        <w:trPr>
          <w:trHeight w:val="230"/>
        </w:trPr>
        <w:tc>
          <w:tcPr>
            <w:tcW w:w="3660" w:type="dxa"/>
            <w:vAlign w:val="bottom"/>
            <w:shd w:val="clear" w:color="auto" w:fill="A0C4DA"/>
          </w:tcPr>
          <w:p>
            <w:pPr>
              <w:ind w:left="80"/>
              <w:spacing w:after="0"/>
              <w:rPr>
                <w:sz w:val="20"/>
                <w:szCs w:val="20"/>
                <w:color w:val="auto"/>
              </w:rPr>
            </w:pPr>
            <w:r>
              <w:rPr>
                <w:rFonts w:ascii="Arial" w:cs="Arial" w:eastAsia="Arial" w:hAnsi="Arial"/>
                <w:sz w:val="16"/>
                <w:szCs w:val="16"/>
                <w:color w:val="auto"/>
                <w:w w:val="98"/>
              </w:rPr>
              <w:t>Compensation cost associated with ASC Topic 718</w:t>
            </w:r>
          </w:p>
        </w:tc>
        <w:tc>
          <w:tcPr>
            <w:tcW w:w="980" w:type="dxa"/>
            <w:vAlign w:val="bottom"/>
            <w:gridSpan w:val="4"/>
            <w:shd w:val="clear" w:color="auto" w:fill="A0C4DA"/>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300" w:type="dxa"/>
            <w:vAlign w:val="bottom"/>
            <w:shd w:val="clear" w:color="auto" w:fill="A0C4D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A0C4DA"/>
          </w:tcPr>
          <w:p>
            <w:pPr>
              <w:jc w:val="right"/>
              <w:ind w:right="40"/>
              <w:spacing w:after="0"/>
              <w:rPr>
                <w:sz w:val="20"/>
                <w:szCs w:val="20"/>
                <w:color w:val="auto"/>
              </w:rPr>
            </w:pPr>
            <w:r>
              <w:rPr>
                <w:rFonts w:ascii="Arial" w:cs="Arial" w:eastAsia="Arial" w:hAnsi="Arial"/>
                <w:sz w:val="16"/>
                <w:szCs w:val="16"/>
                <w:color w:val="auto"/>
              </w:rPr>
              <w:t>187</w:t>
            </w:r>
          </w:p>
        </w:tc>
        <w:tc>
          <w:tcPr>
            <w:tcW w:w="220" w:type="dxa"/>
            <w:vAlign w:val="bottom"/>
            <w:shd w:val="clear" w:color="auto" w:fill="A0C4DA"/>
          </w:tcPr>
          <w:p>
            <w:pPr>
              <w:spacing w:after="0"/>
              <w:rPr>
                <w:sz w:val="19"/>
                <w:szCs w:val="19"/>
                <w:color w:val="auto"/>
              </w:rPr>
            </w:pPr>
          </w:p>
        </w:tc>
        <w:tc>
          <w:tcPr>
            <w:tcW w:w="260" w:type="dxa"/>
            <w:vAlign w:val="bottom"/>
            <w:shd w:val="clear" w:color="auto" w:fill="A0C4DA"/>
          </w:tcPr>
          <w:p>
            <w:pPr>
              <w:spacing w:after="0"/>
              <w:rPr>
                <w:sz w:val="19"/>
                <w:szCs w:val="19"/>
                <w:color w:val="auto"/>
              </w:rPr>
            </w:pPr>
          </w:p>
        </w:tc>
        <w:tc>
          <w:tcPr>
            <w:tcW w:w="500" w:type="dxa"/>
            <w:vAlign w:val="bottom"/>
            <w:gridSpan w:val="2"/>
            <w:shd w:val="clear" w:color="auto" w:fill="A0C4DA"/>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A0C4DA"/>
          </w:tcPr>
          <w:p>
            <w:pPr>
              <w:spacing w:after="0"/>
              <w:rPr>
                <w:sz w:val="19"/>
                <w:szCs w:val="19"/>
                <w:color w:val="auto"/>
              </w:rPr>
            </w:pPr>
          </w:p>
        </w:tc>
        <w:tc>
          <w:tcPr>
            <w:tcW w:w="240" w:type="dxa"/>
            <w:vAlign w:val="bottom"/>
            <w:shd w:val="clear" w:color="auto" w:fill="A0C4DA"/>
          </w:tcPr>
          <w:p>
            <w:pPr>
              <w:spacing w:after="0"/>
              <w:rPr>
                <w:sz w:val="19"/>
                <w:szCs w:val="19"/>
                <w:color w:val="auto"/>
              </w:rPr>
            </w:pPr>
          </w:p>
        </w:tc>
        <w:tc>
          <w:tcPr>
            <w:tcW w:w="500" w:type="dxa"/>
            <w:vAlign w:val="bottom"/>
            <w:gridSpan w:val="2"/>
            <w:shd w:val="clear" w:color="auto" w:fill="A0C4DA"/>
          </w:tcPr>
          <w:p>
            <w:pPr>
              <w:jc w:val="right"/>
              <w:spacing w:after="0"/>
              <w:rPr>
                <w:sz w:val="20"/>
                <w:szCs w:val="20"/>
                <w:color w:val="auto"/>
              </w:rPr>
            </w:pPr>
            <w:r>
              <w:rPr>
                <w:rFonts w:ascii="Arial" w:cs="Arial" w:eastAsia="Arial" w:hAnsi="Arial"/>
                <w:sz w:val="16"/>
                <w:szCs w:val="16"/>
                <w:color w:val="auto"/>
              </w:rPr>
              <w:t>187</w:t>
            </w:r>
          </w:p>
        </w:tc>
        <w:tc>
          <w:tcPr>
            <w:tcW w:w="320" w:type="dxa"/>
            <w:vAlign w:val="bottom"/>
            <w:shd w:val="clear" w:color="auto" w:fill="A0C4DA"/>
          </w:tcPr>
          <w:p>
            <w:pPr>
              <w:spacing w:after="0"/>
              <w:rPr>
                <w:sz w:val="19"/>
                <w:szCs w:val="19"/>
                <w:color w:val="auto"/>
              </w:rPr>
            </w:pPr>
          </w:p>
        </w:tc>
      </w:tr>
      <w:tr>
        <w:trPr>
          <w:trHeight w:val="230"/>
        </w:trPr>
        <w:tc>
          <w:tcPr>
            <w:tcW w:w="3660" w:type="dxa"/>
            <w:vAlign w:val="bottom"/>
          </w:tcPr>
          <w:p>
            <w:pPr>
              <w:ind w:left="80"/>
              <w:spacing w:after="0"/>
              <w:rPr>
                <w:sz w:val="20"/>
                <w:szCs w:val="20"/>
                <w:color w:val="auto"/>
              </w:rPr>
            </w:pPr>
            <w:r>
              <w:rPr>
                <w:rFonts w:ascii="Arial" w:cs="Arial" w:eastAsia="Arial" w:hAnsi="Arial"/>
                <w:sz w:val="16"/>
                <w:szCs w:val="16"/>
                <w:color w:val="auto"/>
              </w:rPr>
              <w:t>Employee Stock Purchase Plan</w:t>
            </w:r>
          </w:p>
        </w:tc>
        <w:tc>
          <w:tcPr>
            <w:tcW w:w="980" w:type="dxa"/>
            <w:vAlign w:val="bottom"/>
            <w:gridSpan w:val="4"/>
          </w:tcPr>
          <w:p>
            <w:pPr>
              <w:jc w:val="right"/>
              <w:ind w:right="200"/>
              <w:spacing w:after="0"/>
              <w:rPr>
                <w:sz w:val="20"/>
                <w:szCs w:val="20"/>
                <w:color w:val="auto"/>
              </w:rPr>
            </w:pPr>
            <w:r>
              <w:rPr>
                <w:rFonts w:ascii="Arial" w:cs="Arial" w:eastAsia="Arial" w:hAnsi="Arial"/>
                <w:sz w:val="16"/>
                <w:szCs w:val="16"/>
                <w:color w:val="auto"/>
              </w:rPr>
              <w:t>199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9"/>
                <w:szCs w:val="19"/>
                <w:color w:val="auto"/>
              </w:rPr>
            </w:pPr>
          </w:p>
        </w:tc>
      </w:tr>
      <w:tr>
        <w:trPr>
          <w:trHeight w:val="216"/>
        </w:trPr>
        <w:tc>
          <w:tcPr>
            <w:tcW w:w="3660" w:type="dxa"/>
            <w:vAlign w:val="bottom"/>
            <w:tcBorders>
              <w:bottom w:val="single" w:sz="8" w:color="A0C4DA"/>
            </w:tcBorders>
            <w:shd w:val="clear" w:color="auto" w:fill="A0C4DA"/>
          </w:tcPr>
          <w:p>
            <w:pPr>
              <w:ind w:left="8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4"/>
            <w:shd w:val="clear" w:color="auto" w:fill="A0C4DA"/>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A0C4DA"/>
          </w:tcPr>
          <w:p>
            <w:pPr>
              <w:spacing w:after="0"/>
              <w:rPr>
                <w:sz w:val="18"/>
                <w:szCs w:val="18"/>
                <w:color w:val="auto"/>
              </w:rPr>
            </w:pPr>
          </w:p>
        </w:tc>
        <w:tc>
          <w:tcPr>
            <w:tcW w:w="200" w:type="dxa"/>
            <w:vAlign w:val="bottom"/>
            <w:tcBorders>
              <w:bottom w:val="single" w:sz="8" w:color="auto"/>
            </w:tcBorders>
            <w:shd w:val="clear" w:color="auto" w:fill="A0C4DA"/>
          </w:tcPr>
          <w:p>
            <w:pPr>
              <w:spacing w:after="0"/>
              <w:rPr>
                <w:sz w:val="18"/>
                <w:szCs w:val="18"/>
                <w:color w:val="auto"/>
              </w:rPr>
            </w:pPr>
          </w:p>
        </w:tc>
        <w:tc>
          <w:tcPr>
            <w:tcW w:w="300" w:type="dxa"/>
            <w:vAlign w:val="bottom"/>
            <w:tcBorders>
              <w:bottom w:val="single" w:sz="8" w:color="auto"/>
            </w:tcBorders>
            <w:shd w:val="clear" w:color="auto" w:fill="A0C4DA"/>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shd w:val="clear" w:color="auto" w:fill="A0C4DA"/>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A0C4DA"/>
          </w:tcPr>
          <w:p>
            <w:pPr>
              <w:spacing w:after="0"/>
              <w:rPr>
                <w:sz w:val="18"/>
                <w:szCs w:val="18"/>
                <w:color w:val="auto"/>
              </w:rPr>
            </w:pPr>
          </w:p>
        </w:tc>
        <w:tc>
          <w:tcPr>
            <w:tcW w:w="260" w:type="dxa"/>
            <w:vAlign w:val="bottom"/>
            <w:tcBorders>
              <w:bottom w:val="single" w:sz="8" w:color="auto"/>
            </w:tcBorders>
            <w:shd w:val="clear" w:color="auto" w:fill="A0C4DA"/>
          </w:tcPr>
          <w:p>
            <w:pPr>
              <w:spacing w:after="0"/>
              <w:rPr>
                <w:sz w:val="18"/>
                <w:szCs w:val="18"/>
                <w:color w:val="auto"/>
              </w:rPr>
            </w:pPr>
          </w:p>
        </w:tc>
        <w:tc>
          <w:tcPr>
            <w:tcW w:w="500" w:type="dxa"/>
            <w:vAlign w:val="bottom"/>
            <w:tcBorders>
              <w:bottom w:val="single" w:sz="8" w:color="auto"/>
            </w:tcBorders>
            <w:gridSpan w:val="2"/>
            <w:shd w:val="clear" w:color="auto" w:fill="A0C4DA"/>
          </w:tcPr>
          <w:p>
            <w:pPr>
              <w:jc w:val="right"/>
              <w:ind w:right="20"/>
              <w:spacing w:after="0"/>
              <w:rPr>
                <w:sz w:val="20"/>
                <w:szCs w:val="20"/>
                <w:color w:val="auto"/>
              </w:rPr>
            </w:pPr>
            <w:r>
              <w:rPr>
                <w:rFonts w:ascii="Arial" w:cs="Arial" w:eastAsia="Arial" w:hAnsi="Arial"/>
                <w:sz w:val="16"/>
                <w:szCs w:val="16"/>
                <w:color w:val="auto"/>
              </w:rPr>
              <w:t>6,929</w:t>
            </w:r>
          </w:p>
        </w:tc>
        <w:tc>
          <w:tcPr>
            <w:tcW w:w="300" w:type="dxa"/>
            <w:vAlign w:val="bottom"/>
            <w:tcBorders>
              <w:bottom w:val="single" w:sz="8" w:color="auto"/>
            </w:tcBorders>
            <w:shd w:val="clear" w:color="auto" w:fill="A0C4DA"/>
          </w:tcPr>
          <w:p>
            <w:pPr>
              <w:spacing w:after="0"/>
              <w:rPr>
                <w:sz w:val="18"/>
                <w:szCs w:val="18"/>
                <w:color w:val="auto"/>
              </w:rPr>
            </w:pPr>
          </w:p>
        </w:tc>
        <w:tc>
          <w:tcPr>
            <w:tcW w:w="240" w:type="dxa"/>
            <w:vAlign w:val="bottom"/>
            <w:tcBorders>
              <w:bottom w:val="single" w:sz="8" w:color="auto"/>
            </w:tcBorders>
            <w:shd w:val="clear" w:color="auto" w:fill="A0C4DA"/>
          </w:tcPr>
          <w:p>
            <w:pPr>
              <w:spacing w:after="0"/>
              <w:rPr>
                <w:sz w:val="18"/>
                <w:szCs w:val="18"/>
                <w:color w:val="auto"/>
              </w:rPr>
            </w:pPr>
          </w:p>
        </w:tc>
        <w:tc>
          <w:tcPr>
            <w:tcW w:w="500" w:type="dxa"/>
            <w:vAlign w:val="bottom"/>
            <w:tcBorders>
              <w:bottom w:val="single" w:sz="8" w:color="auto"/>
            </w:tcBorders>
            <w:gridSpan w:val="2"/>
            <w:shd w:val="clear" w:color="auto" w:fill="A0C4DA"/>
          </w:tcPr>
          <w:p>
            <w:pPr>
              <w:jc w:val="right"/>
              <w:spacing w:after="0"/>
              <w:rPr>
                <w:sz w:val="20"/>
                <w:szCs w:val="20"/>
                <w:color w:val="auto"/>
              </w:rPr>
            </w:pPr>
            <w:r>
              <w:rPr>
                <w:rFonts w:ascii="Arial" w:cs="Arial" w:eastAsia="Arial" w:hAnsi="Arial"/>
                <w:sz w:val="16"/>
                <w:szCs w:val="16"/>
                <w:color w:val="auto"/>
              </w:rPr>
              <w:t>6,929</w:t>
            </w:r>
          </w:p>
        </w:tc>
        <w:tc>
          <w:tcPr>
            <w:tcW w:w="320" w:type="dxa"/>
            <w:vAlign w:val="bottom"/>
            <w:tcBorders>
              <w:bottom w:val="single" w:sz="8" w:color="auto"/>
            </w:tcBorders>
            <w:shd w:val="clear" w:color="auto" w:fill="A0C4DA"/>
          </w:tcPr>
          <w:p>
            <w:pPr>
              <w:spacing w:after="0"/>
              <w:rPr>
                <w:sz w:val="18"/>
                <w:szCs w:val="18"/>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6"/>
                <w:szCs w:val="16"/>
                <w:color w:val="auto"/>
              </w:rPr>
              <w:t>Balances at December 31, 2011</w:t>
            </w:r>
          </w:p>
        </w:tc>
        <w:tc>
          <w:tcPr>
            <w:tcW w:w="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9,098,152</w:t>
            </w:r>
          </w:p>
        </w:tc>
        <w:tc>
          <w:tcPr>
            <w:tcW w:w="4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$ 40,073</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(418)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3"/>
              </w:rPr>
              <w:t>39,664</w:t>
            </w:r>
          </w:p>
        </w:tc>
        <w:tc>
          <w:tcPr>
            <w:tcW w:w="320" w:type="dxa"/>
            <w:vAlign w:val="bottom"/>
            <w:tcBorders>
              <w:bottom w:val="single" w:sz="8" w:color="auto"/>
            </w:tcBorders>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365F91"/>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76326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63" w:name="page64"/>
    <w:bookmarkEnd w:id="63"/>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CONSOLIDATED STATEMENTS OF CASH FLOWS</w:t>
      </w:r>
    </w:p>
    <w:p>
      <w:pPr>
        <w:ind w:left="3240"/>
        <w:spacing w:after="0"/>
        <w:rPr>
          <w:sz w:val="20"/>
          <w:szCs w:val="20"/>
          <w:color w:val="auto"/>
        </w:rPr>
      </w:pPr>
      <w:r>
        <w:rPr>
          <w:rFonts w:ascii="Arial" w:cs="Arial" w:eastAsia="Arial" w:hAnsi="Arial"/>
          <w:sz w:val="22"/>
          <w:szCs w:val="22"/>
          <w:b w:val="1"/>
          <w:bCs w:val="1"/>
          <w:color w:val="auto"/>
        </w:rPr>
        <w:t>(Dollars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w w:val="96"/>
              </w:rPr>
              <w:t>Year Ended December 31,</w:t>
            </w:r>
          </w:p>
        </w:tc>
      </w:tr>
      <w:tr>
        <w:trPr>
          <w:trHeight w:val="199"/>
        </w:trPr>
        <w:tc>
          <w:tcPr>
            <w:tcW w:w="5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2010</w:t>
            </w:r>
          </w:p>
        </w:tc>
      </w:tr>
      <w:tr>
        <w:trPr>
          <w:trHeight w:val="223"/>
        </w:trPr>
        <w:tc>
          <w:tcPr>
            <w:tcW w:w="5820" w:type="dxa"/>
            <w:vAlign w:val="bottom"/>
            <w:shd w:val="clear" w:color="auto" w:fill="A0C4DA"/>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6,929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2,374</w:t>
            </w:r>
          </w:p>
        </w:tc>
      </w:tr>
      <w:tr>
        <w:trPr>
          <w:trHeight w:val="230"/>
        </w:trPr>
        <w:tc>
          <w:tcPr>
            <w:tcW w:w="5820" w:type="dxa"/>
            <w:vAlign w:val="bottom"/>
            <w:shd w:val="clear" w:color="auto" w:fill="A0C4DA"/>
          </w:tcPr>
          <w:p>
            <w:pPr>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1,220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1,201</w:t>
            </w:r>
          </w:p>
        </w:tc>
      </w:tr>
      <w:tr>
        <w:trPr>
          <w:trHeight w:val="230"/>
        </w:trPr>
        <w:tc>
          <w:tcPr>
            <w:tcW w:w="5820" w:type="dxa"/>
            <w:vAlign w:val="bottom"/>
            <w:shd w:val="clear" w:color="auto" w:fill="A0C4DA"/>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187</w:t>
            </w: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263</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103</w:t>
            </w:r>
          </w:p>
        </w:tc>
      </w:tr>
      <w:tr>
        <w:trPr>
          <w:trHeight w:val="216"/>
        </w:trPr>
        <w:tc>
          <w:tcPr>
            <w:tcW w:w="5820" w:type="dxa"/>
            <w:vAlign w:val="bottom"/>
            <w:shd w:val="clear" w:color="auto" w:fill="A0C4DA"/>
          </w:tcPr>
          <w:p>
            <w:pPr>
              <w:ind w:left="180"/>
              <w:spacing w:after="0"/>
              <w:rPr>
                <w:sz w:val="20"/>
                <w:szCs w:val="20"/>
                <w:color w:val="auto"/>
              </w:rPr>
            </w:pPr>
            <w:r>
              <w:rPr>
                <w:rFonts w:ascii="Arial" w:cs="Arial" w:eastAsia="Arial" w:hAnsi="Arial"/>
                <w:sz w:val="18"/>
                <w:szCs w:val="18"/>
                <w:color w:val="auto"/>
              </w:rPr>
              <w:t>Write-down of inventory to net realizable value</w:t>
            </w:r>
          </w:p>
        </w:tc>
        <w:tc>
          <w:tcPr>
            <w:tcW w:w="340" w:type="dxa"/>
            <w:vAlign w:val="bottom"/>
            <w:shd w:val="clear" w:color="auto" w:fill="A0C4DA"/>
          </w:tcPr>
          <w:p>
            <w:pPr>
              <w:spacing w:after="0"/>
              <w:rPr>
                <w:sz w:val="18"/>
                <w:szCs w:val="18"/>
                <w:color w:val="auto"/>
              </w:rPr>
            </w:pPr>
          </w:p>
        </w:tc>
        <w:tc>
          <w:tcPr>
            <w:tcW w:w="100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188</w:t>
            </w:r>
          </w:p>
        </w:tc>
        <w:tc>
          <w:tcPr>
            <w:tcW w:w="40" w:type="dxa"/>
            <w:vAlign w:val="bottom"/>
            <w:shd w:val="clear" w:color="auto" w:fill="A0C4DA"/>
          </w:tcPr>
          <w:p>
            <w:pPr>
              <w:spacing w:after="0"/>
              <w:rPr>
                <w:sz w:val="18"/>
                <w:szCs w:val="18"/>
                <w:color w:val="auto"/>
              </w:rPr>
            </w:pPr>
          </w:p>
        </w:tc>
        <w:tc>
          <w:tcPr>
            <w:tcW w:w="340" w:type="dxa"/>
            <w:vAlign w:val="bottom"/>
            <w:shd w:val="clear" w:color="auto" w:fill="A0C4DA"/>
          </w:tcPr>
          <w:p>
            <w:pPr>
              <w:spacing w:after="0"/>
              <w:rPr>
                <w:sz w:val="18"/>
                <w:szCs w:val="18"/>
                <w:color w:val="auto"/>
              </w:rPr>
            </w:pPr>
          </w:p>
        </w:tc>
        <w:tc>
          <w:tcPr>
            <w:tcW w:w="1000" w:type="dxa"/>
            <w:vAlign w:val="bottom"/>
            <w:shd w:val="clear" w:color="auto" w:fill="A0C4DA"/>
          </w:tcPr>
          <w:p>
            <w:pPr>
              <w:jc w:val="right"/>
              <w:ind w:right="231"/>
              <w:spacing w:after="0"/>
              <w:rPr>
                <w:sz w:val="20"/>
                <w:szCs w:val="20"/>
                <w:color w:val="auto"/>
              </w:rPr>
            </w:pPr>
            <w:r>
              <w:rPr>
                <w:rFonts w:ascii="Arial" w:cs="Arial" w:eastAsia="Arial" w:hAnsi="Arial"/>
                <w:sz w:val="18"/>
                <w:szCs w:val="18"/>
                <w:color w:val="auto"/>
              </w:rPr>
              <w:t>(104)</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111</w:t>
            </w:r>
          </w:p>
        </w:tc>
      </w:tr>
      <w:tr>
        <w:trPr>
          <w:trHeight w:val="230"/>
        </w:trPr>
        <w:tc>
          <w:tcPr>
            <w:tcW w:w="5820" w:type="dxa"/>
            <w:vAlign w:val="bottom"/>
            <w:shd w:val="clear" w:color="auto" w:fill="A0C4DA"/>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1,081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(3,483)</w:t>
            </w:r>
          </w:p>
        </w:tc>
      </w:tr>
      <w:tr>
        <w:trPr>
          <w:trHeight w:val="230"/>
        </w:trPr>
        <w:tc>
          <w:tcPr>
            <w:tcW w:w="5820" w:type="dxa"/>
            <w:vAlign w:val="bottom"/>
            <w:shd w:val="clear" w:color="auto" w:fill="A0C4DA"/>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31"/>
              <w:spacing w:after="0"/>
              <w:rPr>
                <w:sz w:val="20"/>
                <w:szCs w:val="20"/>
                <w:color w:val="auto"/>
              </w:rPr>
            </w:pPr>
            <w:r>
              <w:rPr>
                <w:rFonts w:ascii="Arial" w:cs="Arial" w:eastAsia="Arial" w:hAnsi="Arial"/>
                <w:sz w:val="18"/>
                <w:szCs w:val="18"/>
                <w:color w:val="auto"/>
              </w:rPr>
              <w:t>(3,066)</w:t>
            </w: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1,355</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1,416</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(137)</w:t>
            </w:r>
          </w:p>
        </w:tc>
      </w:tr>
      <w:tr>
        <w:trPr>
          <w:trHeight w:val="230"/>
        </w:trPr>
        <w:tc>
          <w:tcPr>
            <w:tcW w:w="5820" w:type="dxa"/>
            <w:vAlign w:val="bottom"/>
            <w:shd w:val="clear" w:color="auto" w:fill="A0C4DA"/>
          </w:tcPr>
          <w:p>
            <w:pPr>
              <w:ind w:left="1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31"/>
              <w:spacing w:after="0"/>
              <w:rPr>
                <w:sz w:val="20"/>
                <w:szCs w:val="20"/>
                <w:color w:val="auto"/>
              </w:rPr>
            </w:pPr>
            <w:r>
              <w:rPr>
                <w:rFonts w:ascii="Arial" w:cs="Arial" w:eastAsia="Arial" w:hAnsi="Arial"/>
                <w:sz w:val="18"/>
                <w:szCs w:val="18"/>
                <w:color w:val="auto"/>
              </w:rPr>
              <w:t>(305)</w:t>
            </w: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520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351</w:t>
            </w:r>
          </w:p>
        </w:tc>
      </w:tr>
      <w:tr>
        <w:trPr>
          <w:trHeight w:val="230"/>
        </w:trPr>
        <w:tc>
          <w:tcPr>
            <w:tcW w:w="5820" w:type="dxa"/>
            <w:vAlign w:val="bottom"/>
            <w:shd w:val="clear" w:color="auto" w:fill="A0C4DA"/>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250</w:t>
            </w: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rPr>
              <w:t>(2,277)</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3,041</w:t>
            </w:r>
          </w:p>
        </w:tc>
      </w:tr>
      <w:tr>
        <w:trPr>
          <w:trHeight w:val="230"/>
        </w:trPr>
        <w:tc>
          <w:tcPr>
            <w:tcW w:w="5820" w:type="dxa"/>
            <w:vAlign w:val="bottom"/>
            <w:shd w:val="clear" w:color="auto" w:fill="A0C4DA"/>
          </w:tcPr>
          <w:p>
            <w:pPr>
              <w:ind w:left="180"/>
              <w:spacing w:after="0"/>
              <w:rPr>
                <w:sz w:val="20"/>
                <w:szCs w:val="20"/>
                <w:color w:val="auto"/>
              </w:rPr>
            </w:pPr>
            <w:r>
              <w:rPr>
                <w:rFonts w:ascii="Arial" w:cs="Arial" w:eastAsia="Arial" w:hAnsi="Arial"/>
                <w:sz w:val="18"/>
                <w:szCs w:val="18"/>
                <w:color w:val="auto"/>
              </w:rPr>
              <w:t>Deferred product revenue</w:t>
            </w: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31"/>
              <w:spacing w:after="0"/>
              <w:rPr>
                <w:sz w:val="20"/>
                <w:szCs w:val="20"/>
                <w:color w:val="auto"/>
              </w:rPr>
            </w:pPr>
            <w:r>
              <w:rPr>
                <w:rFonts w:ascii="Arial" w:cs="Arial" w:eastAsia="Arial" w:hAnsi="Arial"/>
                <w:sz w:val="18"/>
                <w:szCs w:val="18"/>
                <w:color w:val="auto"/>
              </w:rPr>
              <w:t>(902)</w:t>
            </w:r>
          </w:p>
        </w:tc>
        <w:tc>
          <w:tcPr>
            <w:tcW w:w="4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31"/>
              <w:spacing w:after="0"/>
              <w:rPr>
                <w:sz w:val="20"/>
                <w:szCs w:val="20"/>
                <w:color w:val="auto"/>
              </w:rPr>
            </w:pPr>
            <w:r>
              <w:rPr>
                <w:rFonts w:ascii="Arial" w:cs="Arial" w:eastAsia="Arial" w:hAnsi="Arial"/>
                <w:sz w:val="18"/>
                <w:szCs w:val="18"/>
                <w:color w:val="auto"/>
              </w:rPr>
              <w:t>(401)</w:t>
            </w:r>
          </w:p>
        </w:tc>
      </w:tr>
      <w:tr>
        <w:trPr>
          <w:trHeight w:val="243"/>
        </w:trPr>
        <w:tc>
          <w:tcPr>
            <w:tcW w:w="5820" w:type="dxa"/>
            <w:vAlign w:val="bottom"/>
            <w:tcBorders>
              <w:bottom w:val="single" w:sz="8" w:color="A0C4DA"/>
            </w:tcBorders>
          </w:tcPr>
          <w:p>
            <w:pPr>
              <w:ind w:left="18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127</w:t>
            </w:r>
          </w:p>
        </w:tc>
        <w:tc>
          <w:tcPr>
            <w:tcW w:w="40" w:type="dxa"/>
            <w:vAlign w:val="bottom"/>
            <w:tcBorders>
              <w:bottom w:val="single" w:sz="8" w:color="A0C4DA"/>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(808)</w:t>
            </w:r>
          </w:p>
        </w:tc>
      </w:tr>
      <w:tr>
        <w:trPr>
          <w:trHeight w:val="210"/>
        </w:trPr>
        <w:tc>
          <w:tcPr>
            <w:tcW w:w="582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A0C4DA"/>
          </w:tcPr>
          <w:p>
            <w:pPr>
              <w:spacing w:after="0"/>
              <w:rPr>
                <w:sz w:val="18"/>
                <w:szCs w:val="18"/>
                <w:color w:val="auto"/>
              </w:rPr>
            </w:pPr>
          </w:p>
        </w:tc>
        <w:tc>
          <w:tcPr>
            <w:tcW w:w="1000" w:type="dxa"/>
            <w:vAlign w:val="bottom"/>
            <w:tcBorders>
              <w:bottom w:val="single" w:sz="8" w:color="auto"/>
            </w:tcBorders>
            <w:shd w:val="clear" w:color="auto" w:fill="A0C4DA"/>
          </w:tcPr>
          <w:p>
            <w:pPr>
              <w:jc w:val="right"/>
              <w:ind w:right="271"/>
              <w:spacing w:after="0"/>
              <w:rPr>
                <w:sz w:val="20"/>
                <w:szCs w:val="20"/>
                <w:color w:val="auto"/>
              </w:rPr>
            </w:pPr>
            <w:r>
              <w:rPr>
                <w:rFonts w:ascii="Arial" w:cs="Arial" w:eastAsia="Arial" w:hAnsi="Arial"/>
                <w:sz w:val="18"/>
                <w:szCs w:val="18"/>
                <w:color w:val="auto"/>
              </w:rPr>
              <w:t>5,799</w:t>
            </w:r>
          </w:p>
        </w:tc>
        <w:tc>
          <w:tcPr>
            <w:tcW w:w="40" w:type="dxa"/>
            <w:vAlign w:val="bottom"/>
            <w:tcBorders>
              <w:bottom w:val="single" w:sz="8" w:color="A0C4DA"/>
            </w:tcBorders>
            <w:shd w:val="clear" w:color="auto" w:fill="A0C4DA"/>
          </w:tcPr>
          <w:p>
            <w:pPr>
              <w:spacing w:after="0"/>
              <w:rPr>
                <w:sz w:val="18"/>
                <w:szCs w:val="18"/>
                <w:color w:val="auto"/>
              </w:rPr>
            </w:pPr>
          </w:p>
        </w:tc>
        <w:tc>
          <w:tcPr>
            <w:tcW w:w="340" w:type="dxa"/>
            <w:vAlign w:val="bottom"/>
            <w:tcBorders>
              <w:bottom w:val="single" w:sz="8" w:color="auto"/>
            </w:tcBorders>
            <w:shd w:val="clear" w:color="auto" w:fill="A0C4DA"/>
          </w:tcPr>
          <w:p>
            <w:pPr>
              <w:spacing w:after="0"/>
              <w:rPr>
                <w:sz w:val="18"/>
                <w:szCs w:val="18"/>
                <w:color w:val="auto"/>
              </w:rPr>
            </w:pPr>
          </w:p>
        </w:tc>
        <w:tc>
          <w:tcPr>
            <w:tcW w:w="1000" w:type="dxa"/>
            <w:vAlign w:val="bottom"/>
            <w:tcBorders>
              <w:bottom w:val="single" w:sz="8" w:color="auto"/>
            </w:tcBorders>
            <w:shd w:val="clear" w:color="auto" w:fill="A0C4DA"/>
          </w:tcPr>
          <w:p>
            <w:pPr>
              <w:jc w:val="right"/>
              <w:ind w:right="271"/>
              <w:spacing w:after="0"/>
              <w:rPr>
                <w:sz w:val="20"/>
                <w:szCs w:val="20"/>
                <w:color w:val="auto"/>
              </w:rPr>
            </w:pPr>
            <w:r>
              <w:rPr>
                <w:rFonts w:ascii="Arial" w:cs="Arial" w:eastAsia="Arial" w:hAnsi="Arial"/>
                <w:sz w:val="18"/>
                <w:szCs w:val="18"/>
                <w:color w:val="auto"/>
              </w:rPr>
              <w:t>4,386</w:t>
            </w:r>
          </w:p>
        </w:tc>
      </w:tr>
    </w:tbl>
    <w:p>
      <w:pPr>
        <w:spacing w:after="0" w:line="200" w:lineRule="exact"/>
        <w:rPr>
          <w:sz w:val="20"/>
          <w:szCs w:val="20"/>
          <w:color w:val="auto"/>
        </w:rPr>
      </w:pPr>
    </w:p>
    <w:p>
      <w:pPr>
        <w:sectPr>
          <w:pgSz w:w="11900" w:h="16838" w:orient="portrait"/>
          <w:cols w:equalWidth="0" w:num="1">
            <w:col w:w="10219"/>
          </w:cols>
          <w:pgMar w:left="240" w:top="355" w:right="1440"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41972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Escrow proceeds received pursuant to NetStreams acquisition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towards acquisition of MagicBox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1972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1972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41972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the issuance of common stock - options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benefit from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1972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payments on long-term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1972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41972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spacing w:after="0" w:line="3" w:lineRule="exact"/>
        <w:rPr>
          <w:sz w:val="20"/>
          <w:szCs w:val="20"/>
          <w:color w:val="auto"/>
        </w:rPr>
      </w:pPr>
    </w:p>
    <w:p>
      <w:pPr>
        <w:ind w:right="1020"/>
        <w:spacing w:after="0" w:line="376"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541972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1972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2080" w:hanging="1163"/>
        <w:spacing w:after="0"/>
        <w:tabs>
          <w:tab w:leader="none" w:pos="2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350</w:t>
      </w:r>
    </w:p>
    <w:p>
      <w:pPr>
        <w:spacing w:after="0" w:line="23" w:lineRule="exact"/>
        <w:rPr>
          <w:sz w:val="20"/>
          <w:szCs w:val="20"/>
          <w:color w:val="auto"/>
        </w:rPr>
      </w:pPr>
    </w:p>
    <w:p>
      <w:pPr>
        <w:ind w:left="2300" w:hanging="1668"/>
        <w:spacing w:after="0"/>
        <w:tabs>
          <w:tab w:leader="none" w:pos="2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000" w:hanging="1368"/>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(799)</w:t>
      </w:r>
    </w:p>
    <w:p>
      <w:pPr>
        <w:spacing w:after="0" w:line="23"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18"/>
          <w:szCs w:val="18"/>
          <w:color w:val="auto"/>
        </w:rPr>
        <w:t>(1,360)</w:t>
      </w:r>
      <w:r>
        <w:rPr>
          <w:sz w:val="20"/>
          <w:szCs w:val="20"/>
          <w:color w:val="auto"/>
        </w:rPr>
        <w:tab/>
      </w:r>
      <w:r>
        <w:rPr>
          <w:rFonts w:ascii="Arial" w:cs="Arial" w:eastAsia="Arial" w:hAnsi="Arial"/>
          <w:sz w:val="18"/>
          <w:szCs w:val="18"/>
          <w:color w:val="auto"/>
        </w:rPr>
        <w:t>(449)</w:t>
      </w:r>
    </w:p>
    <w:p>
      <w:pPr>
        <w:spacing w:after="0" w:line="200" w:lineRule="exact"/>
        <w:rPr>
          <w:sz w:val="20"/>
          <w:szCs w:val="20"/>
          <w:color w:val="auto"/>
        </w:rPr>
      </w:pPr>
    </w:p>
    <w:p>
      <w:pPr>
        <w:spacing w:after="0" w:line="26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940" w:type="dxa"/>
            <w:vAlign w:val="bottom"/>
          </w:tcPr>
          <w:p>
            <w:pPr>
              <w:jc w:val="right"/>
              <w:ind w:right="570"/>
              <w:spacing w:after="0"/>
              <w:rPr>
                <w:sz w:val="20"/>
                <w:szCs w:val="20"/>
                <w:color w:val="auto"/>
              </w:rPr>
            </w:pPr>
            <w:r>
              <w:rPr>
                <w:rFonts w:ascii="Arial" w:cs="Arial" w:eastAsia="Arial" w:hAnsi="Arial"/>
                <w:sz w:val="18"/>
                <w:szCs w:val="18"/>
                <w:color w:val="auto"/>
                <w:w w:val="86"/>
              </w:rPr>
              <w:t>747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jc w:val="right"/>
              <w:ind w:right="570"/>
              <w:spacing w:after="0"/>
              <w:rPr>
                <w:sz w:val="20"/>
                <w:szCs w:val="20"/>
                <w:color w:val="auto"/>
              </w:rPr>
            </w:pPr>
            <w:r>
              <w:rPr>
                <w:rFonts w:ascii="Arial" w:cs="Arial" w:eastAsia="Arial" w:hAnsi="Arial"/>
                <w:sz w:val="18"/>
                <w:szCs w:val="18"/>
                <w:color w:val="auto"/>
              </w:rPr>
              <w:t>66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1880" w:hanging="963"/>
        <w:spacing w:after="0"/>
        <w:tabs>
          <w:tab w:leader="none" w:pos="1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(2,000)</w:t>
      </w:r>
    </w:p>
    <w:p>
      <w:pPr>
        <w:spacing w:after="0" w:line="23" w:lineRule="exact"/>
        <w:rPr>
          <w:sz w:val="20"/>
          <w:szCs w:val="20"/>
          <w:color w:val="auto"/>
        </w:rPr>
      </w:pPr>
    </w:p>
    <w:p>
      <w:pPr>
        <w:jc w:val="both"/>
        <w:ind w:left="700"/>
        <w:spacing w:after="0"/>
        <w:tabs>
          <w:tab w:leader="none" w:pos="18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(2,000)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5,252</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1,937</w:t>
            </w:r>
          </w:p>
        </w:tc>
      </w:tr>
      <w:tr>
        <w:trPr>
          <w:trHeight w:val="203"/>
        </w:trPr>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11,431</w:t>
            </w:r>
          </w:p>
        </w:tc>
        <w:tc>
          <w:tcPr>
            <w:tcW w:w="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9,494</w:t>
            </w:r>
          </w:p>
        </w:tc>
      </w:tr>
      <w:tr>
        <w:trPr>
          <w:trHeight w:val="183"/>
        </w:trPr>
        <w:tc>
          <w:tcPr>
            <w:tcW w:w="3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16,683</w:t>
            </w:r>
          </w:p>
        </w:tc>
        <w:tc>
          <w:tcPr>
            <w:tcW w:w="40" w:type="dxa"/>
            <w:vAlign w:val="bottom"/>
          </w:tcPr>
          <w:p>
            <w:pPr>
              <w:spacing w:after="0"/>
              <w:rPr>
                <w:sz w:val="15"/>
                <w:szCs w:val="15"/>
                <w:color w:val="auto"/>
              </w:rPr>
            </w:pPr>
          </w:p>
        </w:tc>
        <w:tc>
          <w:tcPr>
            <w:tcW w:w="3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11,431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5100" w:space="720"/>
            <w:col w:w="4399"/>
          </w:cols>
          <w:pgMar w:left="240" w:top="355" w:right="1440"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40" w:type="dxa"/>
            <w:vAlign w:val="bottom"/>
            <w:shd w:val="clear" w:color="auto" w:fill="A0C4DA"/>
          </w:tcPr>
          <w:p>
            <w:pPr>
              <w:spacing w:after="0"/>
              <w:rPr>
                <w:sz w:val="20"/>
                <w:szCs w:val="20"/>
                <w:color w:val="auto"/>
              </w:rPr>
            </w:pPr>
            <w:r>
              <w:rPr>
                <w:rFonts w:ascii="Arial" w:cs="Arial" w:eastAsia="Arial" w:hAnsi="Arial"/>
                <w:sz w:val="18"/>
                <w:szCs w:val="18"/>
                <w:color w:val="auto"/>
              </w:rPr>
              <w:t>Supplemental disclosure of cash flow information:</w:t>
            </w:r>
          </w:p>
        </w:tc>
        <w:tc>
          <w:tcPr>
            <w:tcW w:w="440" w:type="dxa"/>
            <w:vAlign w:val="bottom"/>
            <w:shd w:val="clear" w:color="auto" w:fill="A0C4DA"/>
          </w:tcPr>
          <w:p>
            <w:pPr>
              <w:spacing w:after="0"/>
              <w:rPr>
                <w:sz w:val="19"/>
                <w:szCs w:val="19"/>
                <w:color w:val="auto"/>
              </w:rPr>
            </w:pPr>
          </w:p>
        </w:tc>
        <w:tc>
          <w:tcPr>
            <w:tcW w:w="860" w:type="dxa"/>
            <w:vAlign w:val="bottom"/>
            <w:shd w:val="clear" w:color="auto" w:fill="A0C4DA"/>
          </w:tcPr>
          <w:p>
            <w:pPr>
              <w:spacing w:after="0"/>
              <w:rPr>
                <w:sz w:val="19"/>
                <w:szCs w:val="19"/>
                <w:color w:val="auto"/>
              </w:rPr>
            </w:pPr>
          </w:p>
        </w:tc>
        <w:tc>
          <w:tcPr>
            <w:tcW w:w="600" w:type="dxa"/>
            <w:vAlign w:val="bottom"/>
            <w:shd w:val="clear" w:color="auto" w:fill="A0C4DA"/>
          </w:tcPr>
          <w:p>
            <w:pPr>
              <w:spacing w:after="0"/>
              <w:rPr>
                <w:sz w:val="19"/>
                <w:szCs w:val="19"/>
                <w:color w:val="auto"/>
              </w:rPr>
            </w:pPr>
          </w:p>
        </w:tc>
        <w:tc>
          <w:tcPr>
            <w:tcW w:w="88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A0C4DA"/>
          </w:tcPr>
          <w:p>
            <w:pPr>
              <w:ind w:left="160"/>
              <w:spacing w:after="0"/>
              <w:rPr>
                <w:sz w:val="20"/>
                <w:szCs w:val="20"/>
                <w:color w:val="auto"/>
              </w:rPr>
            </w:pPr>
            <w:r>
              <w:rPr>
                <w:rFonts w:ascii="Arial" w:cs="Arial" w:eastAsia="Arial" w:hAnsi="Arial"/>
                <w:sz w:val="18"/>
                <w:szCs w:val="18"/>
                <w:color w:val="auto"/>
              </w:rPr>
              <w:t>Cash paid for income taxes</w:t>
            </w:r>
          </w:p>
        </w:tc>
        <w:tc>
          <w:tcPr>
            <w:tcW w:w="44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A0C4DA"/>
          </w:tcPr>
          <w:p>
            <w:pPr>
              <w:jc w:val="right"/>
              <w:ind w:right="170"/>
              <w:spacing w:after="0"/>
              <w:rPr>
                <w:sz w:val="20"/>
                <w:szCs w:val="20"/>
                <w:color w:val="auto"/>
              </w:rPr>
            </w:pPr>
            <w:r>
              <w:rPr>
                <w:rFonts w:ascii="Arial" w:cs="Arial" w:eastAsia="Arial" w:hAnsi="Arial"/>
                <w:sz w:val="18"/>
                <w:szCs w:val="18"/>
                <w:color w:val="auto"/>
              </w:rPr>
              <w:t>1,705</w:t>
            </w:r>
          </w:p>
        </w:tc>
        <w:tc>
          <w:tcPr>
            <w:tcW w:w="600" w:type="dxa"/>
            <w:vAlign w:val="bottom"/>
            <w:shd w:val="clear" w:color="auto" w:fill="A0C4DA"/>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40" w:type="dxa"/>
            <w:vAlign w:val="bottom"/>
            <w:shd w:val="clear" w:color="auto" w:fill="A0C4DA"/>
          </w:tcPr>
          <w:p>
            <w:pPr>
              <w:spacing w:after="0"/>
              <w:rPr>
                <w:sz w:val="20"/>
                <w:szCs w:val="20"/>
                <w:color w:val="auto"/>
              </w:rPr>
            </w:pPr>
            <w:r>
              <w:rPr>
                <w:rFonts w:ascii="Arial" w:cs="Arial" w:eastAsia="Arial" w:hAnsi="Arial"/>
                <w:sz w:val="18"/>
                <w:szCs w:val="18"/>
                <w:color w:val="auto"/>
              </w:rPr>
              <w:t>Supplemental disclosure of non-cash activities:</w:t>
            </w:r>
          </w:p>
        </w:tc>
        <w:tc>
          <w:tcPr>
            <w:tcW w:w="440" w:type="dxa"/>
            <w:vAlign w:val="bottom"/>
            <w:shd w:val="clear" w:color="auto" w:fill="A0C4DA"/>
          </w:tcPr>
          <w:p>
            <w:pPr>
              <w:spacing w:after="0"/>
              <w:rPr>
                <w:sz w:val="19"/>
                <w:szCs w:val="19"/>
                <w:color w:val="auto"/>
              </w:rPr>
            </w:pPr>
          </w:p>
        </w:tc>
        <w:tc>
          <w:tcPr>
            <w:tcW w:w="860" w:type="dxa"/>
            <w:vAlign w:val="bottom"/>
            <w:shd w:val="clear" w:color="auto" w:fill="A0C4DA"/>
          </w:tcPr>
          <w:p>
            <w:pPr>
              <w:spacing w:after="0"/>
              <w:rPr>
                <w:sz w:val="19"/>
                <w:szCs w:val="19"/>
                <w:color w:val="auto"/>
              </w:rPr>
            </w:pPr>
          </w:p>
        </w:tc>
        <w:tc>
          <w:tcPr>
            <w:tcW w:w="600" w:type="dxa"/>
            <w:vAlign w:val="bottom"/>
            <w:shd w:val="clear" w:color="auto" w:fill="A0C4DA"/>
          </w:tcPr>
          <w:p>
            <w:pPr>
              <w:spacing w:after="0"/>
              <w:rPr>
                <w:sz w:val="19"/>
                <w:szCs w:val="19"/>
                <w:color w:val="auto"/>
              </w:rPr>
            </w:pPr>
          </w:p>
        </w:tc>
        <w:tc>
          <w:tcPr>
            <w:tcW w:w="88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2"/>
              </w:rPr>
              <w:t>Exchanged accounts receivable from a vendor with accounts payable to the</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same vendor</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182</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A0C4DA"/>
          </w:tcPr>
          <w:p>
            <w:pPr>
              <w:ind w:left="160"/>
              <w:spacing w:after="0"/>
              <w:rPr>
                <w:sz w:val="20"/>
                <w:szCs w:val="20"/>
                <w:color w:val="auto"/>
              </w:rPr>
            </w:pPr>
            <w:r>
              <w:rPr>
                <w:rFonts w:ascii="Arial" w:cs="Arial" w:eastAsia="Arial" w:hAnsi="Arial"/>
                <w:sz w:val="18"/>
                <w:szCs w:val="18"/>
                <w:color w:val="auto"/>
              </w:rPr>
              <w:t>Current liabilities reclassed to deferred rent</w:t>
            </w:r>
          </w:p>
        </w:tc>
        <w:tc>
          <w:tcPr>
            <w:tcW w:w="44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A0C4DA"/>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A0C4DA"/>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A0C4DA"/>
          </w:tcPr>
          <w:p>
            <w:pPr>
              <w:jc w:val="right"/>
              <w:ind w:right="2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Transfer from property and equipment to inventory</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365F91"/>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76326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64" w:name="page65"/>
    <w:bookmarkEnd w:id="64"/>
    <w:p>
      <w:pPr>
        <w:jc w:val="center"/>
        <w:ind w:right="1699"/>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jc w:val="center"/>
        <w:ind w:right="169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699"/>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p>
      <w:pPr>
        <w:ind w:right="1139"/>
        <w:spacing w:after="0" w:line="251" w:lineRule="auto"/>
        <w:rPr>
          <w:sz w:val="20"/>
          <w:szCs w:val="20"/>
          <w:color w:val="auto"/>
        </w:rPr>
      </w:pPr>
      <w:r>
        <w:rPr>
          <w:rFonts w:ascii="Arial" w:cs="Arial" w:eastAsia="Arial" w:hAnsi="Arial"/>
          <w:sz w:val="22"/>
          <w:szCs w:val="22"/>
          <w:color w:val="auto"/>
        </w:rPr>
        <w:t>The Company acquired the business of MagicBox, Inc. on September 6, 2011, for $980 and recorded the following assets and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A0C4DA"/>
          </w:tcPr>
          <w:p>
            <w:pPr>
              <w:jc w:val="right"/>
              <w:ind w:right="290"/>
              <w:spacing w:after="0"/>
              <w:rPr>
                <w:sz w:val="20"/>
                <w:szCs w:val="20"/>
                <w:color w:val="auto"/>
              </w:rPr>
            </w:pPr>
            <w:r>
              <w:rPr>
                <w:rFonts w:ascii="Arial" w:cs="Arial" w:eastAsia="Arial" w:hAnsi="Arial"/>
                <w:sz w:val="18"/>
                <w:szCs w:val="18"/>
                <w:color w:val="auto"/>
              </w:rPr>
              <w:t>81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w w:val="99"/>
              </w:rPr>
              <w:t>117</w:t>
            </w:r>
          </w:p>
        </w:tc>
      </w:t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A0C4DA"/>
          </w:tcPr>
          <w:p>
            <w:pPr>
              <w:spacing w:after="0"/>
              <w:rPr>
                <w:sz w:val="19"/>
                <w:szCs w:val="19"/>
                <w:color w:val="auto"/>
              </w:rPr>
            </w:pPr>
          </w:p>
        </w:tc>
        <w:tc>
          <w:tcPr>
            <w:tcW w:w="700" w:type="dxa"/>
            <w:vAlign w:val="bottom"/>
            <w:shd w:val="clear" w:color="auto" w:fill="A0C4DA"/>
          </w:tcPr>
          <w:p>
            <w:pPr>
              <w:jc w:val="right"/>
              <w:ind w:right="290"/>
              <w:spacing w:after="0"/>
              <w:rPr>
                <w:sz w:val="20"/>
                <w:szCs w:val="20"/>
                <w:color w:val="auto"/>
              </w:rPr>
            </w:pPr>
            <w:r>
              <w:rPr>
                <w:rFonts w:ascii="Arial" w:cs="Arial" w:eastAsia="Arial" w:hAnsi="Arial"/>
                <w:sz w:val="18"/>
                <w:szCs w:val="18"/>
                <w:color w:val="auto"/>
              </w:rPr>
              <w:t>12</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(4)</w:t>
            </w:r>
          </w:p>
        </w:tc>
      </w:t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A0C4DA"/>
          </w:tcPr>
          <w:p>
            <w:pPr>
              <w:spacing w:after="0"/>
              <w:rPr>
                <w:sz w:val="19"/>
                <w:szCs w:val="19"/>
                <w:color w:val="auto"/>
              </w:rPr>
            </w:pPr>
          </w:p>
        </w:tc>
        <w:tc>
          <w:tcPr>
            <w:tcW w:w="700" w:type="dxa"/>
            <w:vAlign w:val="bottom"/>
            <w:shd w:val="clear" w:color="auto" w:fill="A0C4DA"/>
          </w:tcPr>
          <w:p>
            <w:pPr>
              <w:jc w:val="right"/>
              <w:ind w:right="290"/>
              <w:spacing w:after="0"/>
              <w:rPr>
                <w:sz w:val="20"/>
                <w:szCs w:val="20"/>
                <w:color w:val="auto"/>
              </w:rPr>
            </w:pPr>
            <w:r>
              <w:rPr>
                <w:rFonts w:ascii="Arial" w:cs="Arial" w:eastAsia="Arial" w:hAnsi="Arial"/>
                <w:sz w:val="18"/>
                <w:szCs w:val="18"/>
                <w:color w:val="auto"/>
              </w:rPr>
              <w:t>9</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Intangibles</w:t>
            </w:r>
          </w:p>
        </w:tc>
        <w:tc>
          <w:tcPr>
            <w:tcW w:w="28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w w:val="99"/>
              </w:rPr>
              <w:t>338</w:t>
            </w:r>
          </w:p>
        </w:tc>
      </w:t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A0C4DA"/>
          </w:tcPr>
          <w:p>
            <w:pPr>
              <w:spacing w:after="0"/>
              <w:rPr>
                <w:sz w:val="19"/>
                <w:szCs w:val="19"/>
                <w:color w:val="auto"/>
              </w:rPr>
            </w:pPr>
          </w:p>
        </w:tc>
        <w:tc>
          <w:tcPr>
            <w:tcW w:w="700" w:type="dxa"/>
            <w:vAlign w:val="bottom"/>
            <w:tcBorders>
              <w:bottom w:val="single" w:sz="8" w:color="auto"/>
            </w:tcBorders>
            <w:shd w:val="clear" w:color="auto" w:fill="A0C4DA"/>
          </w:tcPr>
          <w:p>
            <w:pPr>
              <w:jc w:val="right"/>
              <w:ind w:right="290"/>
              <w:spacing w:after="0"/>
              <w:rPr>
                <w:sz w:val="20"/>
                <w:szCs w:val="20"/>
                <w:color w:val="auto"/>
              </w:rPr>
            </w:pPr>
            <w:r>
              <w:rPr>
                <w:rFonts w:ascii="Arial" w:cs="Arial" w:eastAsia="Arial" w:hAnsi="Arial"/>
                <w:sz w:val="18"/>
                <w:szCs w:val="18"/>
                <w:color w:val="auto"/>
                <w:w w:val="99"/>
              </w:rPr>
              <w:t>427</w:t>
            </w:r>
          </w:p>
        </w:tc>
      </w:tr>
      <w:tr>
        <w:trPr>
          <w:trHeight w:val="210"/>
        </w:trPr>
        <w:tc>
          <w:tcPr>
            <w:tcW w:w="300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980</w:t>
            </w:r>
          </w:p>
        </w:tc>
      </w:tr>
    </w:tbl>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365F91"/>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76326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65" w:name="page66"/>
    <w:bookmarkEnd w:id="65"/>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 Nature of Operations</w:t>
      </w:r>
    </w:p>
    <w:p>
      <w:pPr>
        <w:spacing w:after="0" w:line="239" w:lineRule="exact"/>
        <w:rPr>
          <w:sz w:val="20"/>
          <w:szCs w:val="20"/>
          <w:color w:val="auto"/>
        </w:rPr>
      </w:pPr>
    </w:p>
    <w:p>
      <w:pPr>
        <w:ind w:right="1199"/>
        <w:spacing w:after="0" w:line="279" w:lineRule="auto"/>
        <w:rPr>
          <w:sz w:val="20"/>
          <w:szCs w:val="20"/>
          <w:color w:val="auto"/>
        </w:rPr>
      </w:pPr>
      <w:r>
        <w:rPr>
          <w:rFonts w:ascii="Arial" w:cs="Arial" w:eastAsia="Arial" w:hAnsi="Arial"/>
          <w:sz w:val="19"/>
          <w:szCs w:val="19"/>
          <w:color w:val="auto"/>
        </w:rPr>
        <w:t>ClearOne Communications, Inc., a Utah corporation, and its subsidiaries (collectively, the “Company”) develop, manufacture, market, and service a comprehensive line of audio conferencing products, which range from personal conferencing products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39" w:lineRule="exact"/>
        <w:rPr>
          <w:sz w:val="20"/>
          <w:szCs w:val="20"/>
          <w:color w:val="auto"/>
        </w:rPr>
      </w:pPr>
    </w:p>
    <w:p>
      <w:pPr>
        <w:ind w:right="1239"/>
        <w:spacing w:after="0" w:line="251" w:lineRule="auto"/>
        <w:rPr>
          <w:sz w:val="20"/>
          <w:szCs w:val="20"/>
          <w:color w:val="auto"/>
        </w:rPr>
      </w:pPr>
      <w:r>
        <w:rPr>
          <w:rFonts w:ascii="Arial" w:cs="Arial" w:eastAsia="Arial" w:hAnsi="Arial"/>
          <w:sz w:val="22"/>
          <w:szCs w:val="22"/>
          <w:i w:val="1"/>
          <w:iCs w:val="1"/>
          <w:color w:val="auto"/>
        </w:rPr>
        <w:t xml:space="preserve">Fiscal Year </w:t>
      </w:r>
      <w:r>
        <w:rPr>
          <w:rFonts w:ascii="Arial" w:cs="Arial" w:eastAsia="Arial" w:hAnsi="Arial"/>
          <w:sz w:val="22"/>
          <w:szCs w:val="22"/>
          <w:color w:val="auto"/>
        </w:rPr>
        <w:t>– This report on Form 10-K includes financial statements for the years ended December 31,</w:t>
      </w:r>
      <w:r>
        <w:rPr>
          <w:rFonts w:ascii="Arial" w:cs="Arial" w:eastAsia="Arial" w:hAnsi="Arial"/>
          <w:sz w:val="22"/>
          <w:szCs w:val="22"/>
          <w:i w:val="1"/>
          <w:iCs w:val="1"/>
          <w:color w:val="auto"/>
        </w:rPr>
        <w:t xml:space="preserve"> </w:t>
      </w:r>
      <w:r>
        <w:rPr>
          <w:rFonts w:ascii="Arial" w:cs="Arial" w:eastAsia="Arial" w:hAnsi="Arial"/>
          <w:sz w:val="22"/>
          <w:szCs w:val="22"/>
          <w:color w:val="auto"/>
        </w:rPr>
        <w:t>2011 and 2010.</w:t>
      </w:r>
    </w:p>
    <w:p>
      <w:pPr>
        <w:spacing w:after="0" w:line="200" w:lineRule="exact"/>
        <w:rPr>
          <w:sz w:val="20"/>
          <w:szCs w:val="20"/>
          <w:color w:val="auto"/>
        </w:rPr>
      </w:pPr>
    </w:p>
    <w:p>
      <w:pPr>
        <w:ind w:right="1319"/>
        <w:spacing w:after="0" w:line="238" w:lineRule="auto"/>
        <w:rPr>
          <w:sz w:val="20"/>
          <w:szCs w:val="20"/>
          <w:color w:val="auto"/>
        </w:rPr>
      </w:pPr>
      <w:r>
        <w:rPr>
          <w:rFonts w:ascii="Arial" w:cs="Arial" w:eastAsia="Arial" w:hAnsi="Arial"/>
          <w:sz w:val="22"/>
          <w:szCs w:val="22"/>
          <w:i w:val="1"/>
          <w:iCs w:val="1"/>
          <w:color w:val="auto"/>
        </w:rPr>
        <w:t xml:space="preserve">Consolidation </w:t>
      </w:r>
      <w:r>
        <w:rPr>
          <w:rFonts w:ascii="Arial" w:cs="Arial" w:eastAsia="Arial" w:hAnsi="Arial"/>
          <w:sz w:val="22"/>
          <w:szCs w:val="22"/>
          <w:color w:val="auto"/>
        </w:rPr>
        <w:t>– These consolidated financial statements include the financial statements of ClearOne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Communications, Inc. and its wholly owned subsidiaries. All intercompany accounts and transactions have been eliminated in consolidation. Certain prior year amounts have been reclassified to conform to the current year presentation.</w:t>
      </w:r>
    </w:p>
    <w:p>
      <w:pPr>
        <w:spacing w:after="0" w:line="212" w:lineRule="exact"/>
        <w:rPr>
          <w:sz w:val="20"/>
          <w:szCs w:val="20"/>
          <w:color w:val="auto"/>
        </w:rPr>
      </w:pPr>
    </w:p>
    <w:p>
      <w:pPr>
        <w:ind w:right="1139"/>
        <w:spacing w:after="0" w:line="275" w:lineRule="auto"/>
        <w:rPr>
          <w:sz w:val="20"/>
          <w:szCs w:val="20"/>
          <w:color w:val="auto"/>
        </w:rPr>
      </w:pPr>
      <w:r>
        <w:rPr>
          <w:rFonts w:ascii="Arial" w:cs="Arial" w:eastAsia="Arial" w:hAnsi="Arial"/>
          <w:sz w:val="19"/>
          <w:szCs w:val="19"/>
          <w:i w:val="1"/>
          <w:iCs w:val="1"/>
          <w:color w:val="auto"/>
        </w:rPr>
        <w:t xml:space="preserve">Pervasiveness of Estimates </w:t>
      </w:r>
      <w:r>
        <w:rPr>
          <w:rFonts w:ascii="Arial" w:cs="Arial" w:eastAsia="Arial" w:hAnsi="Arial"/>
          <w:sz w:val="19"/>
          <w:szCs w:val="19"/>
          <w:color w:val="auto"/>
        </w:rPr>
        <w:t>– The preparation of financial statements in conformity with generally</w:t>
      </w:r>
      <w:r>
        <w:rPr>
          <w:rFonts w:ascii="Arial" w:cs="Arial" w:eastAsia="Arial" w:hAnsi="Arial"/>
          <w:sz w:val="19"/>
          <w:szCs w:val="19"/>
          <w:i w:val="1"/>
          <w:iCs w:val="1"/>
          <w:color w:val="auto"/>
        </w:rPr>
        <w:t xml:space="preserve"> </w:t>
      </w:r>
      <w:r>
        <w:rPr>
          <w:rFonts w:ascii="Arial" w:cs="Arial" w:eastAsia="Arial" w:hAnsi="Arial"/>
          <w:sz w:val="19"/>
          <w:szCs w:val="19"/>
          <w:color w:val="auto"/>
        </w:rPr>
        <w:t>accepted accounting principles in the United States of 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185" w:lineRule="exact"/>
        <w:rPr>
          <w:sz w:val="20"/>
          <w:szCs w:val="20"/>
          <w:color w:val="auto"/>
        </w:rPr>
      </w:pPr>
    </w:p>
    <w:p>
      <w:pPr>
        <w:ind w:right="1239"/>
        <w:spacing w:after="0" w:line="246" w:lineRule="auto"/>
        <w:rPr>
          <w:sz w:val="20"/>
          <w:szCs w:val="20"/>
          <w:color w:val="auto"/>
        </w:rPr>
      </w:pPr>
      <w:r>
        <w:rPr>
          <w:rFonts w:ascii="Arial" w:cs="Arial" w:eastAsia="Arial" w:hAnsi="Arial"/>
          <w:sz w:val="21"/>
          <w:szCs w:val="21"/>
          <w:i w:val="1"/>
          <w:iCs w:val="1"/>
          <w:color w:val="auto"/>
        </w:rPr>
        <w:t xml:space="preserve">Foreign Currency Translation </w:t>
      </w:r>
      <w:r>
        <w:rPr>
          <w:rFonts w:ascii="Arial" w:cs="Arial" w:eastAsia="Arial" w:hAnsi="Arial"/>
          <w:sz w:val="21"/>
          <w:szCs w:val="21"/>
          <w:color w:val="auto"/>
        </w:rPr>
        <w:t>–The results of operations for the Company’s foreign subsidiary in the</w:t>
      </w:r>
      <w:r>
        <w:rPr>
          <w:rFonts w:ascii="Arial" w:cs="Arial" w:eastAsia="Arial" w:hAnsi="Arial"/>
          <w:sz w:val="21"/>
          <w:szCs w:val="21"/>
          <w:i w:val="1"/>
          <w:iCs w:val="1"/>
          <w:color w:val="auto"/>
        </w:rPr>
        <w:t xml:space="preserve"> </w:t>
      </w:r>
      <w:r>
        <w:rPr>
          <w:rFonts w:ascii="Arial" w:cs="Arial" w:eastAsia="Arial" w:hAnsi="Arial"/>
          <w:sz w:val="21"/>
          <w:szCs w:val="21"/>
          <w:color w:val="auto"/>
        </w:rPr>
        <w:t>United Kingdom are recorded by the subsidiary in the British Pound and remeasured in the U.S. Dollar. Assets and liabilities are translated into U.S. dollars at the exchange rate prevailing on the balance sheet date or the historical rate, as appropriate. Revenue and expenses are translated at average rates of exchange prevailing during the period. Upon making the translations to the U.S. Dollar, we concluded that as of the balance sheet date the impact of such re-measurements was immaterial and, as such, have been posted through our statement of operations as opposed to including them in other comprehensive income.</w:t>
      </w:r>
    </w:p>
    <w:p>
      <w:pPr>
        <w:spacing w:after="0" w:line="208" w:lineRule="exact"/>
        <w:rPr>
          <w:sz w:val="20"/>
          <w:szCs w:val="20"/>
          <w:color w:val="auto"/>
        </w:rPr>
      </w:pPr>
    </w:p>
    <w:p>
      <w:pPr>
        <w:ind w:right="1219"/>
        <w:spacing w:after="0" w:line="244" w:lineRule="auto"/>
        <w:rPr>
          <w:sz w:val="20"/>
          <w:szCs w:val="20"/>
          <w:color w:val="auto"/>
        </w:rPr>
      </w:pPr>
      <w:r>
        <w:rPr>
          <w:rFonts w:ascii="Arial" w:cs="Arial" w:eastAsia="Arial" w:hAnsi="Arial"/>
          <w:sz w:val="21"/>
          <w:szCs w:val="21"/>
          <w:i w:val="1"/>
          <w:iCs w:val="1"/>
          <w:color w:val="auto"/>
        </w:rPr>
        <w:t xml:space="preserve">Concentration Risk </w:t>
      </w:r>
      <w:r>
        <w:rPr>
          <w:rFonts w:ascii="Arial" w:cs="Arial" w:eastAsia="Arial" w:hAnsi="Arial"/>
          <w:sz w:val="21"/>
          <w:szCs w:val="21"/>
          <w:color w:val="auto"/>
        </w:rPr>
        <w:t>– We depend on an outsourced manufacturing strategy for our products. We</w:t>
      </w:r>
      <w:r>
        <w:rPr>
          <w:rFonts w:ascii="Arial" w:cs="Arial" w:eastAsia="Arial" w:hAnsi="Arial"/>
          <w:sz w:val="21"/>
          <w:szCs w:val="21"/>
          <w:i w:val="1"/>
          <w:iCs w:val="1"/>
          <w:color w:val="auto"/>
        </w:rPr>
        <w:t xml:space="preserve"> </w:t>
      </w:r>
      <w:r>
        <w:rPr>
          <w:rFonts w:ascii="Arial" w:cs="Arial" w:eastAsia="Arial" w:hAnsi="Arial"/>
          <w:sz w:val="21"/>
          <w:szCs w:val="21"/>
          <w:color w:val="auto"/>
        </w:rPr>
        <w:t>outsource the manufacture of all of our products to third-party 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212" w:lineRule="exact"/>
        <w:rPr>
          <w:sz w:val="20"/>
          <w:szCs w:val="20"/>
          <w:color w:val="auto"/>
        </w:rPr>
      </w:pPr>
    </w:p>
    <w:p>
      <w:pPr>
        <w:ind w:right="1299"/>
        <w:spacing w:after="0" w:line="252" w:lineRule="auto"/>
        <w:rPr>
          <w:sz w:val="20"/>
          <w:szCs w:val="20"/>
          <w:color w:val="auto"/>
        </w:rPr>
      </w:pPr>
      <w:r>
        <w:rPr>
          <w:rFonts w:ascii="Arial" w:cs="Arial" w:eastAsia="Arial" w:hAnsi="Arial"/>
          <w:sz w:val="21"/>
          <w:szCs w:val="21"/>
          <w:i w:val="1"/>
          <w:iCs w:val="1"/>
          <w:color w:val="auto"/>
        </w:rPr>
        <w:t xml:space="preserve">Cash Equivalents </w:t>
      </w:r>
      <w:r>
        <w:rPr>
          <w:rFonts w:ascii="Arial" w:cs="Arial" w:eastAsia="Arial" w:hAnsi="Arial"/>
          <w:sz w:val="21"/>
          <w:szCs w:val="21"/>
          <w:color w:val="auto"/>
        </w:rPr>
        <w:t>– The Company considers all highly-liquid investments with a maturity of three</w:t>
      </w:r>
      <w:r>
        <w:rPr>
          <w:rFonts w:ascii="Arial" w:cs="Arial" w:eastAsia="Arial" w:hAnsi="Arial"/>
          <w:sz w:val="21"/>
          <w:szCs w:val="21"/>
          <w:i w:val="1"/>
          <w:iCs w:val="1"/>
          <w:color w:val="auto"/>
        </w:rPr>
        <w:t xml:space="preserve"> </w:t>
      </w:r>
      <w:r>
        <w:rPr>
          <w:rFonts w:ascii="Arial" w:cs="Arial" w:eastAsia="Arial" w:hAnsi="Arial"/>
          <w:sz w:val="21"/>
          <w:szCs w:val="21"/>
          <w:color w:val="auto"/>
        </w:rPr>
        <w:t>months or less, when purchased, to be cash equivalents. The Company places its temporary cash investments with high-quality financial institutions. At times, such investments may be in excess of the Federal Deposit Insurance Corporation insurance limits.</w:t>
      </w:r>
    </w:p>
    <w:p>
      <w:pPr>
        <w:spacing w:after="0" w:line="201" w:lineRule="exact"/>
        <w:rPr>
          <w:sz w:val="20"/>
          <w:szCs w:val="20"/>
          <w:color w:val="auto"/>
        </w:rPr>
      </w:pPr>
    </w:p>
    <w:p>
      <w:pPr>
        <w:ind w:right="1419"/>
        <w:spacing w:after="0" w:line="279" w:lineRule="auto"/>
        <w:rPr>
          <w:sz w:val="20"/>
          <w:szCs w:val="20"/>
          <w:color w:val="auto"/>
        </w:rPr>
      </w:pPr>
      <w:r>
        <w:rPr>
          <w:rFonts w:ascii="Arial" w:cs="Arial" w:eastAsia="Arial" w:hAnsi="Arial"/>
          <w:sz w:val="19"/>
          <w:szCs w:val="19"/>
          <w:i w:val="1"/>
          <w:iCs w:val="1"/>
          <w:color w:val="auto"/>
        </w:rPr>
        <w:t xml:space="preserve">Accounts Receivable </w:t>
      </w:r>
      <w:r>
        <w:rPr>
          <w:rFonts w:ascii="Arial" w:cs="Arial" w:eastAsia="Arial" w:hAnsi="Arial"/>
          <w:sz w:val="19"/>
          <w:szCs w:val="19"/>
          <w:color w:val="auto"/>
        </w:rPr>
        <w:t>– Accounts receivable are recorded at the invoiced amount. Generally, credit is</w:t>
      </w:r>
      <w:r>
        <w:rPr>
          <w:rFonts w:ascii="Arial" w:cs="Arial" w:eastAsia="Arial" w:hAnsi="Arial"/>
          <w:sz w:val="19"/>
          <w:szCs w:val="19"/>
          <w:i w:val="1"/>
          <w:iCs w:val="1"/>
          <w:color w:val="auto"/>
        </w:rPr>
        <w:t xml:space="preserve"> </w:t>
      </w:r>
      <w:r>
        <w:rPr>
          <w:rFonts w:ascii="Arial" w:cs="Arial" w:eastAsia="Arial" w:hAnsi="Arial"/>
          <w:sz w:val="19"/>
          <w:szCs w:val="19"/>
          <w:color w:val="auto"/>
        </w:rPr>
        <w:t>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ectPr>
          <w:pgSz w:w="11900" w:h="16838" w:orient="portrait"/>
          <w:cols w:equalWidth="0" w:num="1">
            <w:col w:w="10219"/>
          </w:cols>
          <w:pgMar w:left="240" w:top="112" w:right="1440" w:bottom="46" w:gutter="0" w:footer="0" w:header="0"/>
        </w:sectPr>
      </w:pPr>
    </w:p>
    <w:bookmarkStart w:id="66" w:name="page67"/>
    <w:bookmarkEnd w:id="66"/>
    <w:p>
      <w:pPr>
        <w:ind w:left="3240"/>
        <w:spacing w:after="0"/>
        <w:rPr>
          <w:sz w:val="20"/>
          <w:szCs w:val="20"/>
          <w:color w:val="auto"/>
        </w:rPr>
      </w:pPr>
      <w:r>
        <w:rPr>
          <w:rFonts w:ascii="Arial" w:cs="Arial" w:eastAsia="Arial" w:hAnsi="Arial"/>
          <w:sz w:val="13"/>
          <w:szCs w:val="13"/>
          <w:b w:val="1"/>
          <w:bCs w:val="1"/>
          <w:color w:val="365F91"/>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236855</wp:posOffset>
            </wp:positionV>
            <wp:extent cx="576326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67" w:name="page68"/>
    <w:bookmarkEnd w:id="67"/>
    <w:p>
      <w:pPr>
        <w:spacing w:after="0" w:line="10" w:lineRule="exact"/>
        <w:rPr>
          <w:sz w:val="20"/>
          <w:szCs w:val="20"/>
          <w:color w:val="auto"/>
        </w:rPr>
      </w:pPr>
    </w:p>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ind w:right="1419"/>
        <w:spacing w:after="0" w:line="247" w:lineRule="auto"/>
        <w:rPr>
          <w:sz w:val="20"/>
          <w:szCs w:val="20"/>
          <w:color w:val="auto"/>
        </w:rPr>
      </w:pPr>
      <w:r>
        <w:rPr>
          <w:rFonts w:ascii="Arial" w:cs="Arial" w:eastAsia="Arial" w:hAnsi="Arial"/>
          <w:sz w:val="21"/>
          <w:szCs w:val="21"/>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future periods or reverse amounts provided in prior periods.</w:t>
      </w:r>
    </w:p>
    <w:p>
      <w:pPr>
        <w:spacing w:after="0" w:line="205" w:lineRule="exact"/>
        <w:rPr>
          <w:sz w:val="20"/>
          <w:szCs w:val="20"/>
          <w:color w:val="auto"/>
        </w:rPr>
      </w:pPr>
    </w:p>
    <w:p>
      <w:pPr>
        <w:ind w:right="1479"/>
        <w:spacing w:after="0" w:line="251" w:lineRule="auto"/>
        <w:rPr>
          <w:sz w:val="20"/>
          <w:szCs w:val="20"/>
          <w:color w:val="auto"/>
        </w:rPr>
      </w:pPr>
      <w:r>
        <w:rPr>
          <w:rFonts w:ascii="Arial" w:cs="Arial" w:eastAsia="Arial" w:hAnsi="Arial"/>
          <w:sz w:val="22"/>
          <w:szCs w:val="22"/>
          <w:color w:val="auto"/>
        </w:rPr>
        <w:t>The Company’s allowance for doubtful accounts activity for the years ended December 31, 2011 and 2010 was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3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r>
      <w:tr>
        <w:trPr>
          <w:trHeight w:val="223"/>
        </w:trPr>
        <w:tc>
          <w:tcPr>
            <w:tcW w:w="3240" w:type="dxa"/>
            <w:vAlign w:val="bottom"/>
            <w:shd w:val="clear" w:color="auto" w:fill="A0C4DA"/>
          </w:tcPr>
          <w:p>
            <w:pPr>
              <w:spacing w:after="0"/>
              <w:rPr>
                <w:sz w:val="20"/>
                <w:szCs w:val="20"/>
                <w:color w:val="auto"/>
              </w:rPr>
            </w:pPr>
            <w:r>
              <w:rPr>
                <w:rFonts w:ascii="Arial" w:cs="Arial" w:eastAsia="Arial" w:hAnsi="Arial"/>
                <w:sz w:val="18"/>
                <w:szCs w:val="18"/>
                <w:color w:val="auto"/>
              </w:rPr>
              <w:t>Balance at beginning of the year</w:t>
            </w:r>
          </w:p>
        </w:tc>
        <w:tc>
          <w:tcPr>
            <w:tcW w:w="40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A0C4DA"/>
          </w:tcPr>
          <w:p>
            <w:pPr>
              <w:ind w:left="44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A0C4DA"/>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A0C4DA"/>
          </w:tcPr>
          <w:p>
            <w:pPr>
              <w:jc w:val="right"/>
              <w:ind w:right="254"/>
              <w:spacing w:after="0"/>
              <w:rPr>
                <w:sz w:val="20"/>
                <w:szCs w:val="20"/>
                <w:color w:val="auto"/>
              </w:rPr>
            </w:pPr>
            <w:r>
              <w:rPr>
                <w:rFonts w:ascii="Arial" w:cs="Arial" w:eastAsia="Arial" w:hAnsi="Arial"/>
                <w:sz w:val="18"/>
                <w:szCs w:val="18"/>
                <w:color w:val="auto"/>
              </w:rPr>
              <w:t>103</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Charged to costs and expenses</w:t>
            </w:r>
          </w:p>
        </w:tc>
        <w:tc>
          <w:tcPr>
            <w:tcW w:w="40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19"/>
                <w:szCs w:val="19"/>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103</w:t>
            </w:r>
          </w:p>
        </w:tc>
      </w:tr>
      <w:tr>
        <w:trPr>
          <w:trHeight w:val="230"/>
        </w:trPr>
        <w:tc>
          <w:tcPr>
            <w:tcW w:w="3240" w:type="dxa"/>
            <w:vAlign w:val="bottom"/>
            <w:shd w:val="clear" w:color="auto" w:fill="A0C4DA"/>
          </w:tcPr>
          <w:p>
            <w:pPr>
              <w:spacing w:after="0"/>
              <w:rPr>
                <w:sz w:val="20"/>
                <w:szCs w:val="20"/>
                <w:color w:val="auto"/>
              </w:rPr>
            </w:pPr>
            <w:r>
              <w:rPr>
                <w:rFonts w:ascii="Arial" w:cs="Arial" w:eastAsia="Arial" w:hAnsi="Arial"/>
                <w:sz w:val="18"/>
                <w:szCs w:val="18"/>
                <w:color w:val="auto"/>
              </w:rPr>
              <w:t>Deductions</w:t>
            </w:r>
          </w:p>
        </w:tc>
        <w:tc>
          <w:tcPr>
            <w:tcW w:w="400" w:type="dxa"/>
            <w:vAlign w:val="bottom"/>
            <w:tcBorders>
              <w:bottom w:val="single" w:sz="8" w:color="auto"/>
            </w:tcBorders>
            <w:shd w:val="clear" w:color="auto" w:fill="A0C4DA"/>
          </w:tcPr>
          <w:p>
            <w:pPr>
              <w:spacing w:after="0"/>
              <w:rPr>
                <w:sz w:val="19"/>
                <w:szCs w:val="19"/>
                <w:color w:val="auto"/>
              </w:rPr>
            </w:pPr>
          </w:p>
        </w:tc>
        <w:tc>
          <w:tcPr>
            <w:tcW w:w="980" w:type="dxa"/>
            <w:vAlign w:val="bottom"/>
            <w:tcBorders>
              <w:bottom w:val="single" w:sz="8" w:color="auto"/>
            </w:tcBorders>
            <w:shd w:val="clear" w:color="auto" w:fill="A0C4DA"/>
          </w:tcPr>
          <w:p>
            <w:pPr>
              <w:jc w:val="right"/>
              <w:ind w:right="136"/>
              <w:spacing w:after="0"/>
              <w:rPr>
                <w:sz w:val="20"/>
                <w:szCs w:val="20"/>
                <w:color w:val="auto"/>
              </w:rPr>
            </w:pPr>
            <w:r>
              <w:rPr>
                <w:rFonts w:ascii="Arial" w:cs="Arial" w:eastAsia="Arial" w:hAnsi="Arial"/>
                <w:sz w:val="18"/>
                <w:szCs w:val="18"/>
                <w:color w:val="auto"/>
              </w:rPr>
              <w:t>(369)</w:t>
            </w:r>
          </w:p>
        </w:tc>
        <w:tc>
          <w:tcPr>
            <w:tcW w:w="520" w:type="dxa"/>
            <w:vAlign w:val="bottom"/>
            <w:tcBorders>
              <w:bottom w:val="single" w:sz="8" w:color="auto"/>
            </w:tcBorders>
            <w:shd w:val="clear" w:color="auto" w:fill="A0C4DA"/>
          </w:tcPr>
          <w:p>
            <w:pPr>
              <w:spacing w:after="0"/>
              <w:rPr>
                <w:sz w:val="19"/>
                <w:szCs w:val="19"/>
                <w:color w:val="auto"/>
              </w:rPr>
            </w:pPr>
          </w:p>
        </w:tc>
        <w:tc>
          <w:tcPr>
            <w:tcW w:w="840" w:type="dxa"/>
            <w:vAlign w:val="bottom"/>
            <w:tcBorders>
              <w:bottom w:val="single" w:sz="8" w:color="auto"/>
            </w:tcBorders>
            <w:shd w:val="clear" w:color="auto" w:fill="A0C4DA"/>
          </w:tcPr>
          <w:p>
            <w:pPr>
              <w:jc w:val="right"/>
              <w:ind w:right="254"/>
              <w:spacing w:after="0"/>
              <w:rPr>
                <w:sz w:val="20"/>
                <w:szCs w:val="20"/>
                <w:color w:val="auto"/>
              </w:rPr>
            </w:pPr>
            <w:r>
              <w:rPr>
                <w:rFonts w:ascii="Arial" w:cs="Arial" w:eastAsia="Arial" w:hAnsi="Arial"/>
                <w:sz w:val="18"/>
                <w:szCs w:val="18"/>
                <w:color w:val="auto"/>
              </w:rPr>
              <w:t>-</w:t>
            </w:r>
          </w:p>
        </w:tc>
      </w:tr>
      <w:tr>
        <w:trPr>
          <w:trHeight w:val="183"/>
        </w:trPr>
        <w:tc>
          <w:tcPr>
            <w:tcW w:w="3240" w:type="dxa"/>
            <w:vAlign w:val="bottom"/>
          </w:tcPr>
          <w:p>
            <w:pPr>
              <w:spacing w:after="0" w:line="182" w:lineRule="exact"/>
              <w:rPr>
                <w:sz w:val="20"/>
                <w:szCs w:val="20"/>
                <w:color w:val="auto"/>
              </w:rPr>
            </w:pPr>
            <w:r>
              <w:rPr>
                <w:rFonts w:ascii="Arial" w:cs="Arial" w:eastAsia="Arial" w:hAnsi="Arial"/>
                <w:sz w:val="18"/>
                <w:szCs w:val="18"/>
                <w:color w:val="auto"/>
              </w:rPr>
              <w:t>Balance at end of the year</w:t>
            </w:r>
          </w:p>
        </w:tc>
        <w:tc>
          <w:tcPr>
            <w:tcW w:w="4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440"/>
              <w:spacing w:after="0" w:line="182" w:lineRule="exact"/>
              <w:rPr>
                <w:sz w:val="20"/>
                <w:szCs w:val="20"/>
                <w:color w:val="auto"/>
              </w:rPr>
            </w:pPr>
            <w:r>
              <w:rPr>
                <w:rFonts w:ascii="Arial" w:cs="Arial" w:eastAsia="Arial" w:hAnsi="Arial"/>
                <w:sz w:val="18"/>
                <w:szCs w:val="18"/>
                <w:color w:val="auto"/>
              </w:rPr>
              <w:t>149</w:t>
            </w:r>
          </w:p>
        </w:tc>
        <w:tc>
          <w:tcPr>
            <w:tcW w:w="5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4"/>
              <w:spacing w:after="0" w:line="182" w:lineRule="exact"/>
              <w:rPr>
                <w:sz w:val="20"/>
                <w:szCs w:val="20"/>
                <w:color w:val="auto"/>
              </w:rPr>
            </w:pPr>
            <w:r>
              <w:rPr>
                <w:rFonts w:ascii="Arial" w:cs="Arial" w:eastAsia="Arial" w:hAnsi="Arial"/>
                <w:sz w:val="18"/>
                <w:szCs w:val="18"/>
                <w:color w:val="auto"/>
              </w:rPr>
              <w:t>206</w:t>
            </w:r>
          </w:p>
        </w:tc>
      </w:tr>
      <w:tr>
        <w:trPr>
          <w:trHeight w:val="20"/>
        </w:trPr>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239"/>
        <w:spacing w:after="0" w:line="248" w:lineRule="auto"/>
        <w:rPr>
          <w:sz w:val="20"/>
          <w:szCs w:val="20"/>
          <w:color w:val="auto"/>
        </w:rPr>
      </w:pPr>
      <w:r>
        <w:rPr>
          <w:rFonts w:ascii="Arial" w:cs="Arial" w:eastAsia="Arial" w:hAnsi="Arial"/>
          <w:sz w:val="21"/>
          <w:szCs w:val="21"/>
          <w:i w:val="1"/>
          <w:iCs w:val="1"/>
          <w:color w:val="auto"/>
        </w:rPr>
        <w:t xml:space="preserve">Inventories </w:t>
      </w:r>
      <w:r>
        <w:rPr>
          <w:rFonts w:ascii="Arial" w:cs="Arial" w:eastAsia="Arial" w:hAnsi="Arial"/>
          <w:sz w:val="21"/>
          <w:szCs w:val="21"/>
          <w:color w:val="auto"/>
        </w:rPr>
        <w:t>– Inventories are valued at the lower of cost or market, with cost computed on a first-in,</w:t>
      </w:r>
      <w:r>
        <w:rPr>
          <w:rFonts w:ascii="Arial" w:cs="Arial" w:eastAsia="Arial" w:hAnsi="Arial"/>
          <w:sz w:val="21"/>
          <w:szCs w:val="21"/>
          <w:i w:val="1"/>
          <w:iCs w:val="1"/>
          <w:color w:val="auto"/>
        </w:rPr>
        <w:t xml:space="preserve"> </w:t>
      </w:r>
      <w:r>
        <w:rPr>
          <w:rFonts w:ascii="Arial" w:cs="Arial" w:eastAsia="Arial" w:hAnsi="Arial"/>
          <w:sz w:val="21"/>
          <w:szCs w:val="21"/>
          <w:color w:val="auto"/>
        </w:rPr>
        <w:t>first-out (“FIFO”) basis. In addition to the price of the 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204" w:lineRule="exact"/>
        <w:rPr>
          <w:sz w:val="20"/>
          <w:szCs w:val="20"/>
          <w:color w:val="auto"/>
        </w:rPr>
      </w:pPr>
    </w:p>
    <w:p>
      <w:pPr>
        <w:ind w:right="1899"/>
        <w:spacing w:after="0" w:line="251" w:lineRule="auto"/>
        <w:rPr>
          <w:sz w:val="20"/>
          <w:szCs w:val="20"/>
          <w:color w:val="auto"/>
        </w:rPr>
      </w:pPr>
      <w:r>
        <w:rPr>
          <w:rFonts w:ascii="Arial" w:cs="Arial" w:eastAsia="Arial" w:hAnsi="Arial"/>
          <w:sz w:val="22"/>
          <w:szCs w:val="22"/>
          <w:color w:val="auto"/>
        </w:rPr>
        <w:t>Consigned inventory includes products that have been delivered to customers for which revenue recognition criteria have not been met.</w:t>
      </w:r>
    </w:p>
    <w:p>
      <w:pPr>
        <w:spacing w:after="0" w:line="200" w:lineRule="exact"/>
        <w:rPr>
          <w:sz w:val="20"/>
          <w:szCs w:val="20"/>
          <w:color w:val="auto"/>
        </w:rPr>
      </w:pPr>
    </w:p>
    <w:p>
      <w:pPr>
        <w:ind w:right="1159"/>
        <w:spacing w:after="0" w:line="297" w:lineRule="auto"/>
        <w:rPr>
          <w:sz w:val="20"/>
          <w:szCs w:val="20"/>
          <w:color w:val="auto"/>
        </w:rPr>
      </w:pPr>
      <w:r>
        <w:rPr>
          <w:rFonts w:ascii="Arial" w:cs="Arial" w:eastAsia="Arial" w:hAnsi="Arial"/>
          <w:sz w:val="19"/>
          <w:szCs w:val="19"/>
          <w:color w:val="auto"/>
        </w:rPr>
        <w:t>The inventory also includes advance replacement units (valued at cost) provided by the Company to end-users to service defective products under warranty. The value of advance replacement units included in the inventory was $43 and $168, as of December 31, 2011 and 2010 respectively.</w:t>
      </w:r>
    </w:p>
    <w:p>
      <w:pPr>
        <w:spacing w:after="0" w:line="161" w:lineRule="exact"/>
        <w:rPr>
          <w:sz w:val="20"/>
          <w:szCs w:val="20"/>
          <w:color w:val="auto"/>
        </w:rPr>
      </w:pPr>
    </w:p>
    <w:p>
      <w:pPr>
        <w:ind w:right="1159"/>
        <w:spacing w:after="0" w:line="270"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less accumulated depreciation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amortization. Expenditures that materially increase 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w:t>
      </w:r>
    </w:p>
    <w:p>
      <w:pPr>
        <w:spacing w:after="0" w:line="2" w:lineRule="exact"/>
        <w:rPr>
          <w:sz w:val="20"/>
          <w:szCs w:val="20"/>
          <w:color w:val="auto"/>
        </w:rPr>
      </w:pPr>
    </w:p>
    <w:p>
      <w:pPr>
        <w:ind w:right="1139"/>
        <w:spacing w:after="0" w:line="233" w:lineRule="auto"/>
        <w:rPr>
          <w:sz w:val="20"/>
          <w:szCs w:val="20"/>
          <w:color w:val="auto"/>
        </w:rPr>
      </w:pPr>
      <w:r>
        <w:rPr>
          <w:rFonts w:ascii="Arial" w:cs="Arial" w:eastAsia="Arial" w:hAnsi="Arial"/>
          <w:sz w:val="22"/>
          <w:szCs w:val="22"/>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15" w:lineRule="exact"/>
        <w:rPr>
          <w:sz w:val="20"/>
          <w:szCs w:val="20"/>
          <w:color w:val="auto"/>
        </w:rPr>
      </w:pPr>
    </w:p>
    <w:p>
      <w:pPr>
        <w:ind w:right="1159"/>
        <w:spacing w:after="0" w:line="270" w:lineRule="auto"/>
        <w:rPr>
          <w:sz w:val="20"/>
          <w:szCs w:val="20"/>
          <w:color w:val="auto"/>
        </w:rPr>
      </w:pPr>
      <w:r>
        <w:rPr>
          <w:rFonts w:ascii="Arial" w:cs="Arial" w:eastAsia="Arial" w:hAnsi="Arial"/>
          <w:sz w:val="19"/>
          <w:szCs w:val="19"/>
          <w:i w:val="1"/>
          <w:iCs w:val="1"/>
          <w:color w:val="auto"/>
        </w:rPr>
        <w:t>Goodwill and Intangible Assets –</w:t>
      </w:r>
      <w:r>
        <w:rPr>
          <w:rFonts w:ascii="Arial" w:cs="Arial" w:eastAsia="Arial" w:hAnsi="Arial"/>
          <w:sz w:val="19"/>
          <w:szCs w:val="19"/>
          <w:color w:val="auto"/>
        </w:rPr>
        <w:t>Intangible assets acquired in a purchase business combination are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amortized over their useful lives unless these lives are 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9"/>
          <w:szCs w:val="19"/>
          <w:i w:val="1"/>
          <w:iCs w:val="1"/>
          <w:color w:val="auto"/>
        </w:rPr>
        <w:t>Intangibles – Goodwill and Other</w:t>
      </w:r>
      <w:r>
        <w:rPr>
          <w:rFonts w:ascii="Arial" w:cs="Arial" w:eastAsia="Arial" w:hAnsi="Arial"/>
          <w:sz w:val="19"/>
          <w:szCs w:val="19"/>
          <w:color w:val="auto"/>
        </w:rPr>
        <w:t xml:space="preserve">,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market value of the reporting unit is allocated to all of its assets and liabilities including intangible assets with indefinite lives. The excess, if any, of the fair market value of the reporting unit over the sum of the fair market values allocated to identified assets and liabilities is the value of goodwill to be compared to its carrying value (See </w:t>
      </w:r>
      <w:r>
        <w:rPr>
          <w:rFonts w:ascii="Arial" w:cs="Arial" w:eastAsia="Arial" w:hAnsi="Arial"/>
          <w:sz w:val="19"/>
          <w:szCs w:val="19"/>
          <w:u w:val="single" w:color="auto"/>
          <w:color w:val="0000FF"/>
        </w:rPr>
        <w:t>Note 3 – Business Combinations, Goodwill and Intangibles</w:t>
      </w:r>
      <w:r>
        <w:rPr>
          <w:rFonts w:ascii="Arial" w:cs="Arial" w:eastAsia="Arial" w:hAnsi="Arial"/>
          <w:sz w:val="19"/>
          <w:szCs w:val="19"/>
          <w:color w:val="auto"/>
        </w:rPr>
        <w:t>). ClearOne and all of its subsidiaries are considered as one reporting unit for this purpose.</w:t>
      </w:r>
    </w:p>
    <w:p>
      <w:pPr>
        <w:sectPr>
          <w:pgSz w:w="11900" w:h="16849"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398"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365F91"/>
        </w:rPr>
        <w:t>F-9</w:t>
      </w:r>
    </w:p>
    <w:p>
      <w:pPr>
        <w:sectPr>
          <w:pgSz w:w="11900" w:h="16849" w:orient="portrait"/>
          <w:cols w:equalWidth="0" w:num="1">
            <w:col w:w="10219"/>
          </w:cols>
          <w:pgMar w:left="240" w:top="112" w:right="1440" w:bottom="0" w:gutter="0" w:footer="0" w:header="0"/>
          <w:type w:val="continuous"/>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6326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ind w:left="280" w:right="168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i w:val="1"/>
          <w:iCs w:val="1"/>
          <w:color w:val="auto"/>
        </w:rPr>
        <w:t xml:space="preserve">Impairment of Long-Lived Assets – </w:t>
      </w:r>
      <w:r>
        <w:rPr>
          <w:rFonts w:ascii="Arial" w:cs="Arial" w:eastAsia="Arial" w:hAnsi="Arial"/>
          <w:sz w:val="19"/>
          <w:szCs w:val="19"/>
          <w:color w:val="auto"/>
        </w:rPr>
        <w:t>Long-lived assets, such as property, equipment, and definite-lived</w:t>
      </w:r>
      <w:r>
        <w:rPr>
          <w:rFonts w:ascii="Arial" w:cs="Arial" w:eastAsia="Arial" w:hAnsi="Arial"/>
          <w:sz w:val="19"/>
          <w:szCs w:val="19"/>
          <w:i w:val="1"/>
          <w:iCs w:val="1"/>
          <w:color w:val="auto"/>
        </w:rPr>
        <w:t xml:space="preserve"> </w:t>
      </w:r>
      <w:r>
        <w:rPr>
          <w:rFonts w:ascii="Arial" w:cs="Arial" w:eastAsia="Arial" w:hAnsi="Arial"/>
          <w:sz w:val="19"/>
          <w:szCs w:val="19"/>
          <w:color w:val="auto"/>
        </w:rPr>
        <w:t>intangibles subject to 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89" w:lineRule="exact"/>
        <w:rPr>
          <w:sz w:val="20"/>
          <w:szCs w:val="20"/>
          <w:color w:val="auto"/>
        </w:rPr>
      </w:pPr>
    </w:p>
    <w:p>
      <w:pPr>
        <w:ind w:right="1279"/>
        <w:spacing w:after="0"/>
        <w:rPr>
          <w:sz w:val="20"/>
          <w:szCs w:val="20"/>
          <w:color w:val="auto"/>
        </w:rPr>
      </w:pPr>
      <w:r>
        <w:rPr>
          <w:rFonts w:ascii="Arial" w:cs="Arial" w:eastAsia="Arial" w:hAnsi="Arial"/>
          <w:sz w:val="22"/>
          <w:szCs w:val="22"/>
          <w:i w:val="1"/>
          <w:iCs w:val="1"/>
          <w:color w:val="auto"/>
        </w:rPr>
        <w:t xml:space="preserve">Revenue Recognition </w:t>
      </w:r>
      <w:r>
        <w:rPr>
          <w:rFonts w:ascii="Arial" w:cs="Arial" w:eastAsia="Arial" w:hAnsi="Arial"/>
          <w:sz w:val="22"/>
          <w:szCs w:val="22"/>
          <w:color w:val="auto"/>
        </w:rPr>
        <w:t>– Product revenue is recognized when (i) the products are shipped, (ii) persuasive</w:t>
      </w:r>
      <w:r>
        <w:rPr>
          <w:rFonts w:ascii="Arial" w:cs="Arial" w:eastAsia="Arial" w:hAnsi="Arial"/>
          <w:sz w:val="22"/>
          <w:szCs w:val="22"/>
          <w:i w:val="1"/>
          <w:iCs w:val="1"/>
          <w:color w:val="auto"/>
        </w:rPr>
        <w:t xml:space="preserve"> </w:t>
      </w:r>
      <w:r>
        <w:rPr>
          <w:rFonts w:ascii="Arial" w:cs="Arial" w:eastAsia="Arial" w:hAnsi="Arial"/>
          <w:sz w:val="22"/>
          <w:szCs w:val="22"/>
          <w:color w:val="auto"/>
        </w:rPr>
        <w:t>evidence of an arrangement exists, (iii) the price is fixed and determinable, and (iv) collection is reasonably assured.</w:t>
      </w:r>
    </w:p>
    <w:p>
      <w:pPr>
        <w:spacing w:after="0" w:line="213"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color w:val="auto"/>
        </w:rPr>
        <w:t>The Company provides a right of return on product sales to major distributors and other resellers under a product rotation program. Under this seldom used program, once a quarter a distributor or reseller is allowed to return products purchased during the prior 180 days for a total value generally not exceeding 15% of the distributor or reseller’s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1219"/>
        <w:spacing w:after="0" w:line="273" w:lineRule="auto"/>
        <w:rPr>
          <w:sz w:val="20"/>
          <w:szCs w:val="20"/>
          <w:color w:val="auto"/>
        </w:rPr>
      </w:pPr>
      <w:r>
        <w:rPr>
          <w:rFonts w:ascii="Arial" w:cs="Arial" w:eastAsia="Arial" w:hAnsi="Arial"/>
          <w:sz w:val="19"/>
          <w:szCs w:val="19"/>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 or down, each quarter, based upon our distributors’ individual operations. Accordingly,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amount of deferred cost of goods sold is included in consigned inventory.</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The details of deferred revenue and associated cost of goods sold and gross profit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6"/>
                <w:szCs w:val="16"/>
                <w:color w:val="auto"/>
              </w:rPr>
            </w:pPr>
          </w:p>
        </w:tc>
      </w:tr>
      <w:tr>
        <w:trPr>
          <w:trHeight w:val="201"/>
        </w:trPr>
        <w:tc>
          <w:tcPr>
            <w:tcW w:w="3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r>
      <w:tr>
        <w:trPr>
          <w:trHeight w:val="223"/>
        </w:trPr>
        <w:tc>
          <w:tcPr>
            <w:tcW w:w="3280" w:type="dxa"/>
            <w:vAlign w:val="bottom"/>
            <w:shd w:val="clear" w:color="auto" w:fill="A0C4DA"/>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A0C4DA"/>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A0C4DA"/>
          </w:tcPr>
          <w:p>
            <w:pPr>
              <w:jc w:val="right"/>
              <w:ind w:right="137"/>
              <w:spacing w:after="0"/>
              <w:rPr>
                <w:sz w:val="20"/>
                <w:szCs w:val="20"/>
                <w:color w:val="auto"/>
              </w:rPr>
            </w:pPr>
            <w:r>
              <w:rPr>
                <w:rFonts w:ascii="Arial" w:cs="Arial" w:eastAsia="Arial" w:hAnsi="Arial"/>
                <w:sz w:val="18"/>
                <w:szCs w:val="18"/>
                <w:color w:val="auto"/>
              </w:rPr>
              <w:t>3,404</w:t>
            </w:r>
          </w:p>
        </w:tc>
        <w:tc>
          <w:tcPr>
            <w:tcW w:w="620" w:type="dxa"/>
            <w:vAlign w:val="bottom"/>
            <w:shd w:val="clear" w:color="auto" w:fill="A0C4DA"/>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A0C4DA"/>
          </w:tcPr>
          <w:p>
            <w:pPr>
              <w:jc w:val="right"/>
              <w:ind w:right="254"/>
              <w:spacing w:after="0"/>
              <w:rPr>
                <w:sz w:val="20"/>
                <w:szCs w:val="20"/>
                <w:color w:val="auto"/>
              </w:rPr>
            </w:pPr>
            <w:r>
              <w:rPr>
                <w:rFonts w:ascii="Arial" w:cs="Arial" w:eastAsia="Arial" w:hAnsi="Arial"/>
                <w:sz w:val="18"/>
                <w:szCs w:val="18"/>
                <w:color w:val="auto"/>
                <w:w w:val="88"/>
              </w:rPr>
              <w:t>4,306</w:t>
            </w:r>
          </w:p>
        </w:tc>
      </w:tr>
      <w:tr>
        <w:trPr>
          <w:trHeight w:val="230"/>
        </w:trPr>
        <w:tc>
          <w:tcPr>
            <w:tcW w:w="3280" w:type="dxa"/>
            <w:vAlign w:val="bottom"/>
            <w:tcBorders>
              <w:bottom w:val="single" w:sz="8" w:color="A0C4DA"/>
            </w:tcBorders>
          </w:tcPr>
          <w:p>
            <w:pPr>
              <w:spacing w:after="0"/>
              <w:rPr>
                <w:sz w:val="20"/>
                <w:szCs w:val="20"/>
                <w:color w:val="auto"/>
              </w:rPr>
            </w:pPr>
            <w:r>
              <w:rPr>
                <w:rFonts w:ascii="Arial" w:cs="Arial" w:eastAsia="Arial" w:hAnsi="Arial"/>
                <w:sz w:val="18"/>
                <w:szCs w:val="18"/>
                <w:color w:val="auto"/>
              </w:rPr>
              <w:t>Deferred Cost of Goods Sold</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1,199</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8"/>
              </w:rPr>
              <w:t>1,742</w:t>
            </w:r>
          </w:p>
        </w:tc>
      </w:tr>
      <w:tr>
        <w:trPr>
          <w:trHeight w:val="223"/>
        </w:trPr>
        <w:tc>
          <w:tcPr>
            <w:tcW w:w="3280" w:type="dxa"/>
            <w:vAlign w:val="bottom"/>
            <w:tcBorders>
              <w:bottom w:val="single" w:sz="8" w:color="A0C4DA"/>
            </w:tcBorders>
            <w:shd w:val="clear" w:color="auto" w:fill="A0C4DA"/>
          </w:tcPr>
          <w:p>
            <w:pPr>
              <w:spacing w:after="0" w:line="182" w:lineRule="exact"/>
              <w:rPr>
                <w:sz w:val="20"/>
                <w:szCs w:val="20"/>
                <w:color w:val="auto"/>
              </w:rPr>
            </w:pPr>
            <w:r>
              <w:rPr>
                <w:rFonts w:ascii="Arial" w:cs="Arial" w:eastAsia="Arial" w:hAnsi="Arial"/>
                <w:sz w:val="18"/>
                <w:szCs w:val="18"/>
                <w:color w:val="auto"/>
              </w:rPr>
              <w:t>Deferred Gross Profit</w:t>
            </w:r>
          </w:p>
        </w:tc>
        <w:tc>
          <w:tcPr>
            <w:tcW w:w="460" w:type="dxa"/>
            <w:vAlign w:val="bottom"/>
            <w:tcBorders>
              <w:bottom w:val="single" w:sz="8" w:color="auto"/>
            </w:tcBorders>
            <w:shd w:val="clear" w:color="auto" w:fill="A0C4DA"/>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A0C4DA"/>
          </w:tcPr>
          <w:p>
            <w:pPr>
              <w:jc w:val="right"/>
              <w:ind w:right="137"/>
              <w:spacing w:after="0" w:line="182" w:lineRule="exact"/>
              <w:rPr>
                <w:sz w:val="20"/>
                <w:szCs w:val="20"/>
                <w:color w:val="auto"/>
              </w:rPr>
            </w:pPr>
            <w:r>
              <w:rPr>
                <w:rFonts w:ascii="Arial" w:cs="Arial" w:eastAsia="Arial" w:hAnsi="Arial"/>
                <w:sz w:val="18"/>
                <w:szCs w:val="18"/>
                <w:color w:val="auto"/>
              </w:rPr>
              <w:t>2,205</w:t>
            </w:r>
          </w:p>
        </w:tc>
        <w:tc>
          <w:tcPr>
            <w:tcW w:w="620" w:type="dxa"/>
            <w:vAlign w:val="bottom"/>
            <w:tcBorders>
              <w:bottom w:val="single" w:sz="8" w:color="auto"/>
            </w:tcBorders>
            <w:shd w:val="clear" w:color="auto" w:fill="A0C4DA"/>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A0C4DA"/>
          </w:tcPr>
          <w:p>
            <w:pPr>
              <w:jc w:val="right"/>
              <w:ind w:right="254"/>
              <w:spacing w:after="0" w:line="182" w:lineRule="exact"/>
              <w:rPr>
                <w:sz w:val="20"/>
                <w:szCs w:val="20"/>
                <w:color w:val="auto"/>
              </w:rPr>
            </w:pPr>
            <w:r>
              <w:rPr>
                <w:rFonts w:ascii="Arial" w:cs="Arial" w:eastAsia="Arial" w:hAnsi="Arial"/>
                <w:sz w:val="18"/>
                <w:szCs w:val="18"/>
                <w:color w:val="auto"/>
                <w:w w:val="88"/>
              </w:rPr>
              <w:t>2,564</w:t>
            </w:r>
          </w:p>
        </w:tc>
      </w:tr>
    </w:tbl>
    <w:p>
      <w:pPr>
        <w:spacing w:after="0" w:line="222" w:lineRule="exact"/>
        <w:rPr>
          <w:sz w:val="20"/>
          <w:szCs w:val="20"/>
          <w:color w:val="auto"/>
        </w:rPr>
      </w:pPr>
    </w:p>
    <w:p>
      <w:pPr>
        <w:ind w:right="1499"/>
        <w:spacing w:after="0"/>
        <w:rPr>
          <w:sz w:val="20"/>
          <w:szCs w:val="20"/>
          <w:color w:val="auto"/>
        </w:rPr>
      </w:pPr>
      <w:r>
        <w:rPr>
          <w:rFonts w:ascii="Arial" w:cs="Arial" w:eastAsia="Arial" w:hAnsi="Arial"/>
          <w:sz w:val="22"/>
          <w:szCs w:val="22"/>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213" w:lineRule="exact"/>
        <w:rPr>
          <w:sz w:val="20"/>
          <w:szCs w:val="20"/>
          <w:color w:val="auto"/>
        </w:rPr>
      </w:pPr>
    </w:p>
    <w:p>
      <w:pPr>
        <w:ind w:right="1319"/>
        <w:spacing w:after="0" w:line="235" w:lineRule="auto"/>
        <w:rPr>
          <w:sz w:val="20"/>
          <w:szCs w:val="20"/>
          <w:color w:val="auto"/>
        </w:rPr>
      </w:pPr>
      <w:r>
        <w:rPr>
          <w:rFonts w:ascii="Arial" w:cs="Arial" w:eastAsia="Arial" w:hAnsi="Arial"/>
          <w:sz w:val="22"/>
          <w:szCs w:val="22"/>
          <w:color w:val="auto"/>
        </w:rPr>
        <w:t>The Company provides, at its discretion, advance replacement units to end-users on defective units of certain products under warranty. Since the purpose of these units is not revenue generating, the Company tracks the units due from the end-user, valued at retail price, until the defective unit has been returned, but no receivable balance is maintained on the Company’s balance sheet. The retail value of in-transit advance replacement units was $267 and $847 as of December 31, 2011 and 2010, respectively.</w:t>
      </w:r>
    </w:p>
    <w:p>
      <w:pPr>
        <w:sectPr>
          <w:pgSz w:w="11900" w:h="16838" w:orient="portrait"/>
          <w:cols w:equalWidth="0" w:num="1">
            <w:col w:w="10219"/>
          </w:cols>
          <w:pgMar w:left="240" w:top="112" w:right="1440" w:bottom="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98" w:gutter="0" w:footer="0" w:header="0"/>
          <w:type w:val="continuous"/>
        </w:sectPr>
      </w:pPr>
    </w:p>
    <w:bookmarkStart w:id="70" w:name="page71"/>
    <w:bookmarkEnd w:id="70"/>
    <w:p>
      <w:pPr>
        <w:jc w:val="center"/>
        <w:ind w:left="280" w:right="168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1" w:lineRule="exact"/>
        <w:rPr>
          <w:sz w:val="20"/>
          <w:szCs w:val="20"/>
          <w:color w:val="auto"/>
        </w:rPr>
      </w:pPr>
    </w:p>
    <w:p>
      <w:pPr>
        <w:ind w:right="1559"/>
        <w:spacing w:after="0" w:line="251" w:lineRule="auto"/>
        <w:rPr>
          <w:sz w:val="20"/>
          <w:szCs w:val="20"/>
          <w:color w:val="auto"/>
        </w:rPr>
      </w:pPr>
      <w:r>
        <w:rPr>
          <w:rFonts w:ascii="Arial" w:cs="Arial" w:eastAsia="Arial" w:hAnsi="Arial"/>
          <w:sz w:val="22"/>
          <w:szCs w:val="22"/>
          <w:i w:val="1"/>
          <w:iCs w:val="1"/>
          <w:color w:val="auto"/>
        </w:rPr>
        <w:t xml:space="preserve">Sales and similar taxes - </w:t>
      </w:r>
      <w:r>
        <w:rPr>
          <w:rFonts w:ascii="Arial" w:cs="Arial" w:eastAsia="Arial" w:hAnsi="Arial"/>
          <w:sz w:val="22"/>
          <w:szCs w:val="22"/>
          <w:color w:val="auto"/>
        </w:rPr>
        <w:t>Taxes collected from customers and remitted to government authorities are</w:t>
      </w:r>
      <w:r>
        <w:rPr>
          <w:rFonts w:ascii="Arial" w:cs="Arial" w:eastAsia="Arial" w:hAnsi="Arial"/>
          <w:sz w:val="22"/>
          <w:szCs w:val="22"/>
          <w:i w:val="1"/>
          <w:iCs w:val="1"/>
          <w:color w:val="auto"/>
        </w:rPr>
        <w:t xml:space="preserve"> </w:t>
      </w:r>
      <w:r>
        <w:rPr>
          <w:rFonts w:ascii="Arial" w:cs="Arial" w:eastAsia="Arial" w:hAnsi="Arial"/>
          <w:sz w:val="22"/>
          <w:szCs w:val="22"/>
          <w:color w:val="auto"/>
        </w:rPr>
        <w:t>reported on a net basis and thus excluded from revenues.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Shipping and Handling Costs – </w:t>
      </w:r>
      <w:r>
        <w:rPr>
          <w:rFonts w:ascii="Arial" w:cs="Arial" w:eastAsia="Arial" w:hAnsi="Arial"/>
          <w:sz w:val="19"/>
          <w:szCs w:val="19"/>
          <w:color w:val="auto"/>
        </w:rPr>
        <w:t>Shipping and handling billed to customers is recorded as revenue.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Shipping and handling costs are included in cost of goods sold.</w:t>
      </w:r>
    </w:p>
    <w:p>
      <w:pPr>
        <w:spacing w:after="0" w:line="215" w:lineRule="exact"/>
        <w:rPr>
          <w:sz w:val="20"/>
          <w:szCs w:val="20"/>
          <w:color w:val="auto"/>
        </w:rPr>
      </w:pPr>
    </w:p>
    <w:p>
      <w:pPr>
        <w:ind w:right="1159"/>
        <w:spacing w:after="0" w:line="252" w:lineRule="auto"/>
        <w:rPr>
          <w:sz w:val="20"/>
          <w:szCs w:val="20"/>
          <w:color w:val="auto"/>
        </w:rPr>
      </w:pPr>
      <w:r>
        <w:rPr>
          <w:rFonts w:ascii="Arial" w:cs="Arial" w:eastAsia="Arial" w:hAnsi="Arial"/>
          <w:sz w:val="21"/>
          <w:szCs w:val="21"/>
          <w:i w:val="1"/>
          <w:iCs w:val="1"/>
          <w:color w:val="auto"/>
        </w:rPr>
        <w:t xml:space="preserve">Warranty Costs </w:t>
      </w:r>
      <w:r>
        <w:rPr>
          <w:rFonts w:ascii="Arial" w:cs="Arial" w:eastAsia="Arial" w:hAnsi="Arial"/>
          <w:sz w:val="21"/>
          <w:szCs w:val="21"/>
          <w:color w:val="auto"/>
        </w:rPr>
        <w:t>– The Company accrues for warranty costs based on estimated warranty return rates and</w:t>
      </w:r>
      <w:r>
        <w:rPr>
          <w:rFonts w:ascii="Arial" w:cs="Arial" w:eastAsia="Arial" w:hAnsi="Arial"/>
          <w:sz w:val="21"/>
          <w:szCs w:val="21"/>
          <w:i w:val="1"/>
          <w:iCs w:val="1"/>
          <w:color w:val="auto"/>
        </w:rPr>
        <w:t xml:space="preserve"> </w:t>
      </w:r>
      <w:r>
        <w:rPr>
          <w:rFonts w:ascii="Arial" w:cs="Arial" w:eastAsia="Arial" w:hAnsi="Arial"/>
          <w:sz w:val="21"/>
          <w:szCs w:val="21"/>
          <w:color w:val="auto"/>
        </w:rPr>
        <w:t>estimated costs to repair.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changes in the Company’s warranty accrual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3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2010</w:t>
            </w:r>
          </w:p>
        </w:tc>
      </w:tr>
      <w:tr>
        <w:trPr>
          <w:trHeight w:val="223"/>
        </w:trPr>
        <w:tc>
          <w:tcPr>
            <w:tcW w:w="3280" w:type="dxa"/>
            <w:vAlign w:val="bottom"/>
            <w:shd w:val="clear" w:color="auto" w:fill="A0C4DA"/>
          </w:tcPr>
          <w:p>
            <w:pPr>
              <w:spacing w:after="0"/>
              <w:rPr>
                <w:sz w:val="20"/>
                <w:szCs w:val="20"/>
                <w:color w:val="auto"/>
              </w:rPr>
            </w:pPr>
            <w:r>
              <w:rPr>
                <w:rFonts w:ascii="Arial" w:cs="Arial" w:eastAsia="Arial" w:hAnsi="Arial"/>
                <w:sz w:val="18"/>
                <w:szCs w:val="18"/>
                <w:color w:val="auto"/>
              </w:rPr>
              <w:t>Balance at the beginning of year</w:t>
            </w:r>
          </w:p>
        </w:tc>
        <w:tc>
          <w:tcPr>
            <w:tcW w:w="400" w:type="dxa"/>
            <w:vAlign w:val="bottom"/>
            <w:shd w:val="clear" w:color="auto" w:fill="A0C4DA"/>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A0C4DA"/>
          </w:tcPr>
          <w:p>
            <w:pPr>
              <w:ind w:left="420"/>
              <w:spacing w:after="0"/>
              <w:rPr>
                <w:sz w:val="20"/>
                <w:szCs w:val="20"/>
                <w:color w:val="auto"/>
              </w:rPr>
            </w:pPr>
            <w:r>
              <w:rPr>
                <w:rFonts w:ascii="Arial" w:cs="Arial" w:eastAsia="Arial" w:hAnsi="Arial"/>
                <w:sz w:val="18"/>
                <w:szCs w:val="18"/>
                <w:color w:val="auto"/>
              </w:rPr>
              <w:t>363</w:t>
            </w:r>
          </w:p>
        </w:tc>
        <w:tc>
          <w:tcPr>
            <w:tcW w:w="500" w:type="dxa"/>
            <w:vAlign w:val="bottom"/>
            <w:shd w:val="clear" w:color="auto" w:fill="A0C4DA"/>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A0C4DA"/>
          </w:tcPr>
          <w:p>
            <w:pPr>
              <w:jc w:val="center"/>
              <w:ind w:right="34"/>
              <w:spacing w:after="0"/>
              <w:rPr>
                <w:sz w:val="20"/>
                <w:szCs w:val="20"/>
                <w:color w:val="auto"/>
              </w:rPr>
            </w:pPr>
            <w:r>
              <w:rPr>
                <w:rFonts w:ascii="Arial" w:cs="Arial" w:eastAsia="Arial" w:hAnsi="Arial"/>
                <w:sz w:val="18"/>
                <w:szCs w:val="18"/>
                <w:color w:val="auto"/>
                <w:w w:val="86"/>
              </w:rPr>
              <w:t>133</w:t>
            </w: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40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439</w:t>
            </w:r>
          </w:p>
        </w:tc>
        <w:tc>
          <w:tcPr>
            <w:tcW w:w="500" w:type="dxa"/>
            <w:vAlign w:val="bottom"/>
          </w:tcPr>
          <w:p>
            <w:pPr>
              <w:spacing w:after="0"/>
              <w:rPr>
                <w:sz w:val="19"/>
                <w:szCs w:val="19"/>
                <w:color w:val="auto"/>
              </w:rPr>
            </w:pPr>
          </w:p>
        </w:tc>
        <w:tc>
          <w:tcPr>
            <w:tcW w:w="900" w:type="dxa"/>
            <w:vAlign w:val="bottom"/>
          </w:tcPr>
          <w:p>
            <w:pPr>
              <w:jc w:val="center"/>
              <w:ind w:right="34"/>
              <w:spacing w:after="0"/>
              <w:rPr>
                <w:sz w:val="20"/>
                <w:szCs w:val="20"/>
                <w:color w:val="auto"/>
              </w:rPr>
            </w:pPr>
            <w:r>
              <w:rPr>
                <w:rFonts w:ascii="Arial" w:cs="Arial" w:eastAsia="Arial" w:hAnsi="Arial"/>
                <w:sz w:val="18"/>
                <w:szCs w:val="18"/>
                <w:color w:val="auto"/>
                <w:w w:val="86"/>
              </w:rPr>
              <w:t>543</w:t>
            </w:r>
          </w:p>
        </w:tc>
      </w:tr>
      <w:tr>
        <w:trPr>
          <w:trHeight w:val="230"/>
        </w:trPr>
        <w:tc>
          <w:tcPr>
            <w:tcW w:w="3280" w:type="dxa"/>
            <w:vAlign w:val="bottom"/>
            <w:shd w:val="clear" w:color="auto" w:fill="A0C4DA"/>
          </w:tcPr>
          <w:p>
            <w:pPr>
              <w:ind w:left="180"/>
              <w:spacing w:after="0"/>
              <w:rPr>
                <w:sz w:val="20"/>
                <w:szCs w:val="20"/>
                <w:color w:val="auto"/>
              </w:rPr>
            </w:pPr>
            <w:r>
              <w:rPr>
                <w:rFonts w:ascii="Arial" w:cs="Arial" w:eastAsia="Arial" w:hAnsi="Arial"/>
                <w:sz w:val="18"/>
                <w:szCs w:val="18"/>
                <w:color w:val="auto"/>
              </w:rPr>
              <w:t>Usage</w:t>
            </w:r>
          </w:p>
        </w:tc>
        <w:tc>
          <w:tcPr>
            <w:tcW w:w="400" w:type="dxa"/>
            <w:vAlign w:val="bottom"/>
            <w:tcBorders>
              <w:bottom w:val="single" w:sz="8" w:color="auto"/>
            </w:tcBorders>
            <w:shd w:val="clear" w:color="auto" w:fill="A0C4DA"/>
          </w:tcPr>
          <w:p>
            <w:pPr>
              <w:spacing w:after="0"/>
              <w:rPr>
                <w:sz w:val="19"/>
                <w:szCs w:val="19"/>
                <w:color w:val="auto"/>
              </w:rPr>
            </w:pPr>
          </w:p>
        </w:tc>
        <w:tc>
          <w:tcPr>
            <w:tcW w:w="960" w:type="dxa"/>
            <w:vAlign w:val="bottom"/>
            <w:tcBorders>
              <w:bottom w:val="single" w:sz="8" w:color="auto"/>
            </w:tcBorders>
            <w:shd w:val="clear" w:color="auto" w:fill="A0C4DA"/>
          </w:tcPr>
          <w:p>
            <w:pPr>
              <w:ind w:left="360"/>
              <w:spacing w:after="0"/>
              <w:rPr>
                <w:sz w:val="20"/>
                <w:szCs w:val="20"/>
                <w:color w:val="auto"/>
              </w:rPr>
            </w:pPr>
            <w:r>
              <w:rPr>
                <w:rFonts w:ascii="Arial" w:cs="Arial" w:eastAsia="Arial" w:hAnsi="Arial"/>
                <w:sz w:val="18"/>
                <w:szCs w:val="18"/>
                <w:color w:val="auto"/>
              </w:rPr>
              <w:t>(335)</w:t>
            </w:r>
          </w:p>
        </w:tc>
        <w:tc>
          <w:tcPr>
            <w:tcW w:w="500" w:type="dxa"/>
            <w:vAlign w:val="bottom"/>
            <w:tcBorders>
              <w:bottom w:val="single" w:sz="8" w:color="auto"/>
            </w:tcBorders>
            <w:shd w:val="clear" w:color="auto" w:fill="A0C4DA"/>
          </w:tcPr>
          <w:p>
            <w:pPr>
              <w:spacing w:after="0"/>
              <w:rPr>
                <w:sz w:val="19"/>
                <w:szCs w:val="19"/>
                <w:color w:val="auto"/>
              </w:rPr>
            </w:pPr>
          </w:p>
        </w:tc>
        <w:tc>
          <w:tcPr>
            <w:tcW w:w="900" w:type="dxa"/>
            <w:vAlign w:val="bottom"/>
            <w:tcBorders>
              <w:bottom w:val="single" w:sz="8" w:color="auto"/>
            </w:tcBorders>
            <w:shd w:val="clear" w:color="auto" w:fill="A0C4DA"/>
          </w:tcPr>
          <w:p>
            <w:pPr>
              <w:jc w:val="right"/>
              <w:ind w:right="254"/>
              <w:spacing w:after="0"/>
              <w:rPr>
                <w:sz w:val="20"/>
                <w:szCs w:val="20"/>
                <w:color w:val="auto"/>
              </w:rPr>
            </w:pPr>
            <w:r>
              <w:rPr>
                <w:rFonts w:ascii="Arial" w:cs="Arial" w:eastAsia="Arial" w:hAnsi="Arial"/>
                <w:sz w:val="18"/>
                <w:szCs w:val="18"/>
                <w:color w:val="auto"/>
              </w:rPr>
              <w:t>(313)</w:t>
            </w:r>
          </w:p>
        </w:tc>
      </w:tr>
      <w:tr>
        <w:trPr>
          <w:trHeight w:val="183"/>
        </w:trPr>
        <w:tc>
          <w:tcPr>
            <w:tcW w:w="3280" w:type="dxa"/>
            <w:vAlign w:val="bottom"/>
          </w:tcPr>
          <w:p>
            <w:pPr>
              <w:spacing w:after="0" w:line="182" w:lineRule="exact"/>
              <w:rPr>
                <w:sz w:val="20"/>
                <w:szCs w:val="20"/>
                <w:color w:val="auto"/>
              </w:rPr>
            </w:pPr>
            <w:r>
              <w:rPr>
                <w:rFonts w:ascii="Arial" w:cs="Arial" w:eastAsia="Arial" w:hAnsi="Arial"/>
                <w:sz w:val="18"/>
                <w:szCs w:val="18"/>
                <w:color w:val="auto"/>
              </w:rPr>
              <w:t>Balance at end of year</w:t>
            </w:r>
          </w:p>
        </w:tc>
        <w:tc>
          <w:tcPr>
            <w:tcW w:w="4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8"/>
                <w:szCs w:val="18"/>
                <w:color w:val="auto"/>
              </w:rPr>
              <w:t>467</w:t>
            </w:r>
          </w:p>
        </w:tc>
        <w:tc>
          <w:tcPr>
            <w:tcW w:w="5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center"/>
              <w:ind w:right="34"/>
              <w:spacing w:after="0" w:line="182" w:lineRule="exact"/>
              <w:rPr>
                <w:sz w:val="20"/>
                <w:szCs w:val="20"/>
                <w:color w:val="auto"/>
              </w:rPr>
            </w:pPr>
            <w:r>
              <w:rPr>
                <w:rFonts w:ascii="Arial" w:cs="Arial" w:eastAsia="Arial" w:hAnsi="Arial"/>
                <w:sz w:val="18"/>
                <w:szCs w:val="18"/>
                <w:color w:val="auto"/>
                <w:w w:val="86"/>
              </w:rPr>
              <w:t>363</w:t>
            </w:r>
          </w:p>
        </w:tc>
      </w:tr>
      <w:tr>
        <w:trPr>
          <w:trHeight w:val="20"/>
        </w:trPr>
        <w:tc>
          <w:tcPr>
            <w:tcW w:w="3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right="1519"/>
        <w:spacing w:after="0" w:line="238" w:lineRule="auto"/>
        <w:rPr>
          <w:sz w:val="20"/>
          <w:szCs w:val="20"/>
          <w:color w:val="auto"/>
        </w:rPr>
      </w:pPr>
      <w:r>
        <w:rPr>
          <w:rFonts w:ascii="Arial" w:cs="Arial" w:eastAsia="Arial" w:hAnsi="Arial"/>
          <w:sz w:val="22"/>
          <w:szCs w:val="22"/>
          <w:i w:val="1"/>
          <w:iCs w:val="1"/>
          <w:color w:val="auto"/>
        </w:rPr>
        <w:t xml:space="preserve">Advertising </w:t>
      </w:r>
      <w:r>
        <w:rPr>
          <w:rFonts w:ascii="Arial" w:cs="Arial" w:eastAsia="Arial" w:hAnsi="Arial"/>
          <w:sz w:val="22"/>
          <w:szCs w:val="22"/>
          <w:color w:val="auto"/>
        </w:rPr>
        <w:t>– The Company expenses advertising costs as incurred. Advertising expenses consist of</w:t>
      </w:r>
      <w:r>
        <w:rPr>
          <w:rFonts w:ascii="Arial" w:cs="Arial" w:eastAsia="Arial" w:hAnsi="Arial"/>
          <w:sz w:val="22"/>
          <w:szCs w:val="22"/>
          <w:i w:val="1"/>
          <w:iCs w:val="1"/>
          <w:color w:val="auto"/>
        </w:rPr>
        <w:t xml:space="preserve"> </w:t>
      </w:r>
      <w:r>
        <w:rPr>
          <w:rFonts w:ascii="Arial" w:cs="Arial" w:eastAsia="Arial" w:hAnsi="Arial"/>
          <w:sz w:val="22"/>
          <w:szCs w:val="22"/>
          <w:color w:val="auto"/>
        </w:rPr>
        <w:t>trade shows, magazine advertisements, and other forms of media. Advertising expenses for the years ended December 31, 2011 and 2010, totaled $482 and $750, respectively, and are included under the caption “Sales and Marketing”.</w:t>
      </w:r>
    </w:p>
    <w:p>
      <w:pPr>
        <w:spacing w:after="0" w:line="212" w:lineRule="exact"/>
        <w:rPr>
          <w:sz w:val="20"/>
          <w:szCs w:val="20"/>
          <w:color w:val="auto"/>
        </w:rPr>
      </w:pPr>
    </w:p>
    <w:p>
      <w:pPr>
        <w:ind w:right="1259"/>
        <w:spacing w:after="0" w:line="251" w:lineRule="auto"/>
        <w:rPr>
          <w:sz w:val="20"/>
          <w:szCs w:val="20"/>
          <w:color w:val="auto"/>
        </w:rPr>
      </w:pPr>
      <w:r>
        <w:rPr>
          <w:rFonts w:ascii="Arial" w:cs="Arial" w:eastAsia="Arial" w:hAnsi="Arial"/>
          <w:sz w:val="22"/>
          <w:szCs w:val="22"/>
          <w:i w:val="1"/>
          <w:iCs w:val="1"/>
          <w:color w:val="auto"/>
        </w:rPr>
        <w:t xml:space="preserve">Research and Product Development Costs </w:t>
      </w:r>
      <w:r>
        <w:rPr>
          <w:rFonts w:ascii="Arial" w:cs="Arial" w:eastAsia="Arial" w:hAnsi="Arial"/>
          <w:sz w:val="22"/>
          <w:szCs w:val="22"/>
          <w:color w:val="auto"/>
        </w:rPr>
        <w:t>– The Company expenses research and product development</w:t>
      </w:r>
      <w:r>
        <w:rPr>
          <w:rFonts w:ascii="Arial" w:cs="Arial" w:eastAsia="Arial" w:hAnsi="Arial"/>
          <w:sz w:val="22"/>
          <w:szCs w:val="22"/>
          <w:i w:val="1"/>
          <w:iCs w:val="1"/>
          <w:color w:val="auto"/>
        </w:rPr>
        <w:t xml:space="preserve"> </w:t>
      </w:r>
      <w:r>
        <w:rPr>
          <w:rFonts w:ascii="Arial" w:cs="Arial" w:eastAsia="Arial" w:hAnsi="Arial"/>
          <w:sz w:val="22"/>
          <w:szCs w:val="22"/>
          <w:color w:val="auto"/>
        </w:rPr>
        <w:t>costs as incurred.</w:t>
      </w:r>
    </w:p>
    <w:p>
      <w:pPr>
        <w:spacing w:after="0" w:line="200" w:lineRule="exact"/>
        <w:rPr>
          <w:sz w:val="20"/>
          <w:szCs w:val="20"/>
          <w:color w:val="auto"/>
        </w:rPr>
      </w:pPr>
    </w:p>
    <w:p>
      <w:pPr>
        <w:ind w:right="1159"/>
        <w:spacing w:after="0" w:line="271"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uses the asset and liability method of accounting for income taxes.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asset and liability method, deferred tax assets 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As of December 31, 2011, the Company had a valuation allowance of $1,066 against capital loss carryovers, and state research and development credits.</w:t>
      </w:r>
    </w:p>
    <w:p>
      <w:pPr>
        <w:spacing w:after="0" w:line="189" w:lineRule="exact"/>
        <w:rPr>
          <w:sz w:val="20"/>
          <w:szCs w:val="20"/>
          <w:color w:val="auto"/>
        </w:rPr>
      </w:pPr>
    </w:p>
    <w:p>
      <w:pPr>
        <w:ind w:right="1179"/>
        <w:spacing w:after="0" w:line="238" w:lineRule="auto"/>
        <w:rPr>
          <w:sz w:val="20"/>
          <w:szCs w:val="20"/>
          <w:color w:val="auto"/>
        </w:rPr>
      </w:pPr>
      <w:r>
        <w:rPr>
          <w:rFonts w:ascii="Arial" w:cs="Arial" w:eastAsia="Arial" w:hAnsi="Arial"/>
          <w:sz w:val="22"/>
          <w:szCs w:val="22"/>
          <w:color w:val="auto"/>
        </w:rPr>
        <w:t xml:space="preserve">The Company follows the provisions contained in ASC Topic 740, </w:t>
      </w:r>
      <w:r>
        <w:rPr>
          <w:rFonts w:ascii="Arial" w:cs="Arial" w:eastAsia="Arial" w:hAnsi="Arial"/>
          <w:sz w:val="22"/>
          <w:szCs w:val="22"/>
          <w:i w:val="1"/>
          <w:iCs w:val="1"/>
          <w:color w:val="auto"/>
        </w:rPr>
        <w:t>Income Taxes.</w:t>
      </w:r>
      <w:r>
        <w:rPr>
          <w:rFonts w:ascii="Arial" w:cs="Arial" w:eastAsia="Arial" w:hAnsi="Arial"/>
          <w:sz w:val="22"/>
          <w:szCs w:val="22"/>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212" w:lineRule="exact"/>
        <w:rPr>
          <w:sz w:val="20"/>
          <w:szCs w:val="20"/>
          <w:color w:val="auto"/>
        </w:rPr>
      </w:pPr>
    </w:p>
    <w:p>
      <w:pPr>
        <w:ind w:right="1159"/>
        <w:spacing w:after="0" w:line="236" w:lineRule="auto"/>
        <w:rPr>
          <w:sz w:val="20"/>
          <w:szCs w:val="20"/>
          <w:color w:val="auto"/>
        </w:rPr>
      </w:pPr>
      <w:r>
        <w:rPr>
          <w:rFonts w:ascii="Arial" w:cs="Arial" w:eastAsia="Arial" w:hAnsi="Arial"/>
          <w:sz w:val="22"/>
          <w:szCs w:val="22"/>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ectPr>
          <w:pgSz w:w="11900" w:h="16838" w:orient="portrait"/>
          <w:cols w:equalWidth="0" w:num="1">
            <w:col w:w="10219"/>
          </w:cols>
          <w:pgMar w:left="240" w:top="112" w:right="1440" w:bottom="9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365F91"/>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76326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920" w:gutter="0" w:footer="0" w:header="0"/>
          <w:type w:val="continuous"/>
        </w:sectPr>
      </w:pPr>
    </w:p>
    <w:bookmarkStart w:id="71" w:name="page72"/>
    <w:bookmarkEnd w:id="71"/>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ind w:right="1399"/>
        <w:spacing w:after="0" w:line="251" w:lineRule="auto"/>
        <w:rPr>
          <w:sz w:val="20"/>
          <w:szCs w:val="20"/>
          <w:color w:val="auto"/>
        </w:rPr>
      </w:pPr>
      <w:r>
        <w:rPr>
          <w:rFonts w:ascii="Arial" w:cs="Arial" w:eastAsia="Arial" w:hAnsi="Arial"/>
          <w:sz w:val="22"/>
          <w:szCs w:val="22"/>
          <w:i w:val="1"/>
          <w:iCs w:val="1"/>
          <w:color w:val="auto"/>
        </w:rPr>
        <w:t xml:space="preserve">Earnings Per Share </w:t>
      </w:r>
      <w:r>
        <w:rPr>
          <w:rFonts w:ascii="Arial" w:cs="Arial" w:eastAsia="Arial" w:hAnsi="Arial"/>
          <w:sz w:val="22"/>
          <w:szCs w:val="22"/>
          <w:color w:val="auto"/>
        </w:rPr>
        <w:t>– The following table sets forth the computation of basic and diluted earnings per</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4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2010</w:t>
            </w:r>
          </w:p>
        </w:tc>
      </w:tr>
      <w:tr>
        <w:trPr>
          <w:trHeight w:val="223"/>
        </w:trPr>
        <w:tc>
          <w:tcPr>
            <w:tcW w:w="4900" w:type="dxa"/>
            <w:vAlign w:val="bottom"/>
            <w:shd w:val="clear" w:color="auto" w:fill="A0C4DA"/>
          </w:tcPr>
          <w:p>
            <w:pPr>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20" w:type="dxa"/>
            <w:vAlign w:val="bottom"/>
            <w:shd w:val="clear" w:color="auto" w:fill="A0C4DA"/>
          </w:tcPr>
          <w:p>
            <w:pPr>
              <w:spacing w:after="0"/>
              <w:rPr>
                <w:sz w:val="19"/>
                <w:szCs w:val="19"/>
                <w:color w:val="auto"/>
              </w:rPr>
            </w:pPr>
          </w:p>
        </w:tc>
      </w:tr>
      <w:tr>
        <w:trPr>
          <w:trHeight w:val="230"/>
        </w:trPr>
        <w:tc>
          <w:tcPr>
            <w:tcW w:w="49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6,929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60"/>
              <w:spacing w:after="0"/>
              <w:rPr>
                <w:sz w:val="20"/>
                <w:szCs w:val="20"/>
                <w:color w:val="auto"/>
              </w:rPr>
            </w:pPr>
            <w:r>
              <w:rPr>
                <w:rFonts w:ascii="Arial" w:cs="Arial" w:eastAsia="Arial" w:hAnsi="Arial"/>
                <w:sz w:val="16"/>
                <w:szCs w:val="16"/>
                <w:color w:val="auto"/>
              </w:rPr>
              <w:t>2,374</w:t>
            </w:r>
          </w:p>
        </w:tc>
      </w:tr>
      <w:tr>
        <w:trPr>
          <w:trHeight w:val="230"/>
        </w:trPr>
        <w:tc>
          <w:tcPr>
            <w:tcW w:w="4900" w:type="dxa"/>
            <w:vAlign w:val="bottom"/>
            <w:shd w:val="clear" w:color="auto" w:fill="A0C4DA"/>
          </w:tcPr>
          <w:p>
            <w:pPr>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20" w:type="dxa"/>
            <w:vAlign w:val="bottom"/>
            <w:shd w:val="clear" w:color="auto" w:fill="A0C4DA"/>
          </w:tcPr>
          <w:p>
            <w:pPr>
              <w:spacing w:after="0"/>
              <w:rPr>
                <w:sz w:val="19"/>
                <w:szCs w:val="19"/>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6"/>
                <w:szCs w:val="16"/>
                <w:color w:val="auto"/>
              </w:rPr>
              <w:t>Basic weighted average shares</w:t>
            </w:r>
          </w:p>
        </w:tc>
        <w:tc>
          <w:tcPr>
            <w:tcW w:w="320" w:type="dxa"/>
            <w:vAlign w:val="bottom"/>
          </w:tcPr>
          <w:p>
            <w:pPr>
              <w:spacing w:after="0"/>
              <w:rPr>
                <w:sz w:val="19"/>
                <w:szCs w:val="19"/>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9,027,934</w:t>
            </w:r>
          </w:p>
        </w:tc>
        <w:tc>
          <w:tcPr>
            <w:tcW w:w="340" w:type="dxa"/>
            <w:vAlign w:val="bottom"/>
          </w:tcPr>
          <w:p>
            <w:pPr>
              <w:spacing w:after="0"/>
              <w:rPr>
                <w:sz w:val="19"/>
                <w:szCs w:val="19"/>
                <w:color w:val="auto"/>
              </w:rPr>
            </w:pPr>
          </w:p>
        </w:tc>
        <w:tc>
          <w:tcPr>
            <w:tcW w:w="1020" w:type="dxa"/>
            <w:vAlign w:val="bottom"/>
          </w:tcPr>
          <w:p>
            <w:pPr>
              <w:jc w:val="right"/>
              <w:ind w:right="260"/>
              <w:spacing w:after="0"/>
              <w:rPr>
                <w:sz w:val="20"/>
                <w:szCs w:val="20"/>
                <w:color w:val="auto"/>
              </w:rPr>
            </w:pPr>
            <w:r>
              <w:rPr>
                <w:rFonts w:ascii="Arial" w:cs="Arial" w:eastAsia="Arial" w:hAnsi="Arial"/>
                <w:sz w:val="16"/>
                <w:szCs w:val="16"/>
                <w:color w:val="auto"/>
                <w:w w:val="92"/>
              </w:rPr>
              <w:t>8,929,305</w:t>
            </w:r>
          </w:p>
        </w:tc>
      </w:tr>
      <w:tr>
        <w:trPr>
          <w:trHeight w:val="230"/>
        </w:trPr>
        <w:tc>
          <w:tcPr>
            <w:tcW w:w="4900" w:type="dxa"/>
            <w:vAlign w:val="bottom"/>
            <w:shd w:val="clear" w:color="auto" w:fill="A0C4DA"/>
          </w:tcPr>
          <w:p>
            <w:pPr>
              <w:ind w:left="180"/>
              <w:spacing w:after="0"/>
              <w:rPr>
                <w:sz w:val="20"/>
                <w:szCs w:val="20"/>
                <w:color w:val="auto"/>
              </w:rPr>
            </w:pPr>
            <w:r>
              <w:rPr>
                <w:rFonts w:ascii="Arial" w:cs="Arial" w:eastAsia="Arial" w:hAnsi="Arial"/>
                <w:sz w:val="16"/>
                <w:szCs w:val="16"/>
                <w:color w:val="auto"/>
              </w:rPr>
              <w:t>Dilutive common stock equivalents using treasury stock method</w:t>
            </w:r>
          </w:p>
        </w:tc>
        <w:tc>
          <w:tcPr>
            <w:tcW w:w="320" w:type="dxa"/>
            <w:vAlign w:val="bottom"/>
            <w:tcBorders>
              <w:bottom w:val="single" w:sz="8" w:color="auto"/>
            </w:tcBorders>
            <w:shd w:val="clear" w:color="auto" w:fill="A0C4DA"/>
          </w:tcPr>
          <w:p>
            <w:pPr>
              <w:spacing w:after="0"/>
              <w:rPr>
                <w:sz w:val="19"/>
                <w:szCs w:val="19"/>
                <w:color w:val="auto"/>
              </w:rPr>
            </w:pPr>
          </w:p>
        </w:tc>
        <w:tc>
          <w:tcPr>
            <w:tcW w:w="1000" w:type="dxa"/>
            <w:vAlign w:val="bottom"/>
            <w:tcBorders>
              <w:bottom w:val="single" w:sz="8" w:color="auto"/>
            </w:tcBorders>
            <w:shd w:val="clear" w:color="auto" w:fill="A0C4DA"/>
          </w:tcPr>
          <w:p>
            <w:pPr>
              <w:jc w:val="right"/>
              <w:ind w:right="141"/>
              <w:spacing w:after="0"/>
              <w:rPr>
                <w:sz w:val="20"/>
                <w:szCs w:val="20"/>
                <w:color w:val="auto"/>
              </w:rPr>
            </w:pPr>
            <w:r>
              <w:rPr>
                <w:rFonts w:ascii="Arial" w:cs="Arial" w:eastAsia="Arial" w:hAnsi="Arial"/>
                <w:sz w:val="16"/>
                <w:szCs w:val="16"/>
                <w:color w:val="auto"/>
              </w:rPr>
              <w:t>243,877</w:t>
            </w:r>
          </w:p>
        </w:tc>
        <w:tc>
          <w:tcPr>
            <w:tcW w:w="340" w:type="dxa"/>
            <w:vAlign w:val="bottom"/>
            <w:tcBorders>
              <w:bottom w:val="single" w:sz="8" w:color="auto"/>
            </w:tcBorders>
            <w:shd w:val="clear" w:color="auto" w:fill="A0C4DA"/>
          </w:tcPr>
          <w:p>
            <w:pPr>
              <w:spacing w:after="0"/>
              <w:rPr>
                <w:sz w:val="19"/>
                <w:szCs w:val="19"/>
                <w:color w:val="auto"/>
              </w:rPr>
            </w:pPr>
          </w:p>
        </w:tc>
        <w:tc>
          <w:tcPr>
            <w:tcW w:w="1020" w:type="dxa"/>
            <w:vAlign w:val="bottom"/>
            <w:tcBorders>
              <w:bottom w:val="single" w:sz="8" w:color="auto"/>
            </w:tcBorders>
            <w:shd w:val="clear" w:color="auto" w:fill="A0C4DA"/>
          </w:tcPr>
          <w:p>
            <w:pPr>
              <w:jc w:val="right"/>
              <w:ind w:right="260"/>
              <w:spacing w:after="0"/>
              <w:rPr>
                <w:sz w:val="20"/>
                <w:szCs w:val="20"/>
                <w:color w:val="auto"/>
              </w:rPr>
            </w:pPr>
            <w:r>
              <w:rPr>
                <w:rFonts w:ascii="Arial" w:cs="Arial" w:eastAsia="Arial" w:hAnsi="Arial"/>
                <w:sz w:val="16"/>
                <w:szCs w:val="16"/>
                <w:color w:val="auto"/>
              </w:rPr>
              <w:t>13,624</w:t>
            </w:r>
          </w:p>
        </w:tc>
      </w:tr>
      <w:tr>
        <w:trPr>
          <w:trHeight w:val="183"/>
        </w:trPr>
        <w:tc>
          <w:tcPr>
            <w:tcW w:w="4900" w:type="dxa"/>
            <w:vAlign w:val="bottom"/>
          </w:tcPr>
          <w:p>
            <w:pPr>
              <w:ind w:left="340"/>
              <w:spacing w:after="0" w:line="183" w:lineRule="exact"/>
              <w:rPr>
                <w:sz w:val="20"/>
                <w:szCs w:val="20"/>
                <w:color w:val="auto"/>
              </w:rPr>
            </w:pPr>
            <w:r>
              <w:rPr>
                <w:rFonts w:ascii="Arial" w:cs="Arial" w:eastAsia="Arial" w:hAnsi="Arial"/>
                <w:sz w:val="16"/>
                <w:szCs w:val="16"/>
                <w:color w:val="auto"/>
              </w:rPr>
              <w:t>Diluted weighted average shares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9,271,811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0"/>
              <w:spacing w:after="0" w:line="183" w:lineRule="exact"/>
              <w:rPr>
                <w:sz w:val="20"/>
                <w:szCs w:val="20"/>
                <w:color w:val="auto"/>
              </w:rPr>
            </w:pPr>
            <w:r>
              <w:rPr>
                <w:rFonts w:ascii="Arial" w:cs="Arial" w:eastAsia="Arial" w:hAnsi="Arial"/>
                <w:sz w:val="16"/>
                <w:szCs w:val="16"/>
                <w:color w:val="auto"/>
                <w:w w:val="92"/>
              </w:rPr>
              <w:t>8,942,929</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4900" w:type="dxa"/>
            <w:vAlign w:val="bottom"/>
            <w:shd w:val="clear" w:color="auto" w:fill="A0C4DA"/>
          </w:tcPr>
          <w:p>
            <w:pPr>
              <w:spacing w:after="0"/>
              <w:rPr>
                <w:sz w:val="19"/>
                <w:szCs w:val="19"/>
                <w:color w:val="auto"/>
              </w:rPr>
            </w:pPr>
          </w:p>
        </w:tc>
        <w:tc>
          <w:tcPr>
            <w:tcW w:w="320" w:type="dxa"/>
            <w:vAlign w:val="bottom"/>
            <w:shd w:val="clear" w:color="auto" w:fill="A0C4DA"/>
          </w:tcPr>
          <w:p>
            <w:pPr>
              <w:spacing w:after="0"/>
              <w:rPr>
                <w:sz w:val="19"/>
                <w:szCs w:val="19"/>
                <w:color w:val="auto"/>
              </w:rPr>
            </w:pPr>
          </w:p>
        </w:tc>
        <w:tc>
          <w:tcPr>
            <w:tcW w:w="1000" w:type="dxa"/>
            <w:vAlign w:val="bottom"/>
            <w:shd w:val="clear" w:color="auto" w:fill="A0C4DA"/>
          </w:tcPr>
          <w:p>
            <w:pPr>
              <w:spacing w:after="0"/>
              <w:rPr>
                <w:sz w:val="19"/>
                <w:szCs w:val="19"/>
                <w:color w:val="auto"/>
              </w:rPr>
            </w:pPr>
          </w:p>
        </w:tc>
        <w:tc>
          <w:tcPr>
            <w:tcW w:w="340" w:type="dxa"/>
            <w:vAlign w:val="bottom"/>
            <w:shd w:val="clear" w:color="auto" w:fill="A0C4DA"/>
          </w:tcPr>
          <w:p>
            <w:pPr>
              <w:spacing w:after="0"/>
              <w:rPr>
                <w:sz w:val="19"/>
                <w:szCs w:val="19"/>
                <w:color w:val="auto"/>
              </w:rPr>
            </w:pPr>
          </w:p>
        </w:tc>
        <w:tc>
          <w:tcPr>
            <w:tcW w:w="1020" w:type="dxa"/>
            <w:vAlign w:val="bottom"/>
            <w:shd w:val="clear" w:color="auto" w:fill="A0C4DA"/>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0.77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60"/>
              <w:spacing w:after="0"/>
              <w:rPr>
                <w:sz w:val="20"/>
                <w:szCs w:val="20"/>
                <w:color w:val="auto"/>
              </w:rPr>
            </w:pPr>
            <w:r>
              <w:rPr>
                <w:rFonts w:ascii="Arial" w:cs="Arial" w:eastAsia="Arial" w:hAnsi="Arial"/>
                <w:sz w:val="16"/>
                <w:szCs w:val="16"/>
                <w:color w:val="auto"/>
              </w:rPr>
              <w:t>0.27</w:t>
            </w:r>
          </w:p>
        </w:tc>
      </w:tr>
      <w:tr>
        <w:trPr>
          <w:trHeight w:val="230"/>
        </w:trPr>
        <w:tc>
          <w:tcPr>
            <w:tcW w:w="4900" w:type="dxa"/>
            <w:vAlign w:val="bottom"/>
            <w:shd w:val="clear" w:color="auto" w:fill="A0C4DA"/>
          </w:tcPr>
          <w:p>
            <w:pPr>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shd w:val="clear" w:color="auto" w:fill="A0C4DA"/>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A0C4DA"/>
          </w:tcPr>
          <w:p>
            <w:pPr>
              <w:jc w:val="right"/>
              <w:ind w:right="141"/>
              <w:spacing w:after="0"/>
              <w:rPr>
                <w:sz w:val="20"/>
                <w:szCs w:val="20"/>
                <w:color w:val="auto"/>
              </w:rPr>
            </w:pPr>
            <w:r>
              <w:rPr>
                <w:rFonts w:ascii="Arial" w:cs="Arial" w:eastAsia="Arial" w:hAnsi="Arial"/>
                <w:sz w:val="16"/>
                <w:szCs w:val="16"/>
                <w:color w:val="auto"/>
              </w:rPr>
              <w:t>0.75</w:t>
            </w:r>
          </w:p>
        </w:tc>
        <w:tc>
          <w:tcPr>
            <w:tcW w:w="340" w:type="dxa"/>
            <w:vAlign w:val="bottom"/>
            <w:shd w:val="clear" w:color="auto" w:fill="A0C4DA"/>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A0C4DA"/>
          </w:tcPr>
          <w:p>
            <w:pPr>
              <w:jc w:val="right"/>
              <w:ind w:right="260"/>
              <w:spacing w:after="0"/>
              <w:rPr>
                <w:sz w:val="20"/>
                <w:szCs w:val="20"/>
                <w:color w:val="auto"/>
              </w:rPr>
            </w:pPr>
            <w:r>
              <w:rPr>
                <w:rFonts w:ascii="Arial" w:cs="Arial" w:eastAsia="Arial" w:hAnsi="Arial"/>
                <w:sz w:val="16"/>
                <w:szCs w:val="16"/>
                <w:color w:val="auto"/>
              </w:rPr>
              <w:t>0.27</w:t>
            </w:r>
          </w:p>
        </w:tc>
      </w:tr>
    </w:tbl>
    <w:p>
      <w:pPr>
        <w:spacing w:after="0" w:line="222" w:lineRule="exact"/>
        <w:rPr>
          <w:sz w:val="20"/>
          <w:szCs w:val="20"/>
          <w:color w:val="auto"/>
        </w:rPr>
      </w:pPr>
    </w:p>
    <w:p>
      <w:pPr>
        <w:ind w:right="1379"/>
        <w:spacing w:after="0" w:line="297" w:lineRule="auto"/>
        <w:rPr>
          <w:sz w:val="20"/>
          <w:szCs w:val="20"/>
          <w:color w:val="auto"/>
        </w:rPr>
      </w:pPr>
      <w:r>
        <w:rPr>
          <w:rFonts w:ascii="Arial" w:cs="Arial" w:eastAsia="Arial" w:hAnsi="Arial"/>
          <w:sz w:val="19"/>
          <w:szCs w:val="19"/>
          <w:color w:val="auto"/>
        </w:rPr>
        <w:t>Options to purchase a weighted-average of 893,343 and 1,233,655 shares of common stock were outstanding during the year ended December 31, 2011 and 2010 respectively, but were not included in the computation of diluted earnings per share as the effect would be anti-dilutive.</w:t>
      </w:r>
    </w:p>
    <w:p>
      <w:pPr>
        <w:spacing w:after="0" w:line="161" w:lineRule="exact"/>
        <w:rPr>
          <w:sz w:val="20"/>
          <w:szCs w:val="20"/>
          <w:color w:val="auto"/>
        </w:rPr>
      </w:pPr>
    </w:p>
    <w:p>
      <w:pPr>
        <w:ind w:right="1319"/>
        <w:spacing w:after="0" w:line="247" w:lineRule="auto"/>
        <w:rPr>
          <w:sz w:val="20"/>
          <w:szCs w:val="20"/>
          <w:color w:val="auto"/>
        </w:rPr>
      </w:pPr>
      <w:r>
        <w:rPr>
          <w:rFonts w:ascii="Arial" w:cs="Arial" w:eastAsia="Arial" w:hAnsi="Arial"/>
          <w:sz w:val="21"/>
          <w:szCs w:val="21"/>
          <w:i w:val="1"/>
          <w:iCs w:val="1"/>
          <w:color w:val="auto"/>
        </w:rPr>
        <w:t xml:space="preserve">Share-Based Payment </w:t>
      </w:r>
      <w:r>
        <w:rPr>
          <w:rFonts w:ascii="Arial" w:cs="Arial" w:eastAsia="Arial" w:hAnsi="Arial"/>
          <w:sz w:val="21"/>
          <w:szCs w:val="21"/>
          <w:color w:val="auto"/>
        </w:rPr>
        <w:t>– The Company applies FASB ASC Topic 718,</w:t>
      </w:r>
      <w:r>
        <w:rPr>
          <w:rFonts w:ascii="Arial" w:cs="Arial" w:eastAsia="Arial" w:hAnsi="Arial"/>
          <w:sz w:val="21"/>
          <w:szCs w:val="21"/>
          <w:i w:val="1"/>
          <w:iCs w:val="1"/>
          <w:color w:val="auto"/>
        </w:rPr>
        <w:t xml:space="preserve"> Compensation – Stock Compensation</w:t>
      </w:r>
      <w:r>
        <w:rPr>
          <w:rFonts w:ascii="Arial" w:cs="Arial" w:eastAsia="Arial" w:hAnsi="Arial"/>
          <w:sz w:val="21"/>
          <w:szCs w:val="21"/>
          <w:color w:val="auto"/>
        </w:rPr>
        <w:t>. ASC Topic 718 establishes standards for the accounting of transactions in which an</w:t>
      </w:r>
      <w:r>
        <w:rPr>
          <w:rFonts w:ascii="Arial" w:cs="Arial" w:eastAsia="Arial" w:hAnsi="Arial"/>
          <w:sz w:val="21"/>
          <w:szCs w:val="21"/>
          <w:i w:val="1"/>
          <w:iCs w:val="1"/>
          <w:color w:val="auto"/>
        </w:rPr>
        <w:t xml:space="preserve"> </w:t>
      </w:r>
      <w:r>
        <w:rPr>
          <w:rFonts w:ascii="Arial" w:cs="Arial" w:eastAsia="Arial" w:hAnsi="Arial"/>
          <w:sz w:val="21"/>
          <w:szCs w:val="21"/>
          <w:color w:val="auto"/>
        </w:rPr>
        <w:t>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05" w:lineRule="exact"/>
        <w:rPr>
          <w:sz w:val="20"/>
          <w:szCs w:val="20"/>
          <w:color w:val="auto"/>
        </w:rPr>
      </w:pPr>
    </w:p>
    <w:p>
      <w:pPr>
        <w:ind w:right="1159"/>
        <w:spacing w:after="0" w:line="247" w:lineRule="auto"/>
        <w:rPr>
          <w:sz w:val="20"/>
          <w:szCs w:val="20"/>
          <w:color w:val="auto"/>
        </w:rPr>
      </w:pPr>
      <w:r>
        <w:rPr>
          <w:rFonts w:ascii="Arial" w:cs="Arial" w:eastAsia="Arial" w:hAnsi="Arial"/>
          <w:sz w:val="21"/>
          <w:szCs w:val="21"/>
          <w:color w:val="auto"/>
        </w:rPr>
        <w:t>ASC Topic 718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w:t>
      </w:r>
    </w:p>
    <w:p>
      <w:pPr>
        <w:spacing w:after="0" w:line="205" w:lineRule="exact"/>
        <w:rPr>
          <w:sz w:val="20"/>
          <w:szCs w:val="20"/>
          <w:color w:val="auto"/>
        </w:rPr>
      </w:pPr>
    </w:p>
    <w:p>
      <w:pPr>
        <w:ind w:right="1139"/>
        <w:spacing w:after="0" w:line="274" w:lineRule="auto"/>
        <w:rPr>
          <w:sz w:val="20"/>
          <w:szCs w:val="20"/>
          <w:color w:val="auto"/>
        </w:rPr>
      </w:pPr>
      <w:r>
        <w:rPr>
          <w:rFonts w:ascii="Arial" w:cs="Arial" w:eastAsia="Arial" w:hAnsi="Arial"/>
          <w:sz w:val="19"/>
          <w:szCs w:val="19"/>
          <w:color w:val="auto"/>
        </w:rPr>
        <w:t xml:space="preserve">Effective July 1, 2005, the Company adopted guidelines included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 See </w:t>
      </w:r>
      <w:r>
        <w:rPr>
          <w:rFonts w:ascii="Arial" w:cs="Arial" w:eastAsia="Arial" w:hAnsi="Arial"/>
          <w:sz w:val="19"/>
          <w:szCs w:val="19"/>
          <w:u w:val="single" w:color="auto"/>
          <w:color w:val="0000FF"/>
        </w:rPr>
        <w:t>Note 9 – Share-Based Payments</w:t>
      </w:r>
      <w:r>
        <w:rPr>
          <w:rFonts w:ascii="Arial" w:cs="Arial" w:eastAsia="Arial" w:hAnsi="Arial"/>
          <w:sz w:val="19"/>
          <w:szCs w:val="19"/>
          <w:color w:val="auto"/>
        </w:rPr>
        <w:t xml:space="preserve"> for information about the Company’s various share-based compensation plans, the impact of adoption of ASC Topic 718, and the assumptions used to calculate the fair value of share-based compensation.</w:t>
      </w:r>
    </w:p>
    <w:p>
      <w:pPr>
        <w:spacing w:after="0" w:line="186" w:lineRule="exact"/>
        <w:rPr>
          <w:sz w:val="20"/>
          <w:szCs w:val="20"/>
          <w:color w:val="auto"/>
        </w:rPr>
      </w:pPr>
    </w:p>
    <w:p>
      <w:pPr>
        <w:ind w:right="1499"/>
        <w:spacing w:after="0"/>
        <w:rPr>
          <w:sz w:val="20"/>
          <w:szCs w:val="20"/>
          <w:color w:val="auto"/>
        </w:rPr>
      </w:pPr>
      <w:r>
        <w:rPr>
          <w:rFonts w:ascii="Arial" w:cs="Arial" w:eastAsia="Arial" w:hAnsi="Arial"/>
          <w:sz w:val="22"/>
          <w:szCs w:val="22"/>
          <w:color w:val="auto"/>
        </w:rPr>
        <w:t>If assumptions change in the application of ASC Topic 718 in future periods, the stock-based compensation cost ultimately recorded under ASC Topic 718 may differ significantly from what was recorded in the current period.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Pronouncements</w:t>
      </w:r>
    </w:p>
    <w:p>
      <w:pPr>
        <w:spacing w:after="0" w:line="220" w:lineRule="exact"/>
        <w:rPr>
          <w:sz w:val="20"/>
          <w:szCs w:val="20"/>
          <w:color w:val="auto"/>
        </w:rPr>
      </w:pPr>
    </w:p>
    <w:p>
      <w:pPr>
        <w:ind w:right="1219"/>
        <w:spacing w:after="0" w:line="214" w:lineRule="auto"/>
        <w:rPr>
          <w:sz w:val="20"/>
          <w:szCs w:val="20"/>
          <w:color w:val="auto"/>
        </w:rPr>
      </w:pPr>
      <w:r>
        <w:rPr>
          <w:rFonts w:ascii="Arial" w:cs="Arial" w:eastAsia="Arial" w:hAnsi="Arial"/>
          <w:sz w:val="22"/>
          <w:szCs w:val="22"/>
          <w:color w:val="auto"/>
        </w:rPr>
        <w:t>After evaluating the recent accounting pronouncements through the date of this filing, the Company has concluded that application of these pronouncements will have no material impact on the Company’s financial results.</w:t>
      </w:r>
    </w:p>
    <w:p>
      <w:pPr>
        <w:sectPr>
          <w:pgSz w:w="11900" w:h="16838" w:orient="portrait"/>
          <w:cols w:equalWidth="0" w:num="1">
            <w:col w:w="10219"/>
          </w:cols>
          <w:pgMar w:left="240" w:top="112" w:right="1440" w:bottom="8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841" w:gutter="0" w:footer="0" w:header="0"/>
          <w:type w:val="continuous"/>
        </w:sectPr>
      </w:pPr>
    </w:p>
    <w:bookmarkStart w:id="72" w:name="page73"/>
    <w:bookmarkEnd w:id="72"/>
    <w:p>
      <w:pPr>
        <w:jc w:val="center"/>
        <w:ind w:left="320" w:right="164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Business Combinations, Goodwill and Intangibles</w:t>
      </w:r>
    </w:p>
    <w:p>
      <w:pPr>
        <w:spacing w:after="0" w:line="239"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On September 6, 2011, the Company acquired substantially all the assets of MagicBox, Inc. through an asset purchase agreement.</w:t>
      </w:r>
    </w:p>
    <w:p>
      <w:pPr>
        <w:spacing w:after="0" w:line="200" w:lineRule="exact"/>
        <w:rPr>
          <w:sz w:val="20"/>
          <w:szCs w:val="20"/>
          <w:color w:val="auto"/>
        </w:rPr>
      </w:pPr>
    </w:p>
    <w:p>
      <w:pPr>
        <w:ind w:right="1219"/>
        <w:spacing w:after="0" w:line="245" w:lineRule="auto"/>
        <w:rPr>
          <w:sz w:val="20"/>
          <w:szCs w:val="20"/>
          <w:color w:val="auto"/>
        </w:rPr>
      </w:pPr>
      <w:r>
        <w:rPr>
          <w:rFonts w:ascii="Arial" w:cs="Arial" w:eastAsia="Arial" w:hAnsi="Arial"/>
          <w:sz w:val="21"/>
          <w:szCs w:val="21"/>
          <w:color w:val="auto"/>
        </w:rPr>
        <w:t>MagicBox’s content management and control technology, along with its industry-leading database integration software are the perfect complement to ClearOne's StreamNet™ systems. The combined expertise of the two companies brings to the market, the only complete, end-to-end digital signage content management and IP streaming solution. MagicBox and ClearOne have complementary products for a broad spectrum of applications. One of the single-most challenging requirements for any digital signage provider is the ability to distribute content over a LAN while maintaining control and scheduling alignment. StreamNet technology delivers low-latency HD distribution over IP which is a perfect fit with MagicBox's content creation, scheduling, database integration and digital signage domain expertise.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asset purchase agreement, the Company paid Magic Box, Inc. $980 in cash.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fair value of identified assets and liabilities acquired and goodwill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A0C4DA"/>
          </w:tcPr>
          <w:p>
            <w:pPr>
              <w:jc w:val="right"/>
              <w:ind w:right="290"/>
              <w:spacing w:after="0"/>
              <w:rPr>
                <w:sz w:val="20"/>
                <w:szCs w:val="20"/>
                <w:color w:val="auto"/>
              </w:rPr>
            </w:pPr>
            <w:r>
              <w:rPr>
                <w:rFonts w:ascii="Arial" w:cs="Arial" w:eastAsia="Arial" w:hAnsi="Arial"/>
                <w:sz w:val="18"/>
                <w:szCs w:val="18"/>
                <w:color w:val="auto"/>
              </w:rPr>
              <w:t>81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w w:val="99"/>
              </w:rPr>
              <w:t>117</w:t>
            </w:r>
          </w:p>
        </w:tc>
      </w:t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A0C4DA"/>
          </w:tcPr>
          <w:p>
            <w:pPr>
              <w:spacing w:after="0"/>
              <w:rPr>
                <w:sz w:val="19"/>
                <w:szCs w:val="19"/>
                <w:color w:val="auto"/>
              </w:rPr>
            </w:pPr>
          </w:p>
        </w:tc>
        <w:tc>
          <w:tcPr>
            <w:tcW w:w="700" w:type="dxa"/>
            <w:vAlign w:val="bottom"/>
            <w:shd w:val="clear" w:color="auto" w:fill="A0C4DA"/>
          </w:tcPr>
          <w:p>
            <w:pPr>
              <w:jc w:val="right"/>
              <w:ind w:right="290"/>
              <w:spacing w:after="0"/>
              <w:rPr>
                <w:sz w:val="20"/>
                <w:szCs w:val="20"/>
                <w:color w:val="auto"/>
              </w:rPr>
            </w:pPr>
            <w:r>
              <w:rPr>
                <w:rFonts w:ascii="Arial" w:cs="Arial" w:eastAsia="Arial" w:hAnsi="Arial"/>
                <w:sz w:val="18"/>
                <w:szCs w:val="18"/>
                <w:color w:val="auto"/>
              </w:rPr>
              <w:t>12</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(4)</w:t>
            </w:r>
          </w:p>
        </w:tc>
      </w:t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A0C4DA"/>
          </w:tcPr>
          <w:p>
            <w:pPr>
              <w:spacing w:after="0"/>
              <w:rPr>
                <w:sz w:val="19"/>
                <w:szCs w:val="19"/>
                <w:color w:val="auto"/>
              </w:rPr>
            </w:pPr>
          </w:p>
        </w:tc>
        <w:tc>
          <w:tcPr>
            <w:tcW w:w="700" w:type="dxa"/>
            <w:vAlign w:val="bottom"/>
            <w:shd w:val="clear" w:color="auto" w:fill="A0C4DA"/>
          </w:tcPr>
          <w:p>
            <w:pPr>
              <w:jc w:val="right"/>
              <w:ind w:right="290"/>
              <w:spacing w:after="0"/>
              <w:rPr>
                <w:sz w:val="20"/>
                <w:szCs w:val="20"/>
                <w:color w:val="auto"/>
              </w:rPr>
            </w:pPr>
            <w:r>
              <w:rPr>
                <w:rFonts w:ascii="Arial" w:cs="Arial" w:eastAsia="Arial" w:hAnsi="Arial"/>
                <w:sz w:val="18"/>
                <w:szCs w:val="18"/>
                <w:color w:val="auto"/>
              </w:rPr>
              <w:t>9</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Proprietary software</w:t>
            </w:r>
          </w:p>
        </w:tc>
        <w:tc>
          <w:tcPr>
            <w:tcW w:w="2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179</w:t>
            </w:r>
          </w:p>
        </w:tc>
      </w:t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w w:val="98"/>
              </w:rPr>
              <w:t>In-process research and development</w:t>
            </w:r>
          </w:p>
        </w:tc>
        <w:tc>
          <w:tcPr>
            <w:tcW w:w="280" w:type="dxa"/>
            <w:vAlign w:val="bottom"/>
            <w:shd w:val="clear" w:color="auto" w:fill="A0C4DA"/>
          </w:tcPr>
          <w:p>
            <w:pPr>
              <w:spacing w:after="0"/>
              <w:rPr>
                <w:sz w:val="19"/>
                <w:szCs w:val="19"/>
                <w:color w:val="auto"/>
              </w:rPr>
            </w:pPr>
          </w:p>
        </w:tc>
        <w:tc>
          <w:tcPr>
            <w:tcW w:w="700" w:type="dxa"/>
            <w:vAlign w:val="bottom"/>
            <w:shd w:val="clear" w:color="auto" w:fill="A0C4DA"/>
          </w:tcPr>
          <w:p>
            <w:pPr>
              <w:jc w:val="right"/>
              <w:ind w:right="290"/>
              <w:spacing w:after="0"/>
              <w:rPr>
                <w:sz w:val="20"/>
                <w:szCs w:val="20"/>
                <w:color w:val="auto"/>
              </w:rPr>
            </w:pPr>
            <w:r>
              <w:rPr>
                <w:rFonts w:ascii="Arial" w:cs="Arial" w:eastAsia="Arial" w:hAnsi="Arial"/>
                <w:sz w:val="18"/>
                <w:szCs w:val="18"/>
                <w:color w:val="auto"/>
                <w:w w:val="99"/>
              </w:rPr>
              <w:t>159</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Intangibles</w:t>
            </w:r>
          </w:p>
        </w:tc>
        <w:tc>
          <w:tcPr>
            <w:tcW w:w="28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w w:val="99"/>
              </w:rPr>
              <w:t>338</w:t>
            </w:r>
          </w:p>
        </w:tc>
      </w:tr>
      <w:tr>
        <w:trPr>
          <w:trHeight w:val="230"/>
        </w:trPr>
        <w:tc>
          <w:tcPr>
            <w:tcW w:w="3000" w:type="dxa"/>
            <w:vAlign w:val="bottom"/>
            <w:shd w:val="clear" w:color="auto" w:fill="A0C4DA"/>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A0C4DA"/>
          </w:tcPr>
          <w:p>
            <w:pPr>
              <w:spacing w:after="0"/>
              <w:rPr>
                <w:sz w:val="19"/>
                <w:szCs w:val="19"/>
                <w:color w:val="auto"/>
              </w:rPr>
            </w:pPr>
          </w:p>
        </w:tc>
        <w:tc>
          <w:tcPr>
            <w:tcW w:w="700" w:type="dxa"/>
            <w:vAlign w:val="bottom"/>
            <w:tcBorders>
              <w:bottom w:val="single" w:sz="8" w:color="auto"/>
            </w:tcBorders>
            <w:shd w:val="clear" w:color="auto" w:fill="A0C4DA"/>
          </w:tcPr>
          <w:p>
            <w:pPr>
              <w:jc w:val="right"/>
              <w:ind w:right="290"/>
              <w:spacing w:after="0"/>
              <w:rPr>
                <w:sz w:val="20"/>
                <w:szCs w:val="20"/>
                <w:color w:val="auto"/>
              </w:rPr>
            </w:pPr>
            <w:r>
              <w:rPr>
                <w:rFonts w:ascii="Arial" w:cs="Arial" w:eastAsia="Arial" w:hAnsi="Arial"/>
                <w:sz w:val="18"/>
                <w:szCs w:val="18"/>
                <w:color w:val="auto"/>
                <w:w w:val="99"/>
              </w:rPr>
              <w:t>427</w:t>
            </w:r>
          </w:p>
        </w:tc>
      </w:tr>
      <w:tr>
        <w:trPr>
          <w:trHeight w:val="210"/>
        </w:trPr>
        <w:tc>
          <w:tcPr>
            <w:tcW w:w="300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980</w:t>
            </w:r>
          </w:p>
        </w:tc>
      </w:tr>
    </w:tbl>
    <w:p>
      <w:pPr>
        <w:spacing w:after="0" w:line="222" w:lineRule="exact"/>
        <w:rPr>
          <w:sz w:val="20"/>
          <w:szCs w:val="20"/>
          <w:color w:val="auto"/>
        </w:rPr>
      </w:pPr>
    </w:p>
    <w:p>
      <w:pPr>
        <w:ind w:right="1199"/>
        <w:spacing w:after="0" w:line="258" w:lineRule="auto"/>
        <w:rPr>
          <w:sz w:val="20"/>
          <w:szCs w:val="20"/>
          <w:color w:val="auto"/>
        </w:rPr>
      </w:pPr>
      <w:r>
        <w:rPr>
          <w:rFonts w:ascii="Arial" w:cs="Arial" w:eastAsia="Arial" w:hAnsi="Arial"/>
          <w:sz w:val="21"/>
          <w:szCs w:val="21"/>
          <w:color w:val="auto"/>
        </w:rPr>
        <w:t>The goodwill of $427 is composed of expected synergies in utilizing MagicBox technology in ClearOne product offerings, reduction in future combined research and development expenses, and intangible assets including acquired workforce that do not qualify for separate recognition.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The goodwill balance of $427 related to the MagicBox acquisition is deductible for tax purposes.</w:t>
      </w:r>
    </w:p>
    <w:p>
      <w:pPr>
        <w:spacing w:after="0" w:line="245" w:lineRule="exact"/>
        <w:rPr>
          <w:sz w:val="20"/>
          <w:szCs w:val="20"/>
          <w:color w:val="auto"/>
        </w:rPr>
      </w:pPr>
    </w:p>
    <w:p>
      <w:pPr>
        <w:ind w:right="1239"/>
        <w:spacing w:after="0"/>
        <w:rPr>
          <w:sz w:val="20"/>
          <w:szCs w:val="20"/>
          <w:color w:val="auto"/>
        </w:rPr>
      </w:pPr>
      <w:r>
        <w:rPr>
          <w:rFonts w:ascii="Arial" w:cs="Arial" w:eastAsia="Arial" w:hAnsi="Arial"/>
          <w:sz w:val="22"/>
          <w:szCs w:val="22"/>
          <w:color w:val="auto"/>
        </w:rPr>
        <w:t>The Company incurred $167 towards acquisition related expenses, all of which are categorized under General and Administrative expenses in the Consolidated Statement of Operations for the period ended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Supplemental Pro Forma information</w:t>
      </w:r>
    </w:p>
    <w:p>
      <w:pPr>
        <w:spacing w:after="0" w:line="98"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Actual Revenue of MagicBox from September 6, 2011 to December 31, 2011 was $353.</w:t>
      </w:r>
    </w:p>
    <w:p>
      <w:pPr>
        <w:spacing w:after="0" w:line="109" w:lineRule="exact"/>
        <w:rPr>
          <w:rFonts w:ascii="Arial" w:cs="Arial" w:eastAsia="Arial" w:hAnsi="Arial"/>
          <w:sz w:val="21"/>
          <w:szCs w:val="21"/>
          <w:color w:val="auto"/>
        </w:rPr>
      </w:pPr>
    </w:p>
    <w:p>
      <w:pPr>
        <w:ind w:left="660" w:right="1199" w:hanging="328"/>
        <w:spacing w:after="0" w:line="238" w:lineRule="auto"/>
        <w:tabs>
          <w:tab w:leader="none" w:pos="633" w:val="left"/>
        </w:tabs>
        <w:numPr>
          <w:ilvl w:val="0"/>
          <w:numId w:val="29"/>
        </w:numPr>
        <w:rPr>
          <w:rFonts w:ascii="Arial" w:cs="Arial" w:eastAsia="Arial" w:hAnsi="Arial"/>
          <w:sz w:val="22"/>
          <w:szCs w:val="22"/>
          <w:color w:val="auto"/>
        </w:rPr>
      </w:pPr>
      <w:r>
        <w:rPr>
          <w:rFonts w:ascii="Arial" w:cs="Arial" w:eastAsia="Arial" w:hAnsi="Arial"/>
          <w:sz w:val="22"/>
          <w:szCs w:val="22"/>
          <w:color w:val="auto"/>
        </w:rPr>
        <w:t>It is impracticable to provide actual earnings of MagicBox from September 6, 2011 to December 31, 2011 because (a) MagicBox operations have been substantially integrated with the rest of the operations of the Company and (b) separate accounting records are not maintained for MagicBox.</w:t>
      </w:r>
    </w:p>
    <w:p>
      <w:pPr>
        <w:spacing w:after="0" w:line="76" w:lineRule="exact"/>
        <w:rPr>
          <w:rFonts w:ascii="Arial" w:cs="Arial" w:eastAsia="Arial" w:hAnsi="Arial"/>
          <w:sz w:val="22"/>
          <w:szCs w:val="22"/>
          <w:color w:val="auto"/>
        </w:rPr>
      </w:pPr>
    </w:p>
    <w:p>
      <w:pPr>
        <w:ind w:left="660" w:right="1839" w:hanging="328"/>
        <w:spacing w:after="0" w:line="326" w:lineRule="auto"/>
        <w:tabs>
          <w:tab w:leader="none" w:pos="633" w:val="left"/>
        </w:tabs>
        <w:numPr>
          <w:ilvl w:val="0"/>
          <w:numId w:val="29"/>
        </w:numPr>
        <w:rPr>
          <w:rFonts w:ascii="Arial" w:cs="Arial" w:eastAsia="Arial" w:hAnsi="Arial"/>
          <w:sz w:val="19"/>
          <w:szCs w:val="19"/>
          <w:color w:val="auto"/>
        </w:rPr>
      </w:pPr>
      <w:r>
        <w:rPr>
          <w:rFonts w:ascii="Arial" w:cs="Arial" w:eastAsia="Arial" w:hAnsi="Arial"/>
          <w:sz w:val="19"/>
          <w:szCs w:val="19"/>
          <w:color w:val="auto"/>
        </w:rPr>
        <w:t>Revenue and earnings of 2010 of the combined entity as though the business combination occurred as of January 1, 2010 was approximately $42,850 and $2,461, respectively.</w:t>
      </w:r>
    </w:p>
    <w:p>
      <w:pPr>
        <w:ind w:left="660" w:right="2059" w:hanging="328"/>
        <w:spacing w:after="0" w:line="274" w:lineRule="auto"/>
        <w:tabs>
          <w:tab w:leader="none" w:pos="633"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There were no material, nonrecurring pro forma adjustments directly attributable to the acquisition included in this supplemental Pro Forma information.</w:t>
      </w:r>
    </w:p>
    <w:p>
      <w:pPr>
        <w:sectPr>
          <w:pgSz w:w="11900" w:h="16838" w:orient="portrait"/>
          <w:cols w:equalWidth="0" w:num="1">
            <w:col w:w="10219"/>
          </w:cols>
          <w:pgMar w:left="240" w:top="112" w:right="1440" w:bottom="9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976" w:gutter="0" w:footer="0" w:header="0"/>
          <w:type w:val="continuous"/>
        </w:sectPr>
      </w:pPr>
    </w:p>
    <w:bookmarkStart w:id="73" w:name="page74"/>
    <w:bookmarkEnd w:id="73"/>
    <w:p>
      <w:pPr>
        <w:jc w:val="center"/>
        <w:ind w:left="480" w:right="148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Intangible Assets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Intangible assets as of December 31, 2011 and 2010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54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20" w:type="dxa"/>
            <w:vAlign w:val="bottom"/>
          </w:tcPr>
          <w:p>
            <w:pPr>
              <w:spacing w:after="0"/>
              <w:rPr>
                <w:sz w:val="16"/>
                <w:szCs w:val="16"/>
                <w:color w:val="auto"/>
              </w:rPr>
            </w:pPr>
          </w:p>
        </w:tc>
      </w:tr>
      <w:tr>
        <w:trPr>
          <w:trHeight w:val="201"/>
        </w:trPr>
        <w:tc>
          <w:tcPr>
            <w:tcW w:w="366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r>
      <w:tr>
        <w:trPr>
          <w:trHeight w:val="223"/>
        </w:trPr>
        <w:tc>
          <w:tcPr>
            <w:tcW w:w="3660" w:type="dxa"/>
            <w:vAlign w:val="bottom"/>
            <w:shd w:val="clear" w:color="auto" w:fill="A0C4DA"/>
          </w:tcPr>
          <w:p>
            <w:pPr>
              <w:spacing w:after="0"/>
              <w:rPr>
                <w:sz w:val="20"/>
                <w:szCs w:val="20"/>
                <w:color w:val="auto"/>
              </w:rPr>
            </w:pPr>
            <w:r>
              <w:rPr>
                <w:rFonts w:ascii="Arial" w:cs="Arial" w:eastAsia="Arial" w:hAnsi="Arial"/>
                <w:sz w:val="18"/>
                <w:szCs w:val="18"/>
                <w:color w:val="auto"/>
              </w:rPr>
              <w:t>Tradename</w:t>
            </w:r>
          </w:p>
        </w:tc>
        <w:tc>
          <w:tcPr>
            <w:tcW w:w="11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88"/>
              </w:rPr>
              <w:t>7 years</w:t>
            </w:r>
          </w:p>
        </w:tc>
        <w:tc>
          <w:tcPr>
            <w:tcW w:w="54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A0C4DA"/>
          </w:tcPr>
          <w:p>
            <w:pPr>
              <w:jc w:val="right"/>
              <w:ind w:right="174"/>
              <w:spacing w:after="0"/>
              <w:rPr>
                <w:sz w:val="20"/>
                <w:szCs w:val="20"/>
                <w:color w:val="auto"/>
              </w:rPr>
            </w:pPr>
            <w:r>
              <w:rPr>
                <w:rFonts w:ascii="Arial" w:cs="Arial" w:eastAsia="Arial" w:hAnsi="Arial"/>
                <w:sz w:val="18"/>
                <w:szCs w:val="18"/>
                <w:color w:val="auto"/>
              </w:rPr>
              <w:t>435</w:t>
            </w:r>
          </w:p>
        </w:tc>
        <w:tc>
          <w:tcPr>
            <w:tcW w:w="50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A0C4DA"/>
          </w:tcPr>
          <w:p>
            <w:pPr>
              <w:jc w:val="right"/>
              <w:ind w:right="292"/>
              <w:spacing w:after="0"/>
              <w:rPr>
                <w:sz w:val="20"/>
                <w:szCs w:val="20"/>
                <w:color w:val="auto"/>
              </w:rPr>
            </w:pPr>
            <w:r>
              <w:rPr>
                <w:rFonts w:ascii="Arial" w:cs="Arial" w:eastAsia="Arial" w:hAnsi="Arial"/>
                <w:sz w:val="18"/>
                <w:szCs w:val="18"/>
                <w:color w:val="auto"/>
              </w:rPr>
              <w:t>435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54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2,070</w:t>
            </w:r>
          </w:p>
        </w:tc>
        <w:tc>
          <w:tcPr>
            <w:tcW w:w="50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color w:val="auto"/>
                <w:w w:val="93"/>
              </w:rPr>
              <w:t>2,070</w:t>
            </w:r>
          </w:p>
        </w:tc>
      </w:tr>
      <w:tr>
        <w:trPr>
          <w:trHeight w:val="230"/>
        </w:trPr>
        <w:tc>
          <w:tcPr>
            <w:tcW w:w="3660" w:type="dxa"/>
            <w:vAlign w:val="bottom"/>
            <w:shd w:val="clear" w:color="auto" w:fill="A0C4DA"/>
          </w:tcPr>
          <w:p>
            <w:pPr>
              <w:spacing w:after="0"/>
              <w:rPr>
                <w:sz w:val="20"/>
                <w:szCs w:val="20"/>
                <w:color w:val="auto"/>
              </w:rPr>
            </w:pPr>
            <w:r>
              <w:rPr>
                <w:rFonts w:ascii="Arial" w:cs="Arial" w:eastAsia="Arial" w:hAnsi="Arial"/>
                <w:sz w:val="18"/>
                <w:szCs w:val="18"/>
                <w:color w:val="auto"/>
              </w:rPr>
              <w:t>Proprietary Software</w:t>
            </w:r>
          </w:p>
        </w:tc>
        <w:tc>
          <w:tcPr>
            <w:tcW w:w="11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89"/>
              </w:rPr>
              <w:t>3 to 5 years</w:t>
            </w:r>
          </w:p>
        </w:tc>
        <w:tc>
          <w:tcPr>
            <w:tcW w:w="540" w:type="dxa"/>
            <w:vAlign w:val="bottom"/>
            <w:shd w:val="clear" w:color="auto" w:fill="A0C4DA"/>
          </w:tcPr>
          <w:p>
            <w:pPr>
              <w:spacing w:after="0"/>
              <w:rPr>
                <w:sz w:val="19"/>
                <w:szCs w:val="19"/>
                <w:color w:val="auto"/>
              </w:rPr>
            </w:pPr>
          </w:p>
        </w:tc>
        <w:tc>
          <w:tcPr>
            <w:tcW w:w="1040" w:type="dxa"/>
            <w:vAlign w:val="bottom"/>
            <w:shd w:val="clear" w:color="auto" w:fill="A0C4DA"/>
          </w:tcPr>
          <w:p>
            <w:pPr>
              <w:jc w:val="right"/>
              <w:ind w:right="174"/>
              <w:spacing w:after="0"/>
              <w:rPr>
                <w:sz w:val="20"/>
                <w:szCs w:val="20"/>
                <w:color w:val="auto"/>
              </w:rPr>
            </w:pPr>
            <w:r>
              <w:rPr>
                <w:rFonts w:ascii="Arial" w:cs="Arial" w:eastAsia="Arial" w:hAnsi="Arial"/>
                <w:sz w:val="18"/>
                <w:szCs w:val="18"/>
                <w:color w:val="auto"/>
              </w:rPr>
              <w:t>394</w:t>
            </w:r>
          </w:p>
        </w:tc>
        <w:tc>
          <w:tcPr>
            <w:tcW w:w="500" w:type="dxa"/>
            <w:vAlign w:val="bottom"/>
            <w:shd w:val="clear" w:color="auto" w:fill="A0C4DA"/>
          </w:tcPr>
          <w:p>
            <w:pPr>
              <w:spacing w:after="0"/>
              <w:rPr>
                <w:sz w:val="19"/>
                <w:szCs w:val="19"/>
                <w:color w:val="auto"/>
              </w:rPr>
            </w:pPr>
          </w:p>
        </w:tc>
        <w:tc>
          <w:tcPr>
            <w:tcW w:w="820" w:type="dxa"/>
            <w:vAlign w:val="bottom"/>
            <w:shd w:val="clear" w:color="auto" w:fill="A0C4DA"/>
          </w:tcPr>
          <w:p>
            <w:pPr>
              <w:jc w:val="right"/>
              <w:ind w:right="292"/>
              <w:spacing w:after="0"/>
              <w:rPr>
                <w:sz w:val="20"/>
                <w:szCs w:val="20"/>
                <w:color w:val="auto"/>
              </w:rPr>
            </w:pPr>
            <w:r>
              <w:rPr>
                <w:rFonts w:ascii="Arial" w:cs="Arial" w:eastAsia="Arial" w:hAnsi="Arial"/>
                <w:sz w:val="18"/>
                <w:szCs w:val="18"/>
                <w:color w:val="auto"/>
              </w:rPr>
              <w:t>215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54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559</w:t>
            </w:r>
          </w:p>
        </w:tc>
        <w:tc>
          <w:tcPr>
            <w:tcW w:w="50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400</w:t>
            </w:r>
          </w:p>
        </w:tc>
      </w:tr>
      <w:tr>
        <w:trPr>
          <w:trHeight w:val="216"/>
        </w:trPr>
        <w:tc>
          <w:tcPr>
            <w:tcW w:w="366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0C4DA"/>
            </w:tcBorders>
            <w:shd w:val="clear" w:color="auto" w:fill="A0C4DA"/>
          </w:tcPr>
          <w:p>
            <w:pPr>
              <w:jc w:val="right"/>
              <w:ind w:right="215"/>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shd w:val="clear" w:color="auto" w:fill="A0C4DA"/>
          </w:tcPr>
          <w:p>
            <w:pPr>
              <w:spacing w:after="0"/>
              <w:rPr>
                <w:sz w:val="18"/>
                <w:szCs w:val="18"/>
                <w:color w:val="auto"/>
              </w:rPr>
            </w:pPr>
          </w:p>
        </w:tc>
        <w:tc>
          <w:tcPr>
            <w:tcW w:w="1040" w:type="dxa"/>
            <w:vAlign w:val="bottom"/>
            <w:tcBorders>
              <w:bottom w:val="single" w:sz="8" w:color="auto"/>
            </w:tcBorders>
            <w:shd w:val="clear" w:color="auto" w:fill="A0C4DA"/>
          </w:tcPr>
          <w:p>
            <w:pPr>
              <w:jc w:val="right"/>
              <w:ind w:right="174"/>
              <w:spacing w:after="0"/>
              <w:rPr>
                <w:sz w:val="20"/>
                <w:szCs w:val="20"/>
                <w:color w:val="auto"/>
              </w:rPr>
            </w:pPr>
            <w:r>
              <w:rPr>
                <w:rFonts w:ascii="Arial" w:cs="Arial" w:eastAsia="Arial" w:hAnsi="Arial"/>
                <w:sz w:val="18"/>
                <w:szCs w:val="18"/>
                <w:color w:val="auto"/>
              </w:rPr>
              <w:t>49</w:t>
            </w:r>
          </w:p>
        </w:tc>
        <w:tc>
          <w:tcPr>
            <w:tcW w:w="500" w:type="dxa"/>
            <w:vAlign w:val="bottom"/>
            <w:tcBorders>
              <w:bottom w:val="single" w:sz="8" w:color="auto"/>
            </w:tcBorders>
            <w:shd w:val="clear" w:color="auto" w:fill="A0C4DA"/>
          </w:tcPr>
          <w:p>
            <w:pPr>
              <w:spacing w:after="0"/>
              <w:rPr>
                <w:sz w:val="18"/>
                <w:szCs w:val="18"/>
                <w:color w:val="auto"/>
              </w:rPr>
            </w:pPr>
          </w:p>
        </w:tc>
        <w:tc>
          <w:tcPr>
            <w:tcW w:w="820" w:type="dxa"/>
            <w:vAlign w:val="bottom"/>
            <w:tcBorders>
              <w:bottom w:val="single" w:sz="8" w:color="auto"/>
            </w:tcBorders>
            <w:shd w:val="clear" w:color="auto" w:fill="A0C4DA"/>
          </w:tcPr>
          <w:p>
            <w:pPr>
              <w:jc w:val="right"/>
              <w:ind w:right="292"/>
              <w:spacing w:after="0"/>
              <w:rPr>
                <w:sz w:val="20"/>
                <w:szCs w:val="20"/>
                <w:color w:val="auto"/>
              </w:rPr>
            </w:pPr>
            <w:r>
              <w:rPr>
                <w:rFonts w:ascii="Arial" w:cs="Arial" w:eastAsia="Arial" w:hAnsi="Arial"/>
                <w:sz w:val="18"/>
                <w:szCs w:val="18"/>
                <w:color w:val="auto"/>
              </w:rPr>
              <w:t>49</w:t>
            </w:r>
          </w:p>
        </w:tc>
      </w:tr>
      <w:tr>
        <w:trPr>
          <w:trHeight w:val="223"/>
        </w:trPr>
        <w:tc>
          <w:tcPr>
            <w:tcW w:w="3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3,507</w:t>
            </w:r>
          </w:p>
        </w:tc>
        <w:tc>
          <w:tcPr>
            <w:tcW w:w="50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color w:val="auto"/>
                <w:w w:val="93"/>
              </w:rPr>
              <w:t>3,169</w:t>
            </w:r>
          </w:p>
        </w:tc>
      </w:tr>
      <w:tr>
        <w:trPr>
          <w:trHeight w:val="230"/>
        </w:trPr>
        <w:tc>
          <w:tcPr>
            <w:tcW w:w="3660" w:type="dxa"/>
            <w:vAlign w:val="bottom"/>
            <w:shd w:val="clear" w:color="auto" w:fill="A0C4DA"/>
          </w:tcPr>
          <w:p>
            <w:pPr>
              <w:spacing w:after="0"/>
              <w:rPr>
                <w:sz w:val="20"/>
                <w:szCs w:val="20"/>
                <w:color w:val="auto"/>
              </w:rPr>
            </w:pPr>
            <w:r>
              <w:rPr>
                <w:rFonts w:ascii="Arial" w:cs="Arial" w:eastAsia="Arial" w:hAnsi="Arial"/>
                <w:sz w:val="18"/>
                <w:szCs w:val="18"/>
                <w:color w:val="auto"/>
              </w:rPr>
              <w:t>Accumulated Amortization</w:t>
            </w:r>
          </w:p>
        </w:tc>
        <w:tc>
          <w:tcPr>
            <w:tcW w:w="1180" w:type="dxa"/>
            <w:vAlign w:val="bottom"/>
            <w:shd w:val="clear" w:color="auto" w:fill="A0C4DA"/>
          </w:tcPr>
          <w:p>
            <w:pPr>
              <w:spacing w:after="0"/>
              <w:rPr>
                <w:sz w:val="19"/>
                <w:szCs w:val="19"/>
                <w:color w:val="auto"/>
              </w:rPr>
            </w:pPr>
          </w:p>
        </w:tc>
        <w:tc>
          <w:tcPr>
            <w:tcW w:w="540" w:type="dxa"/>
            <w:vAlign w:val="bottom"/>
            <w:tcBorders>
              <w:bottom w:val="single" w:sz="8" w:color="auto"/>
            </w:tcBorders>
            <w:shd w:val="clear" w:color="auto" w:fill="A0C4DA"/>
          </w:tcPr>
          <w:p>
            <w:pPr>
              <w:spacing w:after="0"/>
              <w:rPr>
                <w:sz w:val="19"/>
                <w:szCs w:val="19"/>
                <w:color w:val="auto"/>
              </w:rPr>
            </w:pPr>
          </w:p>
        </w:tc>
        <w:tc>
          <w:tcPr>
            <w:tcW w:w="1040" w:type="dxa"/>
            <w:vAlign w:val="bottom"/>
            <w:tcBorders>
              <w:bottom w:val="single" w:sz="8" w:color="auto"/>
            </w:tcBorders>
            <w:shd w:val="clear" w:color="auto" w:fill="A0C4DA"/>
          </w:tcPr>
          <w:p>
            <w:pPr>
              <w:jc w:val="right"/>
              <w:ind w:right="134"/>
              <w:spacing w:after="0"/>
              <w:rPr>
                <w:sz w:val="20"/>
                <w:szCs w:val="20"/>
                <w:color w:val="auto"/>
              </w:rPr>
            </w:pPr>
            <w:r>
              <w:rPr>
                <w:rFonts w:ascii="Arial" w:cs="Arial" w:eastAsia="Arial" w:hAnsi="Arial"/>
                <w:sz w:val="18"/>
                <w:szCs w:val="18"/>
                <w:color w:val="auto"/>
              </w:rPr>
              <w:t>(817)</w:t>
            </w:r>
          </w:p>
        </w:tc>
        <w:tc>
          <w:tcPr>
            <w:tcW w:w="500" w:type="dxa"/>
            <w:vAlign w:val="bottom"/>
            <w:tcBorders>
              <w:bottom w:val="single" w:sz="8" w:color="auto"/>
            </w:tcBorders>
            <w:shd w:val="clear" w:color="auto" w:fill="A0C4DA"/>
          </w:tcPr>
          <w:p>
            <w:pPr>
              <w:spacing w:after="0"/>
              <w:rPr>
                <w:sz w:val="19"/>
                <w:szCs w:val="19"/>
                <w:color w:val="auto"/>
              </w:rPr>
            </w:pPr>
          </w:p>
        </w:tc>
        <w:tc>
          <w:tcPr>
            <w:tcW w:w="820" w:type="dxa"/>
            <w:vAlign w:val="bottom"/>
            <w:tcBorders>
              <w:bottom w:val="single" w:sz="8" w:color="auto"/>
            </w:tcBorders>
            <w:shd w:val="clear" w:color="auto" w:fill="A0C4DA"/>
          </w:tcPr>
          <w:p>
            <w:pPr>
              <w:jc w:val="right"/>
              <w:ind w:right="252"/>
              <w:spacing w:after="0"/>
              <w:rPr>
                <w:sz w:val="20"/>
                <w:szCs w:val="20"/>
                <w:color w:val="auto"/>
              </w:rPr>
            </w:pPr>
            <w:r>
              <w:rPr>
                <w:rFonts w:ascii="Arial" w:cs="Arial" w:eastAsia="Arial" w:hAnsi="Arial"/>
                <w:sz w:val="18"/>
                <w:szCs w:val="18"/>
                <w:color w:val="auto"/>
              </w:rPr>
              <w:t>(424)</w:t>
            </w:r>
          </w:p>
        </w:tc>
      </w:tr>
      <w:tr>
        <w:trPr>
          <w:trHeight w:val="183"/>
        </w:trPr>
        <w:tc>
          <w:tcPr>
            <w:tcW w:w="3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4"/>
              <w:spacing w:after="0" w:line="182" w:lineRule="exact"/>
              <w:rPr>
                <w:sz w:val="20"/>
                <w:szCs w:val="20"/>
                <w:color w:val="auto"/>
              </w:rPr>
            </w:pPr>
            <w:r>
              <w:rPr>
                <w:rFonts w:ascii="Arial" w:cs="Arial" w:eastAsia="Arial" w:hAnsi="Arial"/>
                <w:sz w:val="18"/>
                <w:szCs w:val="18"/>
                <w:color w:val="auto"/>
              </w:rPr>
              <w:t>2,690</w:t>
            </w:r>
          </w:p>
        </w:tc>
        <w:tc>
          <w:tcPr>
            <w:tcW w:w="5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92"/>
              <w:spacing w:after="0" w:line="182" w:lineRule="exact"/>
              <w:rPr>
                <w:sz w:val="20"/>
                <w:szCs w:val="20"/>
                <w:color w:val="auto"/>
              </w:rPr>
            </w:pPr>
            <w:r>
              <w:rPr>
                <w:rFonts w:ascii="Arial" w:cs="Arial" w:eastAsia="Arial" w:hAnsi="Arial"/>
                <w:sz w:val="18"/>
                <w:szCs w:val="18"/>
                <w:color w:val="auto"/>
                <w:w w:val="93"/>
              </w:rPr>
              <w:t>2,745</w:t>
            </w:r>
          </w:p>
        </w:tc>
      </w:tr>
      <w:tr>
        <w:trPr>
          <w:trHeight w:val="20"/>
        </w:trPr>
        <w:tc>
          <w:tcPr>
            <w:tcW w:w="3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1359"/>
        <w:spacing w:after="0" w:line="251" w:lineRule="auto"/>
        <w:rPr>
          <w:sz w:val="20"/>
          <w:szCs w:val="20"/>
          <w:color w:val="auto"/>
        </w:rPr>
      </w:pPr>
      <w:r>
        <w:rPr>
          <w:rFonts w:ascii="Arial" w:cs="Arial" w:eastAsia="Arial" w:hAnsi="Arial"/>
          <w:sz w:val="22"/>
          <w:szCs w:val="22"/>
          <w:color w:val="auto"/>
        </w:rPr>
        <w:t>During the years ended December 31, 2011 and 2010, amortization of intangible assets were $393 and $350,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estimated future amortization expense of intangible assets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w w:val="88"/>
              </w:rPr>
              <w:t>Years ending December 31,</w:t>
            </w:r>
          </w:p>
        </w:tc>
        <w:tc>
          <w:tcPr>
            <w:tcW w:w="720" w:type="dxa"/>
            <w:vAlign w:val="bottom"/>
          </w:tcPr>
          <w:p>
            <w:pPr>
              <w:spacing w:after="0"/>
              <w:rPr>
                <w:sz w:val="16"/>
                <w:szCs w:val="16"/>
                <w:color w:val="auto"/>
              </w:rPr>
            </w:pPr>
          </w:p>
        </w:tc>
      </w:tr>
      <w:tr>
        <w:trPr>
          <w:trHeight w:val="21"/>
        </w:trPr>
        <w:tc>
          <w:tcPr>
            <w:tcW w:w="18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580" w:type="dxa"/>
            <w:vAlign w:val="bottom"/>
            <w:gridSpan w:val="3"/>
            <w:shd w:val="clear" w:color="auto" w:fill="A0C4DA"/>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A0C4DA"/>
          </w:tcPr>
          <w:p>
            <w:pPr>
              <w:jc w:val="right"/>
              <w:ind w:right="239"/>
              <w:spacing w:after="0"/>
              <w:rPr>
                <w:sz w:val="20"/>
                <w:szCs w:val="20"/>
                <w:color w:val="auto"/>
              </w:rPr>
            </w:pPr>
            <w:r>
              <w:rPr>
                <w:rFonts w:ascii="Arial" w:cs="Arial" w:eastAsia="Arial" w:hAnsi="Arial"/>
                <w:sz w:val="16"/>
                <w:szCs w:val="16"/>
                <w:color w:val="auto"/>
              </w:rPr>
              <w:t>345</w:t>
            </w:r>
          </w:p>
        </w:tc>
      </w:tr>
      <w:tr>
        <w:trPr>
          <w:trHeight w:val="230"/>
        </w:trPr>
        <w:tc>
          <w:tcPr>
            <w:tcW w:w="1880" w:type="dxa"/>
            <w:vAlign w:val="bottom"/>
          </w:tcPr>
          <w:p>
            <w:pPr>
              <w:jc w:val="right"/>
              <w:ind w:right="359"/>
              <w:spacing w:after="0"/>
              <w:rPr>
                <w:sz w:val="20"/>
                <w:szCs w:val="20"/>
                <w:color w:val="auto"/>
              </w:rPr>
            </w:pPr>
            <w:r>
              <w:rPr>
                <w:rFonts w:ascii="Arial" w:cs="Arial" w:eastAsia="Arial" w:hAnsi="Arial"/>
                <w:sz w:val="16"/>
                <w:szCs w:val="16"/>
                <w:color w:val="auto"/>
              </w:rPr>
              <w:t>2013</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307</w:t>
            </w:r>
          </w:p>
        </w:tc>
      </w:tr>
      <w:tr>
        <w:trPr>
          <w:trHeight w:val="230"/>
        </w:trPr>
        <w:tc>
          <w:tcPr>
            <w:tcW w:w="1880" w:type="dxa"/>
            <w:vAlign w:val="bottom"/>
            <w:shd w:val="clear" w:color="auto" w:fill="A0C4DA"/>
          </w:tcPr>
          <w:p>
            <w:pPr>
              <w:jc w:val="right"/>
              <w:ind w:right="359"/>
              <w:spacing w:after="0"/>
              <w:rPr>
                <w:sz w:val="20"/>
                <w:szCs w:val="20"/>
                <w:color w:val="auto"/>
              </w:rPr>
            </w:pPr>
            <w:r>
              <w:rPr>
                <w:rFonts w:ascii="Arial" w:cs="Arial" w:eastAsia="Arial" w:hAnsi="Arial"/>
                <w:sz w:val="16"/>
                <w:szCs w:val="16"/>
                <w:color w:val="auto"/>
              </w:rPr>
              <w:t>2014</w:t>
            </w:r>
          </w:p>
        </w:tc>
        <w:tc>
          <w:tcPr>
            <w:tcW w:w="480" w:type="dxa"/>
            <w:vAlign w:val="bottom"/>
            <w:shd w:val="clear" w:color="auto" w:fill="A0C4DA"/>
          </w:tcPr>
          <w:p>
            <w:pPr>
              <w:spacing w:after="0"/>
              <w:rPr>
                <w:sz w:val="19"/>
                <w:szCs w:val="19"/>
                <w:color w:val="auto"/>
              </w:rPr>
            </w:pPr>
          </w:p>
        </w:tc>
        <w:tc>
          <w:tcPr>
            <w:tcW w:w="220" w:type="dxa"/>
            <w:vAlign w:val="bottom"/>
            <w:shd w:val="clear" w:color="auto" w:fill="A0C4DA"/>
          </w:tcPr>
          <w:p>
            <w:pPr>
              <w:spacing w:after="0"/>
              <w:rPr>
                <w:sz w:val="19"/>
                <w:szCs w:val="19"/>
                <w:color w:val="auto"/>
              </w:rPr>
            </w:pPr>
          </w:p>
        </w:tc>
        <w:tc>
          <w:tcPr>
            <w:tcW w:w="720" w:type="dxa"/>
            <w:vAlign w:val="bottom"/>
            <w:shd w:val="clear" w:color="auto" w:fill="A0C4DA"/>
          </w:tcPr>
          <w:p>
            <w:pPr>
              <w:jc w:val="right"/>
              <w:ind w:right="239"/>
              <w:spacing w:after="0"/>
              <w:rPr>
                <w:sz w:val="20"/>
                <w:szCs w:val="20"/>
                <w:color w:val="auto"/>
              </w:rPr>
            </w:pPr>
            <w:r>
              <w:rPr>
                <w:rFonts w:ascii="Arial" w:cs="Arial" w:eastAsia="Arial" w:hAnsi="Arial"/>
                <w:sz w:val="16"/>
                <w:szCs w:val="16"/>
                <w:color w:val="auto"/>
              </w:rPr>
              <w:t>305</w:t>
            </w:r>
          </w:p>
        </w:tc>
      </w:tr>
      <w:tr>
        <w:trPr>
          <w:trHeight w:val="230"/>
        </w:trPr>
        <w:tc>
          <w:tcPr>
            <w:tcW w:w="1880" w:type="dxa"/>
            <w:vAlign w:val="bottom"/>
          </w:tcPr>
          <w:p>
            <w:pPr>
              <w:jc w:val="right"/>
              <w:ind w:right="359"/>
              <w:spacing w:after="0"/>
              <w:rPr>
                <w:sz w:val="20"/>
                <w:szCs w:val="20"/>
                <w:color w:val="auto"/>
              </w:rPr>
            </w:pPr>
            <w:r>
              <w:rPr>
                <w:rFonts w:ascii="Arial" w:cs="Arial" w:eastAsia="Arial" w:hAnsi="Arial"/>
                <w:sz w:val="16"/>
                <w:szCs w:val="16"/>
                <w:color w:val="auto"/>
              </w:rPr>
              <w:t>2015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305</w:t>
            </w:r>
          </w:p>
        </w:tc>
      </w:tr>
      <w:tr>
        <w:trPr>
          <w:trHeight w:val="230"/>
        </w:trPr>
        <w:tc>
          <w:tcPr>
            <w:tcW w:w="1880" w:type="dxa"/>
            <w:vAlign w:val="bottom"/>
            <w:shd w:val="clear" w:color="auto" w:fill="A0C4DA"/>
          </w:tcPr>
          <w:p>
            <w:pPr>
              <w:jc w:val="right"/>
              <w:ind w:right="359"/>
              <w:spacing w:after="0"/>
              <w:rPr>
                <w:sz w:val="20"/>
                <w:szCs w:val="20"/>
                <w:color w:val="auto"/>
              </w:rPr>
            </w:pPr>
            <w:r>
              <w:rPr>
                <w:rFonts w:ascii="Arial" w:cs="Arial" w:eastAsia="Arial" w:hAnsi="Arial"/>
                <w:sz w:val="16"/>
                <w:szCs w:val="16"/>
                <w:color w:val="auto"/>
              </w:rPr>
              <w:t>2016</w:t>
            </w:r>
          </w:p>
        </w:tc>
        <w:tc>
          <w:tcPr>
            <w:tcW w:w="480" w:type="dxa"/>
            <w:vAlign w:val="bottom"/>
            <w:shd w:val="clear" w:color="auto" w:fill="A0C4DA"/>
          </w:tcPr>
          <w:p>
            <w:pPr>
              <w:spacing w:after="0"/>
              <w:rPr>
                <w:sz w:val="19"/>
                <w:szCs w:val="19"/>
                <w:color w:val="auto"/>
              </w:rPr>
            </w:pPr>
          </w:p>
        </w:tc>
        <w:tc>
          <w:tcPr>
            <w:tcW w:w="220" w:type="dxa"/>
            <w:vAlign w:val="bottom"/>
            <w:shd w:val="clear" w:color="auto" w:fill="A0C4DA"/>
          </w:tcPr>
          <w:p>
            <w:pPr>
              <w:spacing w:after="0"/>
              <w:rPr>
                <w:sz w:val="19"/>
                <w:szCs w:val="19"/>
                <w:color w:val="auto"/>
              </w:rPr>
            </w:pPr>
          </w:p>
        </w:tc>
        <w:tc>
          <w:tcPr>
            <w:tcW w:w="720" w:type="dxa"/>
            <w:vAlign w:val="bottom"/>
            <w:shd w:val="clear" w:color="auto" w:fill="A0C4DA"/>
          </w:tcPr>
          <w:p>
            <w:pPr>
              <w:jc w:val="right"/>
              <w:ind w:right="239"/>
              <w:spacing w:after="0"/>
              <w:rPr>
                <w:sz w:val="20"/>
                <w:szCs w:val="20"/>
                <w:color w:val="auto"/>
              </w:rPr>
            </w:pPr>
            <w:r>
              <w:rPr>
                <w:rFonts w:ascii="Arial" w:cs="Arial" w:eastAsia="Arial" w:hAnsi="Arial"/>
                <w:sz w:val="16"/>
                <w:szCs w:val="16"/>
                <w:color w:val="auto"/>
              </w:rPr>
              <w:t>282</w:t>
            </w:r>
          </w:p>
        </w:tc>
      </w:tr>
      <w:tr>
        <w:trPr>
          <w:trHeight w:val="243"/>
        </w:trPr>
        <w:tc>
          <w:tcPr>
            <w:tcW w:w="2360" w:type="dxa"/>
            <w:vAlign w:val="bottom"/>
            <w:tcBorders>
              <w:bottom w:val="single" w:sz="8" w:color="A0C4DA"/>
            </w:tcBorders>
            <w:gridSpan w:val="2"/>
          </w:tcPr>
          <w:p>
            <w:pPr>
              <w:jc w:val="right"/>
              <w:ind w:right="9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587</w:t>
            </w:r>
          </w:p>
        </w:tc>
      </w:tr>
      <w:tr>
        <w:trPr>
          <w:trHeight w:val="223"/>
        </w:trPr>
        <w:tc>
          <w:tcPr>
            <w:tcW w:w="2360" w:type="dxa"/>
            <w:vAlign w:val="bottom"/>
            <w:tcBorders>
              <w:bottom w:val="single" w:sz="8" w:color="A0C4DA"/>
            </w:tcBorders>
            <w:gridSpan w:val="2"/>
            <w:shd w:val="clear" w:color="auto" w:fill="A0C4DA"/>
          </w:tcPr>
          <w:p>
            <w:pPr>
              <w:spacing w:after="0"/>
              <w:rPr>
                <w:sz w:val="19"/>
                <w:szCs w:val="19"/>
                <w:color w:val="auto"/>
              </w:rPr>
            </w:pPr>
          </w:p>
        </w:tc>
        <w:tc>
          <w:tcPr>
            <w:tcW w:w="220" w:type="dxa"/>
            <w:vAlign w:val="bottom"/>
            <w:tcBorders>
              <w:bottom w:val="single" w:sz="8" w:color="auto"/>
            </w:tcBorders>
            <w:shd w:val="clear" w:color="auto" w:fill="A0C4DA"/>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A0C4DA"/>
          </w:tcPr>
          <w:p>
            <w:pPr>
              <w:jc w:val="right"/>
              <w:ind w:right="239"/>
              <w:spacing w:after="0" w:line="183" w:lineRule="exact"/>
              <w:rPr>
                <w:sz w:val="20"/>
                <w:szCs w:val="20"/>
                <w:color w:val="auto"/>
              </w:rPr>
            </w:pPr>
            <w:r>
              <w:rPr>
                <w:rFonts w:ascii="Arial" w:cs="Arial" w:eastAsia="Arial" w:hAnsi="Arial"/>
                <w:sz w:val="16"/>
                <w:szCs w:val="16"/>
                <w:color w:val="auto"/>
                <w:w w:val="94"/>
              </w:rPr>
              <w:t>2,131</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Inventories, net of reserves, consist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shd w:val="clear" w:color="auto" w:fill="A0C4DA"/>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A0C4DA"/>
          </w:tcPr>
          <w:p>
            <w:pPr>
              <w:spacing w:after="0"/>
              <w:rPr>
                <w:sz w:val="19"/>
                <w:szCs w:val="19"/>
                <w:color w:val="auto"/>
              </w:rPr>
            </w:pPr>
          </w:p>
        </w:tc>
        <w:tc>
          <w:tcPr>
            <w:tcW w:w="920" w:type="dxa"/>
            <w:vAlign w:val="bottom"/>
            <w:shd w:val="clear" w:color="auto" w:fill="A0C4DA"/>
          </w:tcPr>
          <w:p>
            <w:pPr>
              <w:spacing w:after="0"/>
              <w:rPr>
                <w:sz w:val="19"/>
                <w:szCs w:val="19"/>
                <w:color w:val="auto"/>
              </w:rPr>
            </w:pPr>
          </w:p>
        </w:tc>
        <w:tc>
          <w:tcPr>
            <w:tcW w:w="620" w:type="dxa"/>
            <w:vAlign w:val="bottom"/>
            <w:shd w:val="clear" w:color="auto" w:fill="A0C4DA"/>
          </w:tcPr>
          <w:p>
            <w:pPr>
              <w:spacing w:after="0"/>
              <w:rPr>
                <w:sz w:val="19"/>
                <w:szCs w:val="19"/>
                <w:color w:val="auto"/>
              </w:rPr>
            </w:pPr>
          </w:p>
        </w:tc>
        <w:tc>
          <w:tcPr>
            <w:tcW w:w="74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1,091</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shd w:val="clear" w:color="auto" w:fill="A0C4DA"/>
          </w:tcPr>
          <w:p>
            <w:pPr>
              <w:ind w:left="16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A0C4DA"/>
          </w:tcPr>
          <w:p>
            <w:pPr>
              <w:spacing w:after="0"/>
              <w:rPr>
                <w:sz w:val="19"/>
                <w:szCs w:val="19"/>
                <w:color w:val="auto"/>
              </w:rPr>
            </w:pPr>
          </w:p>
        </w:tc>
        <w:tc>
          <w:tcPr>
            <w:tcW w:w="920" w:type="dxa"/>
            <w:vAlign w:val="bottom"/>
            <w:tcBorders>
              <w:bottom w:val="single" w:sz="8" w:color="auto"/>
            </w:tcBorders>
            <w:shd w:val="clear" w:color="auto" w:fill="A0C4DA"/>
          </w:tcPr>
          <w:p>
            <w:pPr>
              <w:jc w:val="right"/>
              <w:ind w:right="134"/>
              <w:spacing w:after="0"/>
              <w:rPr>
                <w:sz w:val="20"/>
                <w:szCs w:val="20"/>
                <w:color w:val="auto"/>
              </w:rPr>
            </w:pPr>
            <w:r>
              <w:rPr>
                <w:rFonts w:ascii="Arial" w:cs="Arial" w:eastAsia="Arial" w:hAnsi="Arial"/>
                <w:sz w:val="18"/>
                <w:szCs w:val="18"/>
                <w:color w:val="auto"/>
              </w:rPr>
              <w:t>11,474</w:t>
            </w:r>
          </w:p>
        </w:tc>
        <w:tc>
          <w:tcPr>
            <w:tcW w:w="620" w:type="dxa"/>
            <w:vAlign w:val="bottom"/>
            <w:tcBorders>
              <w:bottom w:val="single" w:sz="8" w:color="auto"/>
            </w:tcBorders>
            <w:shd w:val="clear" w:color="auto" w:fill="A0C4DA"/>
          </w:tcPr>
          <w:p>
            <w:pPr>
              <w:spacing w:after="0"/>
              <w:rPr>
                <w:sz w:val="19"/>
                <w:szCs w:val="19"/>
                <w:color w:val="auto"/>
              </w:rPr>
            </w:pPr>
          </w:p>
        </w:tc>
        <w:tc>
          <w:tcPr>
            <w:tcW w:w="740" w:type="dxa"/>
            <w:vAlign w:val="bottom"/>
            <w:tcBorders>
              <w:bottom w:val="single" w:sz="8" w:color="auto"/>
            </w:tcBorders>
            <w:shd w:val="clear" w:color="auto" w:fill="A0C4DA"/>
          </w:tcPr>
          <w:p>
            <w:pPr>
              <w:jc w:val="right"/>
              <w:ind w:right="253"/>
              <w:spacing w:after="0"/>
              <w:rPr>
                <w:sz w:val="20"/>
                <w:szCs w:val="20"/>
                <w:color w:val="auto"/>
              </w:rPr>
            </w:pPr>
            <w:r>
              <w:rPr>
                <w:rFonts w:ascii="Arial" w:cs="Arial" w:eastAsia="Arial" w:hAnsi="Arial"/>
                <w:sz w:val="18"/>
                <w:szCs w:val="18"/>
                <w:color w:val="auto"/>
                <w:w w:val="84"/>
              </w:rPr>
              <w:t>8,004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2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4"/>
              <w:spacing w:after="0" w:line="182" w:lineRule="exact"/>
              <w:rPr>
                <w:sz w:val="20"/>
                <w:szCs w:val="20"/>
                <w:color w:val="auto"/>
              </w:rPr>
            </w:pPr>
            <w:r>
              <w:rPr>
                <w:rFonts w:ascii="Arial" w:cs="Arial" w:eastAsia="Arial" w:hAnsi="Arial"/>
                <w:sz w:val="18"/>
                <w:szCs w:val="18"/>
                <w:color w:val="auto"/>
              </w:rPr>
              <w:t>12,565</w:t>
            </w:r>
          </w:p>
        </w:tc>
        <w:tc>
          <w:tcPr>
            <w:tcW w:w="6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3"/>
              <w:spacing w:after="0" w:line="182" w:lineRule="exact"/>
              <w:rPr>
                <w:sz w:val="20"/>
                <w:szCs w:val="20"/>
                <w:color w:val="auto"/>
              </w:rPr>
            </w:pPr>
            <w:r>
              <w:rPr>
                <w:rFonts w:ascii="Arial" w:cs="Arial" w:eastAsia="Arial" w:hAnsi="Arial"/>
                <w:sz w:val="18"/>
                <w:szCs w:val="18"/>
                <w:color w:val="auto"/>
                <w:w w:val="84"/>
              </w:rPr>
              <w:t>8,780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360" w:type="dxa"/>
            <w:vAlign w:val="bottom"/>
            <w:shd w:val="clear" w:color="auto" w:fill="A0C4DA"/>
          </w:tcPr>
          <w:p>
            <w:pPr>
              <w:spacing w:after="0"/>
              <w:rPr>
                <w:sz w:val="19"/>
                <w:szCs w:val="19"/>
                <w:color w:val="auto"/>
              </w:rPr>
            </w:pPr>
          </w:p>
        </w:tc>
        <w:tc>
          <w:tcPr>
            <w:tcW w:w="420" w:type="dxa"/>
            <w:vAlign w:val="bottom"/>
            <w:shd w:val="clear" w:color="auto" w:fill="A0C4DA"/>
          </w:tcPr>
          <w:p>
            <w:pPr>
              <w:spacing w:after="0"/>
              <w:rPr>
                <w:sz w:val="19"/>
                <w:szCs w:val="19"/>
                <w:color w:val="auto"/>
              </w:rPr>
            </w:pPr>
          </w:p>
        </w:tc>
        <w:tc>
          <w:tcPr>
            <w:tcW w:w="920" w:type="dxa"/>
            <w:vAlign w:val="bottom"/>
            <w:shd w:val="clear" w:color="auto" w:fill="A0C4DA"/>
          </w:tcPr>
          <w:p>
            <w:pPr>
              <w:spacing w:after="0"/>
              <w:rPr>
                <w:sz w:val="19"/>
                <w:szCs w:val="19"/>
                <w:color w:val="auto"/>
              </w:rPr>
            </w:pPr>
          </w:p>
        </w:tc>
        <w:tc>
          <w:tcPr>
            <w:tcW w:w="620" w:type="dxa"/>
            <w:vAlign w:val="bottom"/>
            <w:shd w:val="clear" w:color="auto" w:fill="A0C4DA"/>
          </w:tcPr>
          <w:p>
            <w:pPr>
              <w:spacing w:after="0"/>
              <w:rPr>
                <w:sz w:val="19"/>
                <w:szCs w:val="19"/>
                <w:color w:val="auto"/>
              </w:rPr>
            </w:pPr>
          </w:p>
        </w:tc>
        <w:tc>
          <w:tcPr>
            <w:tcW w:w="74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Long-term:</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shd w:val="clear" w:color="auto" w:fill="A0C4DA"/>
          </w:tcPr>
          <w:p>
            <w:pPr>
              <w:ind w:left="160"/>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A0C4DA"/>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A0C4DA"/>
          </w:tcPr>
          <w:p>
            <w:pPr>
              <w:jc w:val="right"/>
              <w:ind w:right="134"/>
              <w:spacing w:after="0"/>
              <w:rPr>
                <w:sz w:val="20"/>
                <w:szCs w:val="20"/>
                <w:color w:val="auto"/>
              </w:rPr>
            </w:pPr>
            <w:r>
              <w:rPr>
                <w:rFonts w:ascii="Arial" w:cs="Arial" w:eastAsia="Arial" w:hAnsi="Arial"/>
                <w:sz w:val="18"/>
                <w:szCs w:val="18"/>
                <w:color w:val="auto"/>
              </w:rPr>
              <w:t>444</w:t>
            </w:r>
          </w:p>
        </w:tc>
        <w:tc>
          <w:tcPr>
            <w:tcW w:w="62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A0C4DA"/>
          </w:tcPr>
          <w:p>
            <w:pPr>
              <w:jc w:val="right"/>
              <w:ind w:right="253"/>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Borders>
              <w:bottom w:val="single" w:sz="8" w:color="A0C4DA"/>
            </w:tcBorders>
          </w:tcPr>
          <w:p>
            <w:pPr>
              <w:ind w:left="16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1,461</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84"/>
              </w:rPr>
              <w:t>2,048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A0C4DA"/>
            </w:tcBorders>
            <w:shd w:val="clear" w:color="auto" w:fill="A0C4DA"/>
          </w:tcPr>
          <w:p>
            <w:pPr>
              <w:spacing w:after="0"/>
              <w:rPr>
                <w:sz w:val="19"/>
                <w:szCs w:val="19"/>
                <w:color w:val="auto"/>
              </w:rPr>
            </w:pPr>
          </w:p>
        </w:tc>
        <w:tc>
          <w:tcPr>
            <w:tcW w:w="420" w:type="dxa"/>
            <w:vAlign w:val="bottom"/>
            <w:tcBorders>
              <w:bottom w:val="single" w:sz="8" w:color="auto"/>
            </w:tcBorders>
            <w:shd w:val="clear" w:color="auto" w:fill="A0C4DA"/>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A0C4DA"/>
          </w:tcPr>
          <w:p>
            <w:pPr>
              <w:jc w:val="right"/>
              <w:ind w:right="134"/>
              <w:spacing w:after="0" w:line="182" w:lineRule="exact"/>
              <w:rPr>
                <w:sz w:val="20"/>
                <w:szCs w:val="20"/>
                <w:color w:val="auto"/>
              </w:rPr>
            </w:pPr>
            <w:r>
              <w:rPr>
                <w:rFonts w:ascii="Arial" w:cs="Arial" w:eastAsia="Arial" w:hAnsi="Arial"/>
                <w:sz w:val="18"/>
                <w:szCs w:val="18"/>
                <w:color w:val="auto"/>
              </w:rPr>
              <w:t>1,905</w:t>
            </w:r>
          </w:p>
        </w:tc>
        <w:tc>
          <w:tcPr>
            <w:tcW w:w="620" w:type="dxa"/>
            <w:vAlign w:val="bottom"/>
            <w:tcBorders>
              <w:bottom w:val="single" w:sz="8" w:color="auto"/>
            </w:tcBorders>
            <w:shd w:val="clear" w:color="auto" w:fill="A0C4DA"/>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A0C4DA"/>
          </w:tcPr>
          <w:p>
            <w:pPr>
              <w:jc w:val="right"/>
              <w:ind w:right="253"/>
              <w:spacing w:after="0" w:line="182" w:lineRule="exact"/>
              <w:rPr>
                <w:sz w:val="20"/>
                <w:szCs w:val="20"/>
                <w:color w:val="auto"/>
              </w:rPr>
            </w:pPr>
            <w:r>
              <w:rPr>
                <w:rFonts w:ascii="Arial" w:cs="Arial" w:eastAsia="Arial" w:hAnsi="Arial"/>
                <w:sz w:val="18"/>
                <w:szCs w:val="18"/>
                <w:color w:val="auto"/>
                <w:w w:val="84"/>
              </w:rPr>
              <w:t>2,617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74" w:name="page75"/>
    <w:bookmarkEnd w:id="74"/>
    <w:p>
      <w:pPr>
        <w:jc w:val="center"/>
        <w:ind w:left="280" w:right="168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1" w:lineRule="exact"/>
        <w:rPr>
          <w:sz w:val="20"/>
          <w:szCs w:val="20"/>
          <w:color w:val="auto"/>
        </w:rPr>
      </w:pPr>
    </w:p>
    <w:p>
      <w:pPr>
        <w:ind w:right="1159"/>
        <w:spacing w:after="0" w:line="252" w:lineRule="auto"/>
        <w:rPr>
          <w:sz w:val="20"/>
          <w:szCs w:val="20"/>
          <w:color w:val="auto"/>
        </w:rPr>
      </w:pPr>
      <w:r>
        <w:rPr>
          <w:rFonts w:ascii="Arial" w:cs="Arial" w:eastAsia="Arial" w:hAnsi="Arial"/>
          <w:sz w:val="21"/>
          <w:szCs w:val="21"/>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201" w:lineRule="exact"/>
        <w:rPr>
          <w:sz w:val="20"/>
          <w:szCs w:val="20"/>
          <w:color w:val="auto"/>
        </w:rPr>
      </w:pPr>
    </w:p>
    <w:p>
      <w:pPr>
        <w:ind w:right="1199"/>
        <w:spacing w:after="0" w:line="297" w:lineRule="auto"/>
        <w:rPr>
          <w:sz w:val="20"/>
          <w:szCs w:val="20"/>
          <w:color w:val="auto"/>
        </w:rPr>
      </w:pPr>
      <w:r>
        <w:rPr>
          <w:rFonts w:ascii="Arial" w:cs="Arial" w:eastAsia="Arial" w:hAnsi="Arial"/>
          <w:sz w:val="19"/>
          <w:szCs w:val="19"/>
          <w:color w:val="auto"/>
        </w:rPr>
        <w:t>Current finished goods include consigned inventory in the amounts of approximately $1,199 and $1,742 as of December 31, 2011 and 2010, respectively. Consigned inventory represents inventory at distributors and other customers where revenue recognition criteria have not been achieved.</w:t>
      </w:r>
    </w:p>
    <w:p>
      <w:pPr>
        <w:spacing w:after="0" w:line="161" w:lineRule="exact"/>
        <w:rPr>
          <w:sz w:val="20"/>
          <w:szCs w:val="20"/>
          <w:color w:val="auto"/>
        </w:rPr>
      </w:pPr>
    </w:p>
    <w:p>
      <w:pPr>
        <w:ind w:right="1179"/>
        <w:spacing w:after="0"/>
        <w:rPr>
          <w:sz w:val="20"/>
          <w:szCs w:val="20"/>
          <w:color w:val="auto"/>
        </w:rPr>
      </w:pPr>
      <w:r>
        <w:rPr>
          <w:rFonts w:ascii="Arial" w:cs="Arial" w:eastAsia="Arial" w:hAnsi="Arial"/>
          <w:sz w:val="22"/>
          <w:szCs w:val="22"/>
          <w:color w:val="auto"/>
        </w:rPr>
        <w:t>The losses (benefit) incurred on valuation of inventory at the lower of cost or market value and write-off of obsolete inventory amounted to $188 and ($104) during the years ended December 31,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Property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Major classifications of property and equipment and estimated useful lives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480" w:type="dxa"/>
            <w:vAlign w:val="bottom"/>
          </w:tcPr>
          <w:p>
            <w:pPr>
              <w:spacing w:after="0"/>
              <w:rPr>
                <w:sz w:val="16"/>
                <w:szCs w:val="16"/>
                <w:color w:val="auto"/>
              </w:rPr>
            </w:pPr>
          </w:p>
        </w:tc>
        <w:tc>
          <w:tcPr>
            <w:tcW w:w="2400" w:type="dxa"/>
            <w:vAlign w:val="bottom"/>
            <w:gridSpan w:val="3"/>
          </w:tcPr>
          <w:p>
            <w:pPr>
              <w:jc w:val="right"/>
              <w:ind w:right="753"/>
              <w:spacing w:after="0"/>
              <w:rPr>
                <w:sz w:val="20"/>
                <w:szCs w:val="20"/>
                <w:color w:val="auto"/>
              </w:rPr>
            </w:pPr>
            <w:r>
              <w:rPr>
                <w:rFonts w:ascii="Arial" w:cs="Arial" w:eastAsia="Arial" w:hAnsi="Arial"/>
                <w:sz w:val="14"/>
                <w:szCs w:val="14"/>
                <w:b w:val="1"/>
                <w:bCs w:val="1"/>
                <w:color w:val="auto"/>
              </w:rPr>
              <w:t>As of December 31,</w:t>
            </w:r>
          </w:p>
        </w:tc>
      </w:tr>
      <w:tr>
        <w:trPr>
          <w:trHeight w:val="201"/>
        </w:trPr>
        <w:tc>
          <w:tcPr>
            <w:tcW w:w="356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r>
      <w:tr>
        <w:trPr>
          <w:trHeight w:val="223"/>
        </w:trPr>
        <w:tc>
          <w:tcPr>
            <w:tcW w:w="3560" w:type="dxa"/>
            <w:vAlign w:val="bottom"/>
            <w:shd w:val="clear" w:color="auto" w:fill="A0C4DA"/>
          </w:tcPr>
          <w:p>
            <w:pPr>
              <w:spacing w:after="0"/>
              <w:rPr>
                <w:sz w:val="20"/>
                <w:szCs w:val="20"/>
                <w:color w:val="auto"/>
              </w:rPr>
            </w:pPr>
            <w:r>
              <w:rPr>
                <w:rFonts w:ascii="Arial" w:cs="Arial" w:eastAsia="Arial" w:hAnsi="Arial"/>
                <w:sz w:val="18"/>
                <w:szCs w:val="18"/>
                <w:color w:val="auto"/>
              </w:rPr>
              <w:t>Office furniture and equipment</w:t>
            </w:r>
          </w:p>
        </w:tc>
        <w:tc>
          <w:tcPr>
            <w:tcW w:w="11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88"/>
              </w:rPr>
              <w:t>3 to 10 years</w:t>
            </w:r>
          </w:p>
        </w:tc>
        <w:tc>
          <w:tcPr>
            <w:tcW w:w="480" w:type="dxa"/>
            <w:vAlign w:val="bottom"/>
            <w:shd w:val="clear" w:color="auto" w:fill="A0C4DA"/>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A0C4DA"/>
          </w:tcPr>
          <w:p>
            <w:pPr>
              <w:jc w:val="right"/>
              <w:ind w:right="174"/>
              <w:spacing w:after="0"/>
              <w:rPr>
                <w:sz w:val="20"/>
                <w:szCs w:val="20"/>
                <w:color w:val="auto"/>
              </w:rPr>
            </w:pPr>
            <w:r>
              <w:rPr>
                <w:rFonts w:ascii="Arial" w:cs="Arial" w:eastAsia="Arial" w:hAnsi="Arial"/>
                <w:sz w:val="18"/>
                <w:szCs w:val="18"/>
                <w:color w:val="auto"/>
              </w:rPr>
              <w:t>9,627</w:t>
            </w:r>
          </w:p>
        </w:tc>
        <w:tc>
          <w:tcPr>
            <w:tcW w:w="34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A0C4DA"/>
          </w:tcPr>
          <w:p>
            <w:pPr>
              <w:jc w:val="right"/>
              <w:ind w:right="273"/>
              <w:spacing w:after="0"/>
              <w:rPr>
                <w:sz w:val="20"/>
                <w:szCs w:val="20"/>
                <w:color w:val="auto"/>
              </w:rPr>
            </w:pPr>
            <w:r>
              <w:rPr>
                <w:rFonts w:ascii="Arial" w:cs="Arial" w:eastAsia="Arial" w:hAnsi="Arial"/>
                <w:sz w:val="18"/>
                <w:szCs w:val="18"/>
                <w:color w:val="auto"/>
              </w:rPr>
              <w:t>9,583</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1 to 6 years</w:t>
            </w:r>
          </w:p>
        </w:tc>
        <w:tc>
          <w:tcPr>
            <w:tcW w:w="480" w:type="dxa"/>
            <w:vAlign w:val="bottom"/>
          </w:tcPr>
          <w:p>
            <w:pPr>
              <w:spacing w:after="0"/>
              <w:rPr>
                <w:sz w:val="19"/>
                <w:szCs w:val="19"/>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1,392</w:t>
            </w:r>
          </w:p>
        </w:tc>
        <w:tc>
          <w:tcPr>
            <w:tcW w:w="340" w:type="dxa"/>
            <w:vAlign w:val="bottom"/>
          </w:tcPr>
          <w:p>
            <w:pPr>
              <w:spacing w:after="0"/>
              <w:rPr>
                <w:sz w:val="19"/>
                <w:szCs w:val="19"/>
                <w:color w:val="auto"/>
              </w:rPr>
            </w:pPr>
          </w:p>
        </w:tc>
        <w:tc>
          <w:tcPr>
            <w:tcW w:w="960" w:type="dxa"/>
            <w:vAlign w:val="bottom"/>
          </w:tcPr>
          <w:p>
            <w:pPr>
              <w:jc w:val="right"/>
              <w:ind w:right="273"/>
              <w:spacing w:after="0"/>
              <w:rPr>
                <w:sz w:val="20"/>
                <w:szCs w:val="20"/>
                <w:color w:val="auto"/>
              </w:rPr>
            </w:pPr>
            <w:r>
              <w:rPr>
                <w:rFonts w:ascii="Arial" w:cs="Arial" w:eastAsia="Arial" w:hAnsi="Arial"/>
                <w:sz w:val="18"/>
                <w:szCs w:val="18"/>
                <w:color w:val="auto"/>
              </w:rPr>
              <w:t>1,381</w:t>
            </w:r>
          </w:p>
        </w:tc>
      </w:tr>
      <w:tr>
        <w:trPr>
          <w:trHeight w:val="216"/>
        </w:trPr>
        <w:tc>
          <w:tcPr>
            <w:tcW w:w="356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Manufacturing and test equipment</w:t>
            </w:r>
          </w:p>
        </w:tc>
        <w:tc>
          <w:tcPr>
            <w:tcW w:w="1180" w:type="dxa"/>
            <w:vAlign w:val="bottom"/>
            <w:tcBorders>
              <w:bottom w:val="single" w:sz="8" w:color="A0C4DA"/>
            </w:tcBorders>
            <w:shd w:val="clear" w:color="auto" w:fill="A0C4DA"/>
          </w:tcPr>
          <w:p>
            <w:pPr>
              <w:jc w:val="center"/>
              <w:spacing w:after="0"/>
              <w:rPr>
                <w:sz w:val="20"/>
                <w:szCs w:val="20"/>
                <w:color w:val="auto"/>
              </w:rPr>
            </w:pPr>
            <w:r>
              <w:rPr>
                <w:rFonts w:ascii="Arial" w:cs="Arial" w:eastAsia="Arial" w:hAnsi="Arial"/>
                <w:sz w:val="18"/>
                <w:szCs w:val="18"/>
                <w:color w:val="auto"/>
                <w:w w:val="88"/>
              </w:rPr>
              <w:t>2 to 10 years</w:t>
            </w:r>
          </w:p>
        </w:tc>
        <w:tc>
          <w:tcPr>
            <w:tcW w:w="480" w:type="dxa"/>
            <w:vAlign w:val="bottom"/>
            <w:tcBorders>
              <w:bottom w:val="single" w:sz="8" w:color="auto"/>
            </w:tcBorders>
            <w:shd w:val="clear" w:color="auto" w:fill="A0C4DA"/>
          </w:tcPr>
          <w:p>
            <w:pPr>
              <w:spacing w:after="0"/>
              <w:rPr>
                <w:sz w:val="18"/>
                <w:szCs w:val="18"/>
                <w:color w:val="auto"/>
              </w:rPr>
            </w:pPr>
          </w:p>
        </w:tc>
        <w:tc>
          <w:tcPr>
            <w:tcW w:w="1100" w:type="dxa"/>
            <w:vAlign w:val="bottom"/>
            <w:tcBorders>
              <w:bottom w:val="single" w:sz="8" w:color="auto"/>
            </w:tcBorders>
            <w:shd w:val="clear" w:color="auto" w:fill="A0C4DA"/>
          </w:tcPr>
          <w:p>
            <w:pPr>
              <w:jc w:val="right"/>
              <w:ind w:right="174"/>
              <w:spacing w:after="0"/>
              <w:rPr>
                <w:sz w:val="20"/>
                <w:szCs w:val="20"/>
                <w:color w:val="auto"/>
              </w:rPr>
            </w:pPr>
            <w:r>
              <w:rPr>
                <w:rFonts w:ascii="Arial" w:cs="Arial" w:eastAsia="Arial" w:hAnsi="Arial"/>
                <w:sz w:val="18"/>
                <w:szCs w:val="18"/>
                <w:color w:val="auto"/>
              </w:rPr>
              <w:t>2,590</w:t>
            </w:r>
          </w:p>
        </w:tc>
        <w:tc>
          <w:tcPr>
            <w:tcW w:w="340" w:type="dxa"/>
            <w:vAlign w:val="bottom"/>
            <w:tcBorders>
              <w:bottom w:val="single" w:sz="8" w:color="auto"/>
            </w:tcBorders>
            <w:shd w:val="clear" w:color="auto" w:fill="A0C4DA"/>
          </w:tcPr>
          <w:p>
            <w:pPr>
              <w:spacing w:after="0"/>
              <w:rPr>
                <w:sz w:val="18"/>
                <w:szCs w:val="18"/>
                <w:color w:val="auto"/>
              </w:rPr>
            </w:pPr>
          </w:p>
        </w:tc>
        <w:tc>
          <w:tcPr>
            <w:tcW w:w="960" w:type="dxa"/>
            <w:vAlign w:val="bottom"/>
            <w:tcBorders>
              <w:bottom w:val="single" w:sz="8" w:color="auto"/>
            </w:tcBorders>
            <w:shd w:val="clear" w:color="auto" w:fill="A0C4DA"/>
          </w:tcPr>
          <w:p>
            <w:pPr>
              <w:jc w:val="right"/>
              <w:ind w:right="273"/>
              <w:spacing w:after="0"/>
              <w:rPr>
                <w:sz w:val="20"/>
                <w:szCs w:val="20"/>
                <w:color w:val="auto"/>
              </w:rPr>
            </w:pPr>
            <w:r>
              <w:rPr>
                <w:rFonts w:ascii="Arial" w:cs="Arial" w:eastAsia="Arial" w:hAnsi="Arial"/>
                <w:sz w:val="18"/>
                <w:szCs w:val="18"/>
                <w:color w:val="auto"/>
              </w:rPr>
              <w:t>2,417</w:t>
            </w:r>
          </w:p>
        </w:tc>
      </w:tr>
      <w:tr>
        <w:trPr>
          <w:trHeight w:val="223"/>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13,609</w:t>
            </w:r>
          </w:p>
        </w:tc>
        <w:tc>
          <w:tcPr>
            <w:tcW w:w="340" w:type="dxa"/>
            <w:vAlign w:val="bottom"/>
          </w:tcPr>
          <w:p>
            <w:pPr>
              <w:spacing w:after="0"/>
              <w:rPr>
                <w:sz w:val="19"/>
                <w:szCs w:val="19"/>
                <w:color w:val="auto"/>
              </w:rPr>
            </w:pPr>
          </w:p>
        </w:tc>
        <w:tc>
          <w:tcPr>
            <w:tcW w:w="960" w:type="dxa"/>
            <w:vAlign w:val="bottom"/>
          </w:tcPr>
          <w:p>
            <w:pPr>
              <w:jc w:val="right"/>
              <w:ind w:right="273"/>
              <w:spacing w:after="0"/>
              <w:rPr>
                <w:sz w:val="20"/>
                <w:szCs w:val="20"/>
                <w:color w:val="auto"/>
              </w:rPr>
            </w:pPr>
            <w:r>
              <w:rPr>
                <w:rFonts w:ascii="Arial" w:cs="Arial" w:eastAsia="Arial" w:hAnsi="Arial"/>
                <w:sz w:val="18"/>
                <w:szCs w:val="18"/>
                <w:color w:val="auto"/>
              </w:rPr>
              <w:t>13,381</w:t>
            </w:r>
          </w:p>
        </w:tc>
      </w:tr>
      <w:tr>
        <w:trPr>
          <w:trHeight w:val="230"/>
        </w:trPr>
        <w:tc>
          <w:tcPr>
            <w:tcW w:w="3560" w:type="dxa"/>
            <w:vAlign w:val="bottom"/>
            <w:shd w:val="clear" w:color="auto" w:fill="A0C4DA"/>
          </w:tcPr>
          <w:p>
            <w:pPr>
              <w:spacing w:after="0"/>
              <w:rPr>
                <w:sz w:val="20"/>
                <w:szCs w:val="20"/>
                <w:color w:val="auto"/>
              </w:rPr>
            </w:pPr>
            <w:r>
              <w:rPr>
                <w:rFonts w:ascii="Arial" w:cs="Arial" w:eastAsia="Arial" w:hAnsi="Arial"/>
                <w:sz w:val="18"/>
                <w:szCs w:val="18"/>
                <w:color w:val="auto"/>
              </w:rPr>
              <w:t>Accumulated depreciation and amortization</w:t>
            </w:r>
          </w:p>
        </w:tc>
        <w:tc>
          <w:tcPr>
            <w:tcW w:w="1180" w:type="dxa"/>
            <w:vAlign w:val="bottom"/>
            <w:shd w:val="clear" w:color="auto" w:fill="A0C4DA"/>
          </w:tcPr>
          <w:p>
            <w:pPr>
              <w:spacing w:after="0"/>
              <w:rPr>
                <w:sz w:val="19"/>
                <w:szCs w:val="19"/>
                <w:color w:val="auto"/>
              </w:rPr>
            </w:pPr>
          </w:p>
        </w:tc>
        <w:tc>
          <w:tcPr>
            <w:tcW w:w="480" w:type="dxa"/>
            <w:vAlign w:val="bottom"/>
            <w:tcBorders>
              <w:bottom w:val="single" w:sz="8" w:color="auto"/>
            </w:tcBorders>
            <w:shd w:val="clear" w:color="auto" w:fill="A0C4DA"/>
          </w:tcPr>
          <w:p>
            <w:pPr>
              <w:spacing w:after="0"/>
              <w:rPr>
                <w:sz w:val="19"/>
                <w:szCs w:val="19"/>
                <w:color w:val="auto"/>
              </w:rPr>
            </w:pPr>
          </w:p>
        </w:tc>
        <w:tc>
          <w:tcPr>
            <w:tcW w:w="1100" w:type="dxa"/>
            <w:vAlign w:val="bottom"/>
            <w:tcBorders>
              <w:bottom w:val="single" w:sz="8" w:color="auto"/>
            </w:tcBorders>
            <w:shd w:val="clear" w:color="auto" w:fill="A0C4DA"/>
          </w:tcPr>
          <w:p>
            <w:pPr>
              <w:jc w:val="right"/>
              <w:ind w:right="134"/>
              <w:spacing w:after="0"/>
              <w:rPr>
                <w:sz w:val="20"/>
                <w:szCs w:val="20"/>
                <w:color w:val="auto"/>
              </w:rPr>
            </w:pPr>
            <w:r>
              <w:rPr>
                <w:rFonts w:ascii="Arial" w:cs="Arial" w:eastAsia="Arial" w:hAnsi="Arial"/>
                <w:sz w:val="18"/>
                <w:szCs w:val="18"/>
                <w:color w:val="auto"/>
              </w:rPr>
              <w:t>(11,271)</w:t>
            </w:r>
          </w:p>
        </w:tc>
        <w:tc>
          <w:tcPr>
            <w:tcW w:w="340" w:type="dxa"/>
            <w:vAlign w:val="bottom"/>
            <w:tcBorders>
              <w:bottom w:val="single" w:sz="8" w:color="auto"/>
            </w:tcBorders>
            <w:shd w:val="clear" w:color="auto" w:fill="A0C4DA"/>
          </w:tcPr>
          <w:p>
            <w:pPr>
              <w:spacing w:after="0"/>
              <w:rPr>
                <w:sz w:val="19"/>
                <w:szCs w:val="19"/>
                <w:color w:val="auto"/>
              </w:rPr>
            </w:pPr>
          </w:p>
        </w:tc>
        <w:tc>
          <w:tcPr>
            <w:tcW w:w="960" w:type="dxa"/>
            <w:vAlign w:val="bottom"/>
            <w:tcBorders>
              <w:bottom w:val="single" w:sz="8" w:color="auto"/>
            </w:tcBorders>
            <w:shd w:val="clear" w:color="auto" w:fill="A0C4DA"/>
          </w:tcPr>
          <w:p>
            <w:pPr>
              <w:jc w:val="right"/>
              <w:ind w:right="213"/>
              <w:spacing w:after="0"/>
              <w:rPr>
                <w:sz w:val="20"/>
                <w:szCs w:val="20"/>
                <w:color w:val="auto"/>
              </w:rPr>
            </w:pPr>
            <w:r>
              <w:rPr>
                <w:rFonts w:ascii="Arial" w:cs="Arial" w:eastAsia="Arial" w:hAnsi="Arial"/>
                <w:sz w:val="18"/>
                <w:szCs w:val="18"/>
                <w:color w:val="auto"/>
                <w:w w:val="95"/>
              </w:rPr>
              <w:t>(10,416)</w:t>
            </w:r>
          </w:p>
        </w:tc>
      </w:tr>
      <w:tr>
        <w:trPr>
          <w:trHeight w:val="183"/>
        </w:trPr>
        <w:tc>
          <w:tcPr>
            <w:tcW w:w="3560" w:type="dxa"/>
            <w:vAlign w:val="bottom"/>
          </w:tcPr>
          <w:p>
            <w:pPr>
              <w:ind w:left="140"/>
              <w:spacing w:after="0" w:line="182" w:lineRule="exact"/>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5"/>
                <w:szCs w:val="15"/>
                <w:color w:val="auto"/>
              </w:rPr>
            </w:pPr>
          </w:p>
        </w:tc>
        <w:tc>
          <w:tcPr>
            <w:tcW w:w="4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4"/>
              <w:spacing w:after="0" w:line="182" w:lineRule="exact"/>
              <w:rPr>
                <w:sz w:val="20"/>
                <w:szCs w:val="20"/>
                <w:color w:val="auto"/>
              </w:rPr>
            </w:pPr>
            <w:r>
              <w:rPr>
                <w:rFonts w:ascii="Arial" w:cs="Arial" w:eastAsia="Arial" w:hAnsi="Arial"/>
                <w:sz w:val="18"/>
                <w:szCs w:val="18"/>
                <w:color w:val="auto"/>
              </w:rPr>
              <w:t>2,338</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3"/>
              <w:spacing w:after="0" w:line="182" w:lineRule="exact"/>
              <w:rPr>
                <w:sz w:val="20"/>
                <w:szCs w:val="20"/>
                <w:color w:val="auto"/>
              </w:rPr>
            </w:pPr>
            <w:r>
              <w:rPr>
                <w:rFonts w:ascii="Arial" w:cs="Arial" w:eastAsia="Arial" w:hAnsi="Arial"/>
                <w:sz w:val="18"/>
                <w:szCs w:val="18"/>
                <w:color w:val="auto"/>
              </w:rPr>
              <w:t>2,965</w:t>
            </w:r>
          </w:p>
        </w:tc>
      </w:tr>
      <w:tr>
        <w:trPr>
          <w:trHeight w:val="20"/>
        </w:trPr>
        <w:tc>
          <w:tcPr>
            <w:tcW w:w="3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259"/>
        <w:spacing w:after="0" w:line="251" w:lineRule="auto"/>
        <w:rPr>
          <w:sz w:val="20"/>
          <w:szCs w:val="20"/>
          <w:color w:val="auto"/>
        </w:rPr>
      </w:pPr>
      <w:r>
        <w:rPr>
          <w:rFonts w:ascii="Arial" w:cs="Arial" w:eastAsia="Arial" w:hAnsi="Arial"/>
          <w:sz w:val="22"/>
          <w:szCs w:val="22"/>
          <w:color w:val="auto"/>
        </w:rPr>
        <w:t>Depreciation expense for the years ended December 31, 2011 and 2010 was $892 and $969,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Leases and Deferred Rent</w:t>
      </w:r>
    </w:p>
    <w:p>
      <w:pPr>
        <w:spacing w:after="0" w:line="239" w:lineRule="exact"/>
        <w:rPr>
          <w:sz w:val="20"/>
          <w:szCs w:val="20"/>
          <w:color w:val="auto"/>
        </w:rPr>
      </w:pPr>
    </w:p>
    <w:p>
      <w:pPr>
        <w:jc w:val="both"/>
        <w:ind w:right="1179"/>
        <w:spacing w:after="0"/>
        <w:rPr>
          <w:sz w:val="20"/>
          <w:szCs w:val="20"/>
          <w:color w:val="auto"/>
        </w:rPr>
      </w:pPr>
      <w:r>
        <w:rPr>
          <w:rFonts w:ascii="Arial" w:cs="Arial" w:eastAsia="Arial" w:hAnsi="Arial"/>
          <w:sz w:val="22"/>
          <w:szCs w:val="22"/>
          <w:color w:val="auto"/>
        </w:rPr>
        <w:t>Rental expense is recognized on a straight-line basis. Rental expense, which was composed of minimum payments under operating lease obligations, was $762 and $885 for the years ended December 31, 2011 and 2010, respectively.</w:t>
      </w:r>
    </w:p>
    <w:p>
      <w:pPr>
        <w:spacing w:after="0" w:line="200" w:lineRule="exact"/>
        <w:rPr>
          <w:sz w:val="20"/>
          <w:szCs w:val="20"/>
          <w:color w:val="auto"/>
        </w:rPr>
      </w:pPr>
    </w:p>
    <w:p>
      <w:pPr>
        <w:ind w:right="1579"/>
        <w:spacing w:after="0" w:line="214" w:lineRule="auto"/>
        <w:rPr>
          <w:sz w:val="20"/>
          <w:szCs w:val="20"/>
          <w:color w:val="auto"/>
        </w:rPr>
      </w:pPr>
      <w:r>
        <w:rPr>
          <w:rFonts w:ascii="Arial" w:cs="Arial" w:eastAsia="Arial" w:hAnsi="Arial"/>
          <w:sz w:val="22"/>
          <w:szCs w:val="22"/>
          <w:color w:val="auto"/>
        </w:rPr>
        <w:t>We currently occupy a 31,279 square-foot facility in Salt Lake City, Utah under the terms of an operating lease expiring in May 2016 which supports our principal administrative, sales, marketing, customer support, and research and product development facility.</w:t>
      </w:r>
    </w:p>
    <w:p>
      <w:pPr>
        <w:spacing w:after="0" w:line="134" w:lineRule="exact"/>
        <w:rPr>
          <w:sz w:val="20"/>
          <w:szCs w:val="20"/>
          <w:color w:val="auto"/>
        </w:rPr>
      </w:pPr>
    </w:p>
    <w:p>
      <w:pPr>
        <w:ind w:right="1559"/>
        <w:spacing w:after="0" w:line="253" w:lineRule="auto"/>
        <w:rPr>
          <w:sz w:val="20"/>
          <w:szCs w:val="20"/>
          <w:color w:val="auto"/>
        </w:rPr>
      </w:pPr>
      <w:r>
        <w:rPr>
          <w:rFonts w:ascii="Arial" w:cs="Arial" w:eastAsia="Arial" w:hAnsi="Arial"/>
          <w:sz w:val="19"/>
          <w:szCs w:val="19"/>
          <w:color w:val="auto"/>
        </w:rPr>
        <w:t>We occupy a 40,000 square-foot warehouse in Salt Lake City under the terms of an operating lease expiring in December 2017 which serves as our primary inventory fulfillment and repair center. Our earlier lease for the 23,712 square-foot warehouse in Salt Lake City terminated in January 2012.</w:t>
      </w:r>
    </w:p>
    <w:p>
      <w:pPr>
        <w:spacing w:after="0" w:line="133" w:lineRule="exact"/>
        <w:rPr>
          <w:sz w:val="20"/>
          <w:szCs w:val="20"/>
          <w:color w:val="auto"/>
        </w:rPr>
      </w:pPr>
    </w:p>
    <w:p>
      <w:pPr>
        <w:ind w:right="1339"/>
        <w:spacing w:after="0" w:line="297" w:lineRule="auto"/>
        <w:rPr>
          <w:sz w:val="20"/>
          <w:szCs w:val="20"/>
          <w:color w:val="auto"/>
        </w:rPr>
      </w:pPr>
      <w:r>
        <w:rPr>
          <w:rFonts w:ascii="Arial" w:cs="Arial" w:eastAsia="Arial" w:hAnsi="Arial"/>
          <w:sz w:val="19"/>
          <w:szCs w:val="19"/>
          <w:color w:val="auto"/>
        </w:rPr>
        <w:t>The Company currently leases a warehouse measuring approximately 5,600 square-feet in Hong Kong under an operating lease that expires in February 2014. This warehouse is maintained to support the Company’s partners and customers located in the Asia-Pacific region.</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75" w:name="page76"/>
    <w:bookmarkEnd w:id="75"/>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1" w:lineRule="exact"/>
        <w:rPr>
          <w:sz w:val="20"/>
          <w:szCs w:val="20"/>
          <w:color w:val="auto"/>
        </w:rPr>
      </w:pPr>
    </w:p>
    <w:p>
      <w:pPr>
        <w:ind w:right="1259"/>
        <w:spacing w:after="0" w:line="251" w:lineRule="auto"/>
        <w:rPr>
          <w:sz w:val="20"/>
          <w:szCs w:val="20"/>
          <w:color w:val="auto"/>
        </w:rPr>
      </w:pPr>
      <w:r>
        <w:rPr>
          <w:rFonts w:ascii="Arial" w:cs="Arial" w:eastAsia="Arial" w:hAnsi="Arial"/>
          <w:sz w:val="22"/>
          <w:szCs w:val="22"/>
          <w:color w:val="auto"/>
        </w:rPr>
        <w:t>Future minimum lease payments under noncancellable operating leases with initial terms of one year or more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 31,</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3"/>
        </w:trPr>
        <w:tc>
          <w:tcPr>
            <w:tcW w:w="2660" w:type="dxa"/>
            <w:vAlign w:val="bottom"/>
            <w:shd w:val="clear" w:color="auto" w:fill="A0C4DA"/>
          </w:tcPr>
          <w:p>
            <w:pPr>
              <w:jc w:val="center"/>
              <w:ind w:left="1572"/>
              <w:spacing w:after="0"/>
              <w:rPr>
                <w:sz w:val="20"/>
                <w:szCs w:val="20"/>
                <w:color w:val="auto"/>
              </w:rPr>
            </w:pPr>
            <w:r>
              <w:rPr>
                <w:rFonts w:ascii="Arial" w:cs="Arial" w:eastAsia="Arial" w:hAnsi="Arial"/>
                <w:sz w:val="18"/>
                <w:szCs w:val="18"/>
                <w:color w:val="auto"/>
                <w:w w:val="89"/>
              </w:rPr>
              <w:t>2012</w:t>
            </w:r>
          </w:p>
        </w:tc>
        <w:tc>
          <w:tcPr>
            <w:tcW w:w="640" w:type="dxa"/>
            <w:vAlign w:val="bottom"/>
            <w:gridSpan w:val="2"/>
            <w:shd w:val="clear" w:color="auto" w:fill="A0C4DA"/>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655</w:t>
            </w:r>
          </w:p>
        </w:tc>
      </w:tr>
      <w:tr>
        <w:trPr>
          <w:trHeight w:val="230"/>
        </w:trPr>
        <w:tc>
          <w:tcPr>
            <w:tcW w:w="2660" w:type="dxa"/>
            <w:vAlign w:val="bottom"/>
          </w:tcPr>
          <w:p>
            <w:pPr>
              <w:jc w:val="center"/>
              <w:ind w:left="1572"/>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682</w:t>
            </w:r>
          </w:p>
        </w:tc>
      </w:tr>
      <w:tr>
        <w:trPr>
          <w:trHeight w:val="230"/>
        </w:trPr>
        <w:tc>
          <w:tcPr>
            <w:tcW w:w="2660" w:type="dxa"/>
            <w:vAlign w:val="bottom"/>
            <w:shd w:val="clear" w:color="auto" w:fill="A0C4DA"/>
          </w:tcPr>
          <w:p>
            <w:pPr>
              <w:jc w:val="center"/>
              <w:ind w:left="1572"/>
              <w:spacing w:after="0"/>
              <w:rPr>
                <w:sz w:val="20"/>
                <w:szCs w:val="20"/>
                <w:color w:val="auto"/>
              </w:rPr>
            </w:pPr>
            <w:r>
              <w:rPr>
                <w:rFonts w:ascii="Arial" w:cs="Arial" w:eastAsia="Arial" w:hAnsi="Arial"/>
                <w:sz w:val="18"/>
                <w:szCs w:val="18"/>
                <w:color w:val="auto"/>
                <w:w w:val="89"/>
              </w:rPr>
              <w:t>2014</w:t>
            </w:r>
          </w:p>
        </w:tc>
        <w:tc>
          <w:tcPr>
            <w:tcW w:w="18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98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702</w:t>
            </w:r>
          </w:p>
        </w:tc>
      </w:tr>
      <w:tr>
        <w:trPr>
          <w:trHeight w:val="230"/>
        </w:trPr>
        <w:tc>
          <w:tcPr>
            <w:tcW w:w="2660" w:type="dxa"/>
            <w:vAlign w:val="bottom"/>
          </w:tcPr>
          <w:p>
            <w:pPr>
              <w:jc w:val="center"/>
              <w:ind w:left="1572"/>
              <w:spacing w:after="0"/>
              <w:rPr>
                <w:sz w:val="20"/>
                <w:szCs w:val="20"/>
                <w:color w:val="auto"/>
              </w:rPr>
            </w:pPr>
            <w:r>
              <w:rPr>
                <w:rFonts w:ascii="Arial" w:cs="Arial" w:eastAsia="Arial" w:hAnsi="Arial"/>
                <w:sz w:val="18"/>
                <w:szCs w:val="18"/>
                <w:color w:val="auto"/>
                <w:w w:val="89"/>
              </w:rPr>
              <w:t>2015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737</w:t>
            </w:r>
          </w:p>
        </w:tc>
      </w:tr>
      <w:tr>
        <w:trPr>
          <w:trHeight w:val="230"/>
        </w:trPr>
        <w:tc>
          <w:tcPr>
            <w:tcW w:w="2660" w:type="dxa"/>
            <w:vAlign w:val="bottom"/>
            <w:shd w:val="clear" w:color="auto" w:fill="A0C4DA"/>
          </w:tcPr>
          <w:p>
            <w:pPr>
              <w:jc w:val="center"/>
              <w:ind w:left="1572"/>
              <w:spacing w:after="0"/>
              <w:rPr>
                <w:sz w:val="20"/>
                <w:szCs w:val="20"/>
                <w:color w:val="auto"/>
              </w:rPr>
            </w:pPr>
            <w:r>
              <w:rPr>
                <w:rFonts w:ascii="Arial" w:cs="Arial" w:eastAsia="Arial" w:hAnsi="Arial"/>
                <w:sz w:val="18"/>
                <w:szCs w:val="18"/>
                <w:color w:val="auto"/>
                <w:w w:val="89"/>
              </w:rPr>
              <w:t>2016</w:t>
            </w:r>
          </w:p>
        </w:tc>
        <w:tc>
          <w:tcPr>
            <w:tcW w:w="18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98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410</w:t>
            </w:r>
          </w:p>
        </w:tc>
      </w:tr>
      <w:tr>
        <w:trPr>
          <w:trHeight w:val="230"/>
        </w:trPr>
        <w:tc>
          <w:tcPr>
            <w:tcW w:w="2660" w:type="dxa"/>
            <w:vAlign w:val="bottom"/>
            <w:tcBorders>
              <w:bottom w:val="single" w:sz="8" w:color="A0C4DA"/>
            </w:tcBorders>
          </w:tcPr>
          <w:p>
            <w:pPr>
              <w:jc w:val="center"/>
              <w:ind w:left="1592"/>
              <w:spacing w:after="0"/>
              <w:rPr>
                <w:sz w:val="20"/>
                <w:szCs w:val="20"/>
                <w:color w:val="auto"/>
              </w:rPr>
            </w:pPr>
            <w:r>
              <w:rPr>
                <w:rFonts w:ascii="Arial" w:cs="Arial" w:eastAsia="Arial" w:hAnsi="Arial"/>
                <w:sz w:val="18"/>
                <w:szCs w:val="18"/>
                <w:color w:val="auto"/>
                <w:w w:val="89"/>
              </w:rPr>
              <w:t>Thereafter</w:t>
            </w:r>
          </w:p>
        </w:tc>
        <w:tc>
          <w:tcPr>
            <w:tcW w:w="180" w:type="dxa"/>
            <w:vAlign w:val="bottom"/>
            <w:tcBorders>
              <w:bottom w:val="single" w:sz="8" w:color="A0C4DA"/>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173</w:t>
            </w:r>
          </w:p>
        </w:tc>
      </w:tr>
      <w:tr>
        <w:trPr>
          <w:trHeight w:val="223"/>
        </w:trPr>
        <w:tc>
          <w:tcPr>
            <w:tcW w:w="2660" w:type="dxa"/>
            <w:vAlign w:val="bottom"/>
            <w:tcBorders>
              <w:bottom w:val="single" w:sz="8" w:color="A0C4DA"/>
            </w:tcBorders>
            <w:shd w:val="clear" w:color="auto" w:fill="A0C4DA"/>
          </w:tcPr>
          <w:p>
            <w:pPr>
              <w:ind w:left="180"/>
              <w:spacing w:after="0" w:line="182" w:lineRule="exact"/>
              <w:rPr>
                <w:sz w:val="20"/>
                <w:szCs w:val="20"/>
                <w:color w:val="auto"/>
              </w:rPr>
            </w:pPr>
            <w:r>
              <w:rPr>
                <w:rFonts w:ascii="Arial" w:cs="Arial" w:eastAsia="Arial" w:hAnsi="Arial"/>
                <w:sz w:val="18"/>
                <w:szCs w:val="18"/>
                <w:color w:val="auto"/>
                <w:w w:val="98"/>
              </w:rPr>
              <w:t>Total minimum lease payments</w:t>
            </w:r>
          </w:p>
        </w:tc>
        <w:tc>
          <w:tcPr>
            <w:tcW w:w="180" w:type="dxa"/>
            <w:vAlign w:val="bottom"/>
            <w:tcBorders>
              <w:bottom w:val="single" w:sz="8" w:color="A0C4DA"/>
            </w:tcBorders>
            <w:shd w:val="clear" w:color="auto" w:fill="A0C4DA"/>
          </w:tcPr>
          <w:p>
            <w:pPr>
              <w:spacing w:after="0"/>
              <w:rPr>
                <w:sz w:val="19"/>
                <w:szCs w:val="19"/>
                <w:color w:val="auto"/>
              </w:rPr>
            </w:pPr>
          </w:p>
        </w:tc>
        <w:tc>
          <w:tcPr>
            <w:tcW w:w="460" w:type="dxa"/>
            <w:vAlign w:val="bottom"/>
            <w:tcBorders>
              <w:bottom w:val="single" w:sz="8" w:color="auto"/>
            </w:tcBorders>
            <w:shd w:val="clear" w:color="auto" w:fill="A0C4DA"/>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A0C4DA"/>
          </w:tcPr>
          <w:p>
            <w:pPr>
              <w:jc w:val="right"/>
              <w:ind w:right="230"/>
              <w:spacing w:after="0" w:line="182" w:lineRule="exact"/>
              <w:rPr>
                <w:sz w:val="20"/>
                <w:szCs w:val="20"/>
                <w:color w:val="auto"/>
              </w:rPr>
            </w:pPr>
            <w:r>
              <w:rPr>
                <w:rFonts w:ascii="Arial" w:cs="Arial" w:eastAsia="Arial" w:hAnsi="Arial"/>
                <w:sz w:val="18"/>
                <w:szCs w:val="18"/>
                <w:color w:val="auto"/>
              </w:rPr>
              <w:t>3,359</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Accrued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Accrued liabilities consist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Pr>
          <w:p>
            <w:pPr>
              <w:spacing w:after="0"/>
              <w:rPr>
                <w:sz w:val="16"/>
                <w:szCs w:val="16"/>
                <w:color w:val="auto"/>
              </w:rPr>
            </w:pPr>
          </w:p>
        </w:tc>
      </w:tr>
      <w:tr>
        <w:trPr>
          <w:trHeight w:val="201"/>
        </w:trPr>
        <w:tc>
          <w:tcPr>
            <w:tcW w:w="36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r>
      <w:tr>
        <w:trPr>
          <w:trHeight w:val="223"/>
        </w:trPr>
        <w:tc>
          <w:tcPr>
            <w:tcW w:w="3600" w:type="dxa"/>
            <w:vAlign w:val="bottom"/>
            <w:shd w:val="clear" w:color="auto" w:fill="A0C4DA"/>
          </w:tcPr>
          <w:p>
            <w:pPr>
              <w:spacing w:after="0"/>
              <w:rPr>
                <w:sz w:val="20"/>
                <w:szCs w:val="20"/>
                <w:color w:val="auto"/>
              </w:rPr>
            </w:pPr>
            <w:r>
              <w:rPr>
                <w:rFonts w:ascii="Arial" w:cs="Arial" w:eastAsia="Arial" w:hAnsi="Arial"/>
                <w:sz w:val="18"/>
                <w:szCs w:val="18"/>
                <w:color w:val="auto"/>
              </w:rPr>
              <w:t>Accrued salaries and other compensation</w:t>
            </w:r>
          </w:p>
        </w:tc>
        <w:tc>
          <w:tcPr>
            <w:tcW w:w="460" w:type="dxa"/>
            <w:vAlign w:val="bottom"/>
            <w:shd w:val="clear" w:color="auto" w:fill="A0C4DA"/>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A0C4DA"/>
          </w:tcPr>
          <w:p>
            <w:pPr>
              <w:jc w:val="right"/>
              <w:ind w:right="156"/>
              <w:spacing w:after="0"/>
              <w:rPr>
                <w:sz w:val="20"/>
                <w:szCs w:val="20"/>
                <w:color w:val="auto"/>
              </w:rPr>
            </w:pPr>
            <w:r>
              <w:rPr>
                <w:rFonts w:ascii="Arial" w:cs="Arial" w:eastAsia="Arial" w:hAnsi="Arial"/>
                <w:sz w:val="18"/>
                <w:szCs w:val="18"/>
                <w:color w:val="auto"/>
              </w:rPr>
              <w:t>987</w:t>
            </w:r>
          </w:p>
        </w:tc>
        <w:tc>
          <w:tcPr>
            <w:tcW w:w="62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A0C4DA"/>
          </w:tcPr>
          <w:p>
            <w:pPr>
              <w:jc w:val="right"/>
              <w:ind w:right="254"/>
              <w:spacing w:after="0"/>
              <w:rPr>
                <w:sz w:val="20"/>
                <w:szCs w:val="20"/>
                <w:color w:val="auto"/>
              </w:rPr>
            </w:pPr>
            <w:r>
              <w:rPr>
                <w:rFonts w:ascii="Arial" w:cs="Arial" w:eastAsia="Arial" w:hAnsi="Arial"/>
                <w:sz w:val="18"/>
                <w:szCs w:val="18"/>
                <w:color w:val="auto"/>
              </w:rPr>
              <w:t>989</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Accrued taxes</w:t>
            </w:r>
          </w:p>
        </w:tc>
        <w:tc>
          <w:tcPr>
            <w:tcW w:w="460" w:type="dxa"/>
            <w:vAlign w:val="bottom"/>
          </w:tcPr>
          <w:p>
            <w:pPr>
              <w:spacing w:after="0"/>
              <w:rPr>
                <w:sz w:val="19"/>
                <w:szCs w:val="19"/>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19"/>
                <w:szCs w:val="19"/>
                <w:color w:val="auto"/>
              </w:rPr>
            </w:pP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49</w:t>
            </w:r>
          </w:p>
        </w:tc>
      </w:tr>
      <w:tr>
        <w:trPr>
          <w:trHeight w:val="230"/>
        </w:trPr>
        <w:tc>
          <w:tcPr>
            <w:tcW w:w="3600" w:type="dxa"/>
            <w:vAlign w:val="bottom"/>
            <w:shd w:val="clear" w:color="auto" w:fill="A0C4DA"/>
          </w:tcPr>
          <w:p>
            <w:pPr>
              <w:spacing w:after="0"/>
              <w:rPr>
                <w:sz w:val="20"/>
                <w:szCs w:val="20"/>
                <w:color w:val="auto"/>
              </w:rPr>
            </w:pPr>
            <w:r>
              <w:rPr>
                <w:rFonts w:ascii="Arial" w:cs="Arial" w:eastAsia="Arial" w:hAnsi="Arial"/>
                <w:sz w:val="18"/>
                <w:szCs w:val="18"/>
                <w:color w:val="auto"/>
              </w:rPr>
              <w:t>Other accrued liabilities</w:t>
            </w:r>
          </w:p>
        </w:tc>
        <w:tc>
          <w:tcPr>
            <w:tcW w:w="460" w:type="dxa"/>
            <w:vAlign w:val="bottom"/>
            <w:tcBorders>
              <w:bottom w:val="single" w:sz="8" w:color="auto"/>
            </w:tcBorders>
            <w:shd w:val="clear" w:color="auto" w:fill="A0C4DA"/>
          </w:tcPr>
          <w:p>
            <w:pPr>
              <w:spacing w:after="0"/>
              <w:rPr>
                <w:sz w:val="19"/>
                <w:szCs w:val="19"/>
                <w:color w:val="auto"/>
              </w:rPr>
            </w:pPr>
          </w:p>
        </w:tc>
        <w:tc>
          <w:tcPr>
            <w:tcW w:w="880" w:type="dxa"/>
            <w:vAlign w:val="bottom"/>
            <w:tcBorders>
              <w:bottom w:val="single" w:sz="8" w:color="auto"/>
            </w:tcBorders>
            <w:shd w:val="clear" w:color="auto" w:fill="A0C4DA"/>
          </w:tcPr>
          <w:p>
            <w:pPr>
              <w:jc w:val="right"/>
              <w:ind w:right="156"/>
              <w:spacing w:after="0"/>
              <w:rPr>
                <w:sz w:val="20"/>
                <w:szCs w:val="20"/>
                <w:color w:val="auto"/>
              </w:rPr>
            </w:pPr>
            <w:r>
              <w:rPr>
                <w:rFonts w:ascii="Arial" w:cs="Arial" w:eastAsia="Arial" w:hAnsi="Arial"/>
                <w:sz w:val="18"/>
                <w:szCs w:val="18"/>
                <w:color w:val="auto"/>
              </w:rPr>
              <w:t>1,247</w:t>
            </w:r>
          </w:p>
        </w:tc>
        <w:tc>
          <w:tcPr>
            <w:tcW w:w="620" w:type="dxa"/>
            <w:vAlign w:val="bottom"/>
            <w:tcBorders>
              <w:bottom w:val="single" w:sz="8" w:color="auto"/>
            </w:tcBorders>
            <w:shd w:val="clear" w:color="auto" w:fill="A0C4DA"/>
          </w:tcPr>
          <w:p>
            <w:pPr>
              <w:spacing w:after="0"/>
              <w:rPr>
                <w:sz w:val="19"/>
                <w:szCs w:val="19"/>
                <w:color w:val="auto"/>
              </w:rPr>
            </w:pPr>
          </w:p>
        </w:tc>
        <w:tc>
          <w:tcPr>
            <w:tcW w:w="740" w:type="dxa"/>
            <w:vAlign w:val="bottom"/>
            <w:tcBorders>
              <w:bottom w:val="single" w:sz="8" w:color="auto"/>
            </w:tcBorders>
            <w:shd w:val="clear" w:color="auto" w:fill="A0C4DA"/>
          </w:tcPr>
          <w:p>
            <w:pPr>
              <w:jc w:val="right"/>
              <w:ind w:right="254"/>
              <w:spacing w:after="0"/>
              <w:rPr>
                <w:sz w:val="20"/>
                <w:szCs w:val="20"/>
                <w:color w:val="auto"/>
              </w:rPr>
            </w:pPr>
            <w:r>
              <w:rPr>
                <w:rFonts w:ascii="Arial" w:cs="Arial" w:eastAsia="Arial" w:hAnsi="Arial"/>
                <w:sz w:val="18"/>
                <w:szCs w:val="18"/>
                <w:color w:val="auto"/>
                <w:w w:val="84"/>
              </w:rPr>
              <w:t>3,535</w:t>
            </w:r>
          </w:p>
        </w:tc>
      </w:tr>
      <w:tr>
        <w:trPr>
          <w:trHeight w:val="183"/>
        </w:trPr>
        <w:tc>
          <w:tcPr>
            <w:tcW w:w="360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6"/>
              <w:spacing w:after="0" w:line="182" w:lineRule="exact"/>
              <w:rPr>
                <w:sz w:val="20"/>
                <w:szCs w:val="20"/>
                <w:color w:val="auto"/>
              </w:rPr>
            </w:pPr>
            <w:r>
              <w:rPr>
                <w:rFonts w:ascii="Arial" w:cs="Arial" w:eastAsia="Arial" w:hAnsi="Arial"/>
                <w:sz w:val="18"/>
                <w:szCs w:val="18"/>
                <w:color w:val="auto"/>
              </w:rPr>
              <w:t>2,534</w:t>
            </w:r>
          </w:p>
        </w:tc>
        <w:tc>
          <w:tcPr>
            <w:tcW w:w="6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4"/>
              <w:spacing w:after="0" w:line="182" w:lineRule="exact"/>
              <w:rPr>
                <w:sz w:val="20"/>
                <w:szCs w:val="20"/>
                <w:color w:val="auto"/>
              </w:rPr>
            </w:pPr>
            <w:r>
              <w:rPr>
                <w:rFonts w:ascii="Arial" w:cs="Arial" w:eastAsia="Arial" w:hAnsi="Arial"/>
                <w:sz w:val="18"/>
                <w:szCs w:val="18"/>
                <w:color w:val="auto"/>
                <w:w w:val="84"/>
              </w:rPr>
              <w:t>4,573</w:t>
            </w:r>
          </w:p>
        </w:tc>
      </w:tr>
      <w:tr>
        <w:trPr>
          <w:trHeight w:val="20"/>
        </w:trPr>
        <w:tc>
          <w:tcPr>
            <w:tcW w:w="3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399"/>
        <w:spacing w:after="0" w:line="236" w:lineRule="auto"/>
        <w:rPr>
          <w:sz w:val="20"/>
          <w:szCs w:val="20"/>
          <w:color w:val="auto"/>
        </w:rPr>
      </w:pPr>
      <w:r>
        <w:rPr>
          <w:rFonts w:ascii="Arial" w:cs="Arial" w:eastAsia="Arial" w:hAnsi="Arial"/>
          <w:sz w:val="22"/>
          <w:szCs w:val="22"/>
          <w:color w:val="auto"/>
        </w:rPr>
        <w:t xml:space="preserve">Included in other accrued liabilities as of December 31, 2010, is $2,224 which represents the probable amount that as of the date of the financial statements could be reasonably estimated of the Company’s liability for legal fees, associated with an indemnification agreement with a former ClearOne Officer. Please see </w:t>
      </w:r>
      <w:r>
        <w:rPr>
          <w:rFonts w:ascii="Arial" w:cs="Arial" w:eastAsia="Arial" w:hAnsi="Arial"/>
          <w:sz w:val="22"/>
          <w:szCs w:val="22"/>
          <w:u w:val="single" w:color="auto"/>
          <w:color w:val="0000FF"/>
        </w:rPr>
        <w:t>Note 8 – Commitments and Contingencies</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0000FF"/>
        </w:rPr>
        <w:t>– Former Officer Indemnification</w:t>
      </w:r>
      <w:r>
        <w:rPr>
          <w:rFonts w:ascii="Arial" w:cs="Arial" w:eastAsia="Arial" w:hAnsi="Arial"/>
          <w:sz w:val="22"/>
          <w:szCs w:val="22"/>
          <w:color w:val="auto"/>
        </w:rPr>
        <w:t xml:space="preserve"> for further details.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Commitments and Contingencies</w:t>
      </w:r>
    </w:p>
    <w:p>
      <w:pPr>
        <w:spacing w:after="0" w:line="239" w:lineRule="exact"/>
        <w:rPr>
          <w:sz w:val="20"/>
          <w:szCs w:val="20"/>
          <w:color w:val="auto"/>
        </w:rPr>
      </w:pPr>
    </w:p>
    <w:p>
      <w:pPr>
        <w:ind w:right="1199"/>
        <w:spacing w:after="0" w:line="287" w:lineRule="auto"/>
        <w:rPr>
          <w:sz w:val="20"/>
          <w:szCs w:val="20"/>
          <w:color w:val="auto"/>
        </w:rPr>
      </w:pPr>
      <w:r>
        <w:rPr>
          <w:rFonts w:ascii="Arial" w:cs="Arial" w:eastAsia="Arial" w:hAnsi="Arial"/>
          <w:sz w:val="19"/>
          <w:szCs w:val="19"/>
          <w:color w:val="auto"/>
        </w:rPr>
        <w:t>We establish contingent liabilities when a particular contingency is both probable and estimable. For the contingencies noted below we have accrued amounts considered probable and estimable. The Company is not aware of any pending claims or assessments, other than as described below, which may have a material adverse impact on the Company’s financial position or results of operations.</w:t>
      </w:r>
    </w:p>
    <w:p>
      <w:pPr>
        <w:spacing w:after="0" w:line="170" w:lineRule="exact"/>
        <w:rPr>
          <w:sz w:val="20"/>
          <w:szCs w:val="20"/>
          <w:color w:val="auto"/>
        </w:rPr>
      </w:pPr>
    </w:p>
    <w:p>
      <w:pPr>
        <w:ind w:right="1199"/>
        <w:spacing w:after="0"/>
        <w:rPr>
          <w:sz w:val="20"/>
          <w:szCs w:val="20"/>
          <w:color w:val="auto"/>
        </w:rPr>
      </w:pPr>
      <w:r>
        <w:rPr>
          <w:rFonts w:ascii="Arial" w:cs="Arial" w:eastAsia="Arial" w:hAnsi="Arial"/>
          <w:sz w:val="22"/>
          <w:szCs w:val="22"/>
          <w:color w:val="auto"/>
        </w:rPr>
        <w:t>Under the terms of employment agreements entered into with two employees, among other things, the employees are entitled to a bonus specified as a percentage of the revenue generated from sale of certain products upon reaching certain thresholds.</w:t>
      </w:r>
    </w:p>
    <w:p>
      <w:pPr>
        <w:spacing w:after="0" w:line="213" w:lineRule="exact"/>
        <w:rPr>
          <w:sz w:val="20"/>
          <w:szCs w:val="20"/>
          <w:color w:val="auto"/>
        </w:rPr>
      </w:pPr>
    </w:p>
    <w:p>
      <w:pPr>
        <w:ind w:right="1179"/>
        <w:spacing w:after="0" w:line="274" w:lineRule="auto"/>
        <w:rPr>
          <w:sz w:val="20"/>
          <w:szCs w:val="20"/>
          <w:color w:val="auto"/>
        </w:rPr>
      </w:pPr>
      <w:r>
        <w:rPr>
          <w:rFonts w:ascii="Arial" w:cs="Arial" w:eastAsia="Arial" w:hAnsi="Arial"/>
          <w:sz w:val="19"/>
          <w:szCs w:val="19"/>
          <w:i w:val="1"/>
          <w:iCs w:val="1"/>
          <w:color w:val="auto"/>
        </w:rPr>
        <w:t xml:space="preserve">Outsource Manufacturers. </w:t>
      </w:r>
      <w:r>
        <w:rPr>
          <w:rFonts w:ascii="Arial" w:cs="Arial" w:eastAsia="Arial" w:hAnsi="Arial"/>
          <w:sz w:val="19"/>
          <w:szCs w:val="19"/>
          <w:color w:val="auto"/>
        </w:rPr>
        <w:t>We have manufacturing agreements with electronics manufacturing ("EMS")</w:t>
      </w:r>
      <w:r>
        <w:rPr>
          <w:rFonts w:ascii="Arial" w:cs="Arial" w:eastAsia="Arial" w:hAnsi="Arial"/>
          <w:sz w:val="19"/>
          <w:szCs w:val="19"/>
          <w:i w:val="1"/>
          <w:iCs w:val="1"/>
          <w:color w:val="auto"/>
        </w:rPr>
        <w:t xml:space="preserve"> </w:t>
      </w:r>
      <w:r>
        <w:rPr>
          <w:rFonts w:ascii="Arial" w:cs="Arial" w:eastAsia="Arial" w:hAnsi="Arial"/>
          <w:sz w:val="19"/>
          <w:szCs w:val="19"/>
          <w:color w:val="auto"/>
        </w:rPr>
        <w:t>providers related to the outsourced 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exposure associated with these commitments is approximately $4,583 as of December 31, 2011. One of the EMS providers with whom we have terminated our relationship is claiming that we have an obligation to buy inventory pursuant to cancelled purchase orders. We believe that we are not legally obligated to take delivery of this inventory and we also have counterclaims against the EMS provider.</w:t>
      </w:r>
    </w:p>
    <w:p>
      <w:pPr>
        <w:spacing w:after="0" w:line="200" w:lineRule="exact"/>
        <w:rPr>
          <w:sz w:val="20"/>
          <w:szCs w:val="20"/>
          <w:color w:val="auto"/>
        </w:rPr>
      </w:pPr>
    </w:p>
    <w:p>
      <w:pPr>
        <w:spacing w:after="0" w:line="229" w:lineRule="exact"/>
        <w:rPr>
          <w:sz w:val="20"/>
          <w:szCs w:val="20"/>
          <w:color w:val="auto"/>
        </w:rPr>
      </w:pPr>
    </w:p>
    <w:p>
      <w:pPr>
        <w:ind w:right="1139"/>
        <w:spacing w:after="0" w:line="282" w:lineRule="auto"/>
        <w:rPr>
          <w:sz w:val="20"/>
          <w:szCs w:val="20"/>
          <w:color w:val="auto"/>
        </w:rPr>
      </w:pPr>
      <w:r>
        <w:rPr>
          <w:rFonts w:ascii="Arial" w:cs="Arial" w:eastAsia="Arial" w:hAnsi="Arial"/>
          <w:sz w:val="19"/>
          <w:szCs w:val="19"/>
          <w:i w:val="1"/>
          <w:iCs w:val="1"/>
          <w:color w:val="auto"/>
        </w:rPr>
        <w:t xml:space="preserve">Legal Proceedings. </w:t>
      </w:r>
      <w:r>
        <w:rPr>
          <w:rFonts w:ascii="Arial" w:cs="Arial" w:eastAsia="Arial" w:hAnsi="Arial"/>
          <w:sz w:val="19"/>
          <w:szCs w:val="19"/>
          <w:color w:val="auto"/>
        </w:rPr>
        <w:t>In addition to the legal proceedings described below, we are also involved from time</w:t>
      </w:r>
      <w:r>
        <w:rPr>
          <w:rFonts w:ascii="Arial" w:cs="Arial" w:eastAsia="Arial" w:hAnsi="Arial"/>
          <w:sz w:val="19"/>
          <w:szCs w:val="19"/>
          <w:i w:val="1"/>
          <w:iCs w:val="1"/>
          <w:color w:val="auto"/>
        </w:rPr>
        <w:t xml:space="preserve"> </w:t>
      </w:r>
      <w:r>
        <w:rPr>
          <w:rFonts w:ascii="Arial" w:cs="Arial" w:eastAsia="Arial" w:hAnsi="Arial"/>
          <w:sz w:val="19"/>
          <w:szCs w:val="19"/>
          <w:color w:val="auto"/>
        </w:rPr>
        <w:t>to time in various claims and other legal proceedings which arise in the normal course of our business. Such matters are subject to many uncertainties and outcomes that are not predictable. However, based on the information available to us, we do not believe any such proceedings will have a material, adverse effect on our business, results of operations, financial position, or liquidity, except as described below.</w:t>
      </w:r>
    </w:p>
    <w:p>
      <w:pPr>
        <w:sectPr>
          <w:pgSz w:w="11900" w:h="16838" w:orient="portrait"/>
          <w:cols w:equalWidth="0" w:num="1">
            <w:col w:w="10219"/>
          </w:cols>
          <w:pgMar w:left="240" w:top="112" w:right="1440" w:bottom="6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692" w:gutter="0" w:footer="0" w:header="0"/>
          <w:type w:val="continuous"/>
        </w:sectPr>
      </w:pPr>
    </w:p>
    <w:bookmarkStart w:id="76" w:name="page77"/>
    <w:bookmarkEnd w:id="76"/>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Former Officer Indemnification</w:t>
      </w:r>
    </w:p>
    <w:p>
      <w:pPr>
        <w:spacing w:after="0" w:line="233" w:lineRule="exact"/>
        <w:rPr>
          <w:sz w:val="20"/>
          <w:szCs w:val="20"/>
          <w:color w:val="auto"/>
        </w:rPr>
      </w:pPr>
    </w:p>
    <w:p>
      <w:pPr>
        <w:ind w:right="1199"/>
        <w:spacing w:after="0" w:line="275" w:lineRule="auto"/>
        <w:rPr>
          <w:sz w:val="20"/>
          <w:szCs w:val="20"/>
          <w:color w:val="auto"/>
        </w:rPr>
      </w:pPr>
      <w:r>
        <w:rPr>
          <w:rFonts w:ascii="Arial" w:cs="Arial" w:eastAsia="Arial" w:hAnsi="Arial"/>
          <w:sz w:val="19"/>
          <w:szCs w:val="19"/>
          <w:color w:val="auto"/>
        </w:rPr>
        <w:t>On July 25, 2007 and January 31,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$3,383 in attorneys’ fees and costs to defend against the charges.</w:t>
      </w:r>
    </w:p>
    <w:p>
      <w:pPr>
        <w:spacing w:after="0" w:line="185" w:lineRule="exact"/>
        <w:rPr>
          <w:sz w:val="20"/>
          <w:szCs w:val="20"/>
          <w:color w:val="auto"/>
        </w:rPr>
      </w:pPr>
    </w:p>
    <w:p>
      <w:pPr>
        <w:ind w:right="1199"/>
        <w:spacing w:after="0" w:line="279" w:lineRule="auto"/>
        <w:rPr>
          <w:sz w:val="20"/>
          <w:szCs w:val="20"/>
          <w:color w:val="auto"/>
        </w:rPr>
      </w:pPr>
      <w:r>
        <w:rPr>
          <w:rFonts w:ascii="Arial" w:cs="Arial" w:eastAsia="Arial" w:hAnsi="Arial"/>
          <w:sz w:val="19"/>
          <w:szCs w:val="19"/>
          <w:color w:val="auto"/>
        </w:rPr>
        <w:t>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178" w:lineRule="exact"/>
        <w:rPr>
          <w:sz w:val="20"/>
          <w:szCs w:val="20"/>
          <w:color w:val="auto"/>
        </w:rPr>
      </w:pPr>
    </w:p>
    <w:p>
      <w:pPr>
        <w:ind w:right="1359"/>
        <w:spacing w:after="0" w:line="234" w:lineRule="auto"/>
        <w:rPr>
          <w:sz w:val="20"/>
          <w:szCs w:val="20"/>
          <w:color w:val="auto"/>
        </w:rPr>
      </w:pPr>
      <w:r>
        <w:rPr>
          <w:rFonts w:ascii="Arial" w:cs="Arial" w:eastAsia="Arial" w:hAnsi="Arial"/>
          <w:sz w:val="22"/>
          <w:szCs w:val="22"/>
          <w:color w:val="auto"/>
        </w:rPr>
        <w:t>On June 2, 2010, Flood was sentenced to 4 years in prison plus 3 years of probation and Strohm was sentenced to 2 years’ probation plus 150 hours of community service. Flood began serving her prison sentence on November 3, 2010. On April 4, 2011, the Tenth Circuit Court of Appeals in Denver affirmed Flood’s conviction, but has allowed her to assert in a collateral proceeding her claim that she received ineffective assistance of counsel because her trial counsel allegedly labored under actual conflicts of interest. On November 8, 2011, the Tenth Circuit affirmed Strohm’s perjury conviction as well.</w:t>
      </w:r>
    </w:p>
    <w:p>
      <w:pPr>
        <w:spacing w:after="0" w:line="212" w:lineRule="exact"/>
        <w:rPr>
          <w:sz w:val="20"/>
          <w:szCs w:val="20"/>
          <w:color w:val="auto"/>
        </w:rPr>
      </w:pPr>
    </w:p>
    <w:p>
      <w:pPr>
        <w:ind w:right="1199"/>
        <w:spacing w:after="0" w:line="251" w:lineRule="auto"/>
        <w:rPr>
          <w:sz w:val="20"/>
          <w:szCs w:val="20"/>
          <w:color w:val="auto"/>
        </w:rPr>
      </w:pPr>
      <w:r>
        <w:rPr>
          <w:rFonts w:ascii="Arial" w:cs="Arial" w:eastAsia="Arial" w:hAnsi="Arial"/>
          <w:sz w:val="21"/>
          <w:szCs w:val="21"/>
          <w:b w:val="1"/>
          <w:bCs w:val="1"/>
          <w:color w:val="auto"/>
        </w:rPr>
        <w:t>Flood</w:t>
      </w:r>
      <w:r>
        <w:rPr>
          <w:rFonts w:ascii="Arial" w:cs="Arial" w:eastAsia="Arial" w:hAnsi="Arial"/>
          <w:sz w:val="21"/>
          <w:szCs w:val="21"/>
          <w:color w:val="auto"/>
        </w:rPr>
        <w:t>: On August 21, 2008, Flood filed a lawsuit in Federal District Court for the District of Utah,</w:t>
      </w:r>
      <w:r>
        <w:rPr>
          <w:rFonts w:ascii="Arial" w:cs="Arial" w:eastAsia="Arial" w:hAnsi="Arial"/>
          <w:sz w:val="21"/>
          <w:szCs w:val="21"/>
          <w:b w:val="1"/>
          <w:bCs w:val="1"/>
          <w:color w:val="auto"/>
        </w:rPr>
        <w:t xml:space="preserve"> </w:t>
      </w:r>
      <w:r>
        <w:rPr>
          <w:rFonts w:ascii="Arial" w:cs="Arial" w:eastAsia="Arial" w:hAnsi="Arial"/>
          <w:sz w:val="21"/>
          <w:szCs w:val="21"/>
          <w:color w:val="auto"/>
        </w:rPr>
        <w:t>seeking to compel us to pay her attorneys’ fees and costs to defend against the criminal charges. On January 12, 2009, the District Court issued a preliminary injunction requiring us to pay Flood’s criminal legal fees and costs through trial. Pursuant to the Court’s order, we paid approximately $373 to Flood’s attorneys and approximately $248 into the Court’s escrow.</w:t>
      </w:r>
    </w:p>
    <w:p>
      <w:pPr>
        <w:spacing w:after="0" w:line="202" w:lineRule="exact"/>
        <w:rPr>
          <w:sz w:val="20"/>
          <w:szCs w:val="20"/>
          <w:color w:val="auto"/>
        </w:rPr>
      </w:pPr>
    </w:p>
    <w:p>
      <w:pPr>
        <w:ind w:right="1139"/>
        <w:spacing w:after="0" w:line="236" w:lineRule="auto"/>
        <w:rPr>
          <w:sz w:val="20"/>
          <w:szCs w:val="20"/>
          <w:color w:val="auto"/>
        </w:rPr>
      </w:pPr>
      <w:r>
        <w:rPr>
          <w:rFonts w:ascii="Arial" w:cs="Arial" w:eastAsia="Arial" w:hAnsi="Arial"/>
          <w:sz w:val="22"/>
          <w:szCs w:val="22"/>
          <w:color w:val="auto"/>
        </w:rPr>
        <w:t>On August 30, 2010, the Tenth Circuit Court of Appeals issued a ruling vacating the District Court’s preliminary injunction on the grounds that it rested on a legally erroneous interpretation of Flood’s Employment Separation Agreement. On November 29, 2010, ClearOne filed a motion in the United States District Court for the District of Utah seeking a return of the monies paid by ClearOne pursuant to the Court’s order.</w:t>
      </w:r>
    </w:p>
    <w:p>
      <w:pPr>
        <w:spacing w:after="0" w:line="215" w:lineRule="exact"/>
        <w:rPr>
          <w:sz w:val="20"/>
          <w:szCs w:val="20"/>
          <w:color w:val="auto"/>
        </w:rPr>
      </w:pPr>
    </w:p>
    <w:p>
      <w:pPr>
        <w:ind w:right="1179"/>
        <w:spacing w:after="0" w:line="282" w:lineRule="auto"/>
        <w:rPr>
          <w:sz w:val="20"/>
          <w:szCs w:val="20"/>
          <w:color w:val="auto"/>
        </w:rPr>
      </w:pPr>
      <w:r>
        <w:rPr>
          <w:rFonts w:ascii="Arial" w:cs="Arial" w:eastAsia="Arial" w:hAnsi="Arial"/>
          <w:sz w:val="19"/>
          <w:szCs w:val="19"/>
          <w:color w:val="auto"/>
        </w:rPr>
        <w:t>On January 23, 2012, the District Court granted ClearOne’s motion for return of the $248 held in the Court’s escrow, but denied ClearOne’s motion with respect to the $373 paid to Flood’s attorneys. On February 21, 2012, ClearOne filed a writ of mandamus with the Tenth Circuit seeking an order requiring Flood’s attorneys to return the $373 paid pursuant to the Court’s order. ClearOne’s writ of mandamus is expected to be submitted to the Tenth Circuit before the end of March 2012.</w:t>
      </w:r>
    </w:p>
    <w:p>
      <w:pPr>
        <w:spacing w:after="0" w:line="175" w:lineRule="exact"/>
        <w:rPr>
          <w:sz w:val="20"/>
          <w:szCs w:val="20"/>
          <w:color w:val="auto"/>
        </w:rPr>
      </w:pPr>
    </w:p>
    <w:p>
      <w:pPr>
        <w:ind w:right="1239"/>
        <w:spacing w:after="0"/>
        <w:rPr>
          <w:sz w:val="20"/>
          <w:szCs w:val="20"/>
          <w:color w:val="auto"/>
        </w:rPr>
      </w:pPr>
      <w:r>
        <w:rPr>
          <w:rFonts w:ascii="Arial" w:cs="Arial" w:eastAsia="Arial" w:hAnsi="Arial"/>
          <w:sz w:val="22"/>
          <w:szCs w:val="22"/>
          <w:color w:val="auto"/>
        </w:rPr>
        <w:t>Also pending in the District Court is ClearOne’s counterclaim for $3,300 seeking to enforce Flood’s August 2003 promise to repay all advanced expenses if it was ultimately adjudged that she did not meet the requisite standard of conduct.</w:t>
      </w:r>
    </w:p>
    <w:p>
      <w:pPr>
        <w:spacing w:after="0" w:line="207" w:lineRule="exact"/>
        <w:rPr>
          <w:sz w:val="20"/>
          <w:szCs w:val="20"/>
          <w:color w:val="auto"/>
        </w:rPr>
      </w:pPr>
    </w:p>
    <w:p>
      <w:pPr>
        <w:ind w:right="1279"/>
        <w:spacing w:after="0" w:line="239" w:lineRule="auto"/>
        <w:rPr>
          <w:sz w:val="20"/>
          <w:szCs w:val="20"/>
          <w:color w:val="auto"/>
        </w:rPr>
      </w:pPr>
      <w:r>
        <w:rPr>
          <w:rFonts w:ascii="Arial" w:cs="Arial" w:eastAsia="Arial" w:hAnsi="Arial"/>
          <w:sz w:val="22"/>
          <w:szCs w:val="22"/>
          <w:b w:val="1"/>
          <w:bCs w:val="1"/>
          <w:color w:val="auto"/>
        </w:rPr>
        <w:t>Strohm</w:t>
      </w:r>
      <w:r>
        <w:rPr>
          <w:rFonts w:ascii="Arial" w:cs="Arial" w:eastAsia="Arial" w:hAnsi="Arial"/>
          <w:sz w:val="22"/>
          <w:szCs w:val="22"/>
          <w:color w:val="auto"/>
        </w:rPr>
        <w:t>: On August 21, 2008, Strohm and her counsel (“Dorsey”) filed a lawsuit in the Third Judicial</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Court in Salt Lake City, Utah seeking to compel us to pay Strohm’s attorneys’ fees and costs to defend against the criminal charges, plus interest, and for attorneys’ fees in connection with the civil action.</w:t>
      </w:r>
    </w:p>
    <w:p>
      <w:pPr>
        <w:spacing w:after="0" w:line="214" w:lineRule="exact"/>
        <w:rPr>
          <w:sz w:val="20"/>
          <w:szCs w:val="20"/>
          <w:color w:val="auto"/>
        </w:rPr>
      </w:pPr>
    </w:p>
    <w:p>
      <w:pPr>
        <w:ind w:right="1179"/>
        <w:spacing w:after="0" w:line="277" w:lineRule="auto"/>
        <w:rPr>
          <w:sz w:val="20"/>
          <w:szCs w:val="20"/>
          <w:color w:val="auto"/>
        </w:rPr>
      </w:pPr>
      <w:r>
        <w:rPr>
          <w:rFonts w:ascii="Arial" w:cs="Arial" w:eastAsia="Arial" w:hAnsi="Arial"/>
          <w:sz w:val="19"/>
          <w:szCs w:val="19"/>
          <w:color w:val="auto"/>
        </w:rPr>
        <w:t>October 26, 2009, the Court granted Strohm’s motion for mandatory indemnification, ruling that we were required to indemnify Strohm for her reasonable attorneys’ fees and expenses to the extent that she was successful on the merits at trial. On March 2, 2010, the Court ruled that the Dorsey engagement letter provided an alternative basis requiring the Company to pay Strohm’s reasonable attorneys’ fees and costs incurred in connection with the federal criminal proceedings. The Court also ruled that ClearOne is required to pay Dorsey’s reasonable attorneys’ fees and costs incurred in bringing the civil lawsuit against the Company, subject to certain deductions.</w:t>
      </w:r>
    </w:p>
    <w:p>
      <w:pPr>
        <w:sectPr>
          <w:pgSz w:w="11900" w:h="16838" w:orient="portrait"/>
          <w:cols w:equalWidth="0" w:num="1">
            <w:col w:w="10219"/>
          </w:cols>
          <w:pgMar w:left="240" w:top="111" w:right="1440" w:bottom="534" w:gutter="0" w:footer="0" w:header="0"/>
        </w:sectPr>
      </w:pPr>
    </w:p>
    <w:bookmarkStart w:id="77" w:name="page78"/>
    <w:bookmarkEnd w:id="77"/>
    <w:p>
      <w:pPr>
        <w:ind w:left="3200"/>
        <w:spacing w:after="0"/>
        <w:rPr>
          <w:sz w:val="20"/>
          <w:szCs w:val="20"/>
          <w:color w:val="auto"/>
        </w:rPr>
      </w:pPr>
      <w:r>
        <w:rPr>
          <w:rFonts w:ascii="Arial" w:cs="Arial" w:eastAsia="Arial" w:hAnsi="Arial"/>
          <w:sz w:val="13"/>
          <w:szCs w:val="13"/>
          <w:b w:val="1"/>
          <w:bCs w:val="1"/>
          <w:color w:val="365F91"/>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236220</wp:posOffset>
            </wp:positionV>
            <wp:extent cx="576326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8" w:name="page79"/>
    <w:bookmarkEnd w:id="78"/>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ind w:right="1259"/>
        <w:spacing w:after="0" w:line="238" w:lineRule="auto"/>
        <w:rPr>
          <w:sz w:val="20"/>
          <w:szCs w:val="20"/>
          <w:color w:val="auto"/>
        </w:rPr>
      </w:pPr>
      <w:r>
        <w:rPr>
          <w:rFonts w:ascii="Arial" w:cs="Arial" w:eastAsia="Arial" w:hAnsi="Arial"/>
          <w:sz w:val="22"/>
          <w:szCs w:val="22"/>
          <w:color w:val="auto"/>
        </w:rPr>
        <w:t>On January 24, 2011, the Court ruled that ClearOne was required to pay Dorsey at Court-determined rates for all criminal defense services rendered and costs incurred through the federal jury verdict in the criminal case on February 27, 2009, but that ClearOne was not required to pay for any post-verdict criminal defense services.</w:t>
      </w:r>
    </w:p>
    <w:p>
      <w:pPr>
        <w:spacing w:after="0" w:line="212" w:lineRule="exact"/>
        <w:rPr>
          <w:sz w:val="20"/>
          <w:szCs w:val="20"/>
          <w:color w:val="auto"/>
        </w:rPr>
      </w:pPr>
    </w:p>
    <w:p>
      <w:pPr>
        <w:ind w:right="1139"/>
        <w:spacing w:after="0" w:line="236" w:lineRule="auto"/>
        <w:rPr>
          <w:sz w:val="20"/>
          <w:szCs w:val="20"/>
          <w:color w:val="auto"/>
        </w:rPr>
      </w:pPr>
      <w:r>
        <w:rPr>
          <w:rFonts w:ascii="Arial" w:cs="Arial" w:eastAsia="Arial" w:hAnsi="Arial"/>
          <w:sz w:val="22"/>
          <w:szCs w:val="22"/>
          <w:color w:val="auto"/>
        </w:rPr>
        <w:t>On June 8, 2011, the District Court entered Judgment against ClearOne for $973 in fees and expenses in the criminal case, plus $362 in interest at 18% through February 1, 2011, which amounts were paid by ClearOne under protest to Dorsey on February 1, 2011. The Judgment also included $865 in civil case fees and expenses plus interest. ClearOne has posted a cash bond to cover the civil case fees and interest pending ClearOne’s appeal.</w:t>
      </w:r>
    </w:p>
    <w:p>
      <w:pPr>
        <w:spacing w:after="0" w:line="215" w:lineRule="exact"/>
        <w:rPr>
          <w:sz w:val="20"/>
          <w:szCs w:val="20"/>
          <w:color w:val="auto"/>
        </w:rPr>
      </w:pPr>
    </w:p>
    <w:p>
      <w:pPr>
        <w:ind w:right="1279"/>
        <w:spacing w:after="0"/>
        <w:rPr>
          <w:sz w:val="20"/>
          <w:szCs w:val="20"/>
          <w:color w:val="auto"/>
        </w:rPr>
      </w:pPr>
      <w:r>
        <w:rPr>
          <w:rFonts w:ascii="Arial" w:cs="Arial" w:eastAsia="Arial" w:hAnsi="Arial"/>
          <w:sz w:val="22"/>
          <w:szCs w:val="22"/>
          <w:color w:val="auto"/>
        </w:rPr>
        <w:t>On August 4, 2011, the Utah Supreme Court decided that it would hear ClearOne’s appeal. Dorsey has appealed as well. Appellate briefs were fully submitted on March 22, 2012, and the Utah Supreme Court is expected to schedule oral argument.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Theft of Intellectual Property and Related Cases.</w:t>
      </w:r>
    </w:p>
    <w:p>
      <w:pPr>
        <w:spacing w:after="0" w:line="98" w:lineRule="exact"/>
        <w:rPr>
          <w:sz w:val="20"/>
          <w:szCs w:val="20"/>
          <w:color w:val="auto"/>
        </w:rPr>
      </w:pPr>
    </w:p>
    <w:p>
      <w:pPr>
        <w:ind w:right="1159"/>
        <w:spacing w:after="0" w:line="247" w:lineRule="auto"/>
        <w:rPr>
          <w:sz w:val="20"/>
          <w:szCs w:val="20"/>
          <w:color w:val="auto"/>
        </w:rPr>
      </w:pPr>
      <w:r>
        <w:rPr>
          <w:rFonts w:ascii="Arial" w:cs="Arial" w:eastAsia="Arial" w:hAnsi="Arial"/>
          <w:sz w:val="21"/>
          <w:szCs w:val="21"/>
          <w:color w:val="auto"/>
        </w:rPr>
        <w:t xml:space="preserve">In January 2007, we filed a lawsuit in the Third Judicial District Court, Salt Lake County, State of Utah against WideBand Solutions, Inc. (“WideBand”) and two of its principals, one former employee named Dr. Jun Yang, and Andrew Chiang, who was previously affiliated with an entity which sold certain assets to us (the “Trade Secret Case”). We also brought claims against Biamp Systems Corporation, Inc. (“Biamp”). The matter was subsequently removed to federal court, the United States District Court, District of Utah, Central Division. The case is styled </w:t>
      </w:r>
      <w:r>
        <w:rPr>
          <w:rFonts w:ascii="Arial" w:cs="Arial" w:eastAsia="Arial" w:hAnsi="Arial"/>
          <w:sz w:val="21"/>
          <w:szCs w:val="21"/>
          <w:i w:val="1"/>
          <w:iCs w:val="1"/>
          <w:color w:val="auto"/>
        </w:rPr>
        <w:t>ClearOne Communications, Inc. v. Jun Yang, et. al.</w:t>
      </w:r>
      <w:r>
        <w:rPr>
          <w:rFonts w:ascii="Arial" w:cs="Arial" w:eastAsia="Arial" w:hAnsi="Arial"/>
          <w:sz w:val="21"/>
          <w:szCs w:val="21"/>
          <w:color w:val="auto"/>
        </w:rPr>
        <w:t xml:space="preserve"> Civil No. 2:07-co-37 TC.</w:t>
      </w:r>
    </w:p>
    <w:p>
      <w:pPr>
        <w:spacing w:after="0" w:line="205" w:lineRule="exact"/>
        <w:rPr>
          <w:sz w:val="20"/>
          <w:szCs w:val="20"/>
          <w:color w:val="auto"/>
        </w:rPr>
      </w:pPr>
    </w:p>
    <w:p>
      <w:pPr>
        <w:ind w:right="1779"/>
        <w:spacing w:after="0" w:line="238" w:lineRule="auto"/>
        <w:rPr>
          <w:sz w:val="20"/>
          <w:szCs w:val="20"/>
          <w:color w:val="auto"/>
        </w:rPr>
      </w:pPr>
      <w:r>
        <w:rPr>
          <w:rFonts w:ascii="Arial" w:cs="Arial" w:eastAsia="Arial" w:hAnsi="Arial"/>
          <w:sz w:val="22"/>
          <w:szCs w:val="22"/>
          <w:color w:val="auto"/>
        </w:rPr>
        <w:t>On November 5, 2008, the jury returned a unanimous verdict in favor of us and against all of the Defendants, awarding approximately $3,500 in compensatory damages and $7,000 in punitive damages. Among other things, the jury found that all of the Defendants willfully and maliciously misappropriated our trade secrets.</w:t>
      </w:r>
    </w:p>
    <w:p>
      <w:pPr>
        <w:spacing w:after="0" w:line="212" w:lineRule="exact"/>
        <w:rPr>
          <w:sz w:val="20"/>
          <w:szCs w:val="20"/>
          <w:color w:val="auto"/>
        </w:rPr>
      </w:pPr>
    </w:p>
    <w:p>
      <w:pPr>
        <w:ind w:right="1159"/>
        <w:spacing w:after="0" w:line="272" w:lineRule="auto"/>
        <w:rPr>
          <w:sz w:val="20"/>
          <w:szCs w:val="20"/>
          <w:color w:val="auto"/>
        </w:rPr>
      </w:pPr>
      <w:r>
        <w:rPr>
          <w:rFonts w:ascii="Arial" w:cs="Arial" w:eastAsia="Arial" w:hAnsi="Arial"/>
          <w:sz w:val="19"/>
          <w:szCs w:val="19"/>
          <w:color w:val="auto"/>
        </w:rPr>
        <w:t>On April 8, 2009 the court issued a permanent injunction order against all of the defendants. Specifically, the WideBand defendants were prohibited from any further use of our trade secrets, barred from using any of the trade names associated with products that had been found to have used our trade secrets, and were ordered to provide a copy of the permanent injunction to future employers, potential licensors and anyone interested in acquiring WideBand’s assets. Biamp was ordered to destroy and not to use any of the object code that it had previously licensed from WideBand. On April 20, 2009 the court affirmed the jury’s finding that all of the Defendants had acted willfully and maliciously in misappropriating our trade secrets, denied our request for prejudgment interest, and denied Defendants’ post-trial requests to set aside the verdict. The court increased the award against Biamp from about $1,600 to about $3,600. On April 21, 2009, the court entered a final Judgment in our favor in the amount of approximately $9,700. The WideBand Defendants and Biamp appealed the Court’s judgment and certain other pre- and post-trial rulings.</w:t>
      </w:r>
    </w:p>
    <w:p>
      <w:pPr>
        <w:spacing w:after="0" w:line="200" w:lineRule="exact"/>
        <w:rPr>
          <w:sz w:val="20"/>
          <w:szCs w:val="20"/>
          <w:color w:val="auto"/>
        </w:rPr>
      </w:pPr>
    </w:p>
    <w:p>
      <w:pPr>
        <w:spacing w:after="0" w:line="236" w:lineRule="exact"/>
        <w:rPr>
          <w:sz w:val="20"/>
          <w:szCs w:val="20"/>
          <w:color w:val="auto"/>
        </w:rPr>
      </w:pPr>
    </w:p>
    <w:p>
      <w:pPr>
        <w:ind w:right="1199"/>
        <w:spacing w:after="0" w:line="251" w:lineRule="auto"/>
        <w:rPr>
          <w:sz w:val="20"/>
          <w:szCs w:val="20"/>
          <w:color w:val="auto"/>
        </w:rPr>
      </w:pPr>
      <w:r>
        <w:rPr>
          <w:rFonts w:ascii="Arial" w:cs="Arial" w:eastAsia="Arial" w:hAnsi="Arial"/>
          <w:sz w:val="22"/>
          <w:szCs w:val="22"/>
          <w:color w:val="auto"/>
        </w:rPr>
        <w:t>During July 2009, the Court issued an award of costs in favor of ClearOne and against all defendants, in the amount of $75.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Biamp posted a cash bond to secure the judgment against it in the amount of approximately</w:t>
      </w:r>
    </w:p>
    <w:p>
      <w:pPr>
        <w:spacing w:after="0" w:line="8" w:lineRule="exact"/>
        <w:rPr>
          <w:sz w:val="20"/>
          <w:szCs w:val="20"/>
          <w:color w:val="auto"/>
        </w:rPr>
      </w:pPr>
    </w:p>
    <w:p>
      <w:pPr>
        <w:ind w:right="1379"/>
        <w:spacing w:after="0" w:line="237" w:lineRule="auto"/>
        <w:rPr>
          <w:sz w:val="20"/>
          <w:szCs w:val="20"/>
          <w:color w:val="auto"/>
        </w:rPr>
      </w:pPr>
      <w:r>
        <w:rPr>
          <w:rFonts w:ascii="Arial" w:cs="Arial" w:eastAsia="Arial" w:hAnsi="Arial"/>
          <w:sz w:val="22"/>
          <w:szCs w:val="22"/>
          <w:color w:val="auto"/>
        </w:rPr>
        <w:t>$3,700. This amount does not secure the additional amounts awarded in ClearOne’s favor and against Biamp, for attorney fees and costs, in the approximate amount of $1,110.</w:t>
      </w:r>
    </w:p>
    <w:p>
      <w:pPr>
        <w:spacing w:after="0" w:line="212" w:lineRule="exact"/>
        <w:rPr>
          <w:sz w:val="20"/>
          <w:szCs w:val="20"/>
          <w:color w:val="auto"/>
        </w:rPr>
      </w:pPr>
    </w:p>
    <w:p>
      <w:pPr>
        <w:ind w:right="1399"/>
        <w:spacing w:after="0" w:line="249" w:lineRule="auto"/>
        <w:rPr>
          <w:sz w:val="20"/>
          <w:szCs w:val="20"/>
          <w:color w:val="auto"/>
        </w:rPr>
      </w:pPr>
      <w:r>
        <w:rPr>
          <w:rFonts w:ascii="Arial" w:cs="Arial" w:eastAsia="Arial" w:hAnsi="Arial"/>
          <w:sz w:val="21"/>
          <w:szCs w:val="21"/>
          <w:color w:val="auto"/>
        </w:rPr>
        <w:t>At various dates, the court has issued orders finding Defendants Lonny Bowers and Jun Yang in contempt, along with Lonny Bowers’ father Donald Bowers, and certain entities associated with these defendants. Some of the contempt related orders are dated September 3, 2009, November 19, 2009, January 8, 2010, August 13, 2010, and October 14, 2010. The court has issued bench warrants for Lonny Bowers, Jun Yang, and Donald Bowers.</w:t>
      </w:r>
    </w:p>
    <w:p>
      <w:pPr>
        <w:spacing w:after="0" w:line="206" w:lineRule="exact"/>
        <w:rPr>
          <w:sz w:val="20"/>
          <w:szCs w:val="20"/>
          <w:color w:val="auto"/>
        </w:rPr>
      </w:pPr>
    </w:p>
    <w:p>
      <w:pPr>
        <w:ind w:right="1399"/>
        <w:spacing w:after="0" w:line="282" w:lineRule="auto"/>
        <w:rPr>
          <w:sz w:val="20"/>
          <w:szCs w:val="20"/>
          <w:color w:val="auto"/>
        </w:rPr>
      </w:pPr>
      <w:r>
        <w:rPr>
          <w:rFonts w:ascii="Arial" w:cs="Arial" w:eastAsia="Arial" w:hAnsi="Arial"/>
          <w:sz w:val="19"/>
          <w:szCs w:val="19"/>
          <w:color w:val="auto"/>
        </w:rPr>
        <w:t>On March 25, 2010, the District Court in the Trade Secret Case affirmed an earlier order issued by the Magistrate Judge on January 29, 2010, awarding us attorney fees and costs, in the amounts of $984 jointly and severally against Biamp, Andrew Chiang, Jun Yang, Lonny Bowers, WideBand Solutions, Inc., and Versatile DSP; in the additional amount of $118 against Biamp only; and in the additional amount of $908 against the WideBand Defendants only.</w:t>
      </w:r>
    </w:p>
    <w:p>
      <w:pPr>
        <w:sectPr>
          <w:pgSz w:w="11900" w:h="16838" w:orient="portrait"/>
          <w:cols w:equalWidth="0" w:num="1">
            <w:col w:w="10219"/>
          </w:cols>
          <w:pgMar w:left="240" w:top="111" w:right="1440" w:bottom="421" w:gutter="0" w:footer="0" w:header="0"/>
        </w:sectPr>
      </w:pPr>
    </w:p>
    <w:bookmarkStart w:id="79" w:name="page80"/>
    <w:bookmarkEnd w:id="79"/>
    <w:p>
      <w:pPr>
        <w:ind w:left="3200"/>
        <w:spacing w:after="0"/>
        <w:rPr>
          <w:sz w:val="20"/>
          <w:szCs w:val="20"/>
          <w:color w:val="auto"/>
        </w:rPr>
      </w:pPr>
      <w:r>
        <w:rPr>
          <w:rFonts w:ascii="Arial" w:cs="Arial" w:eastAsia="Arial" w:hAnsi="Arial"/>
          <w:sz w:val="13"/>
          <w:szCs w:val="13"/>
          <w:b w:val="1"/>
          <w:bCs w:val="1"/>
          <w:color w:val="365F91"/>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236855</wp:posOffset>
            </wp:positionV>
            <wp:extent cx="576326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80" w:name="page81"/>
    <w:bookmarkEnd w:id="80"/>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1" w:lineRule="exact"/>
        <w:rPr>
          <w:sz w:val="20"/>
          <w:szCs w:val="20"/>
          <w:color w:val="auto"/>
        </w:rPr>
      </w:pPr>
    </w:p>
    <w:p>
      <w:pPr>
        <w:ind w:right="1139"/>
        <w:spacing w:after="0" w:line="271" w:lineRule="auto"/>
        <w:rPr>
          <w:sz w:val="20"/>
          <w:szCs w:val="20"/>
          <w:color w:val="auto"/>
        </w:rPr>
      </w:pPr>
      <w:r>
        <w:rPr>
          <w:rFonts w:ascii="Arial" w:cs="Arial" w:eastAsia="Arial" w:hAnsi="Arial"/>
          <w:sz w:val="19"/>
          <w:szCs w:val="19"/>
          <w:color w:val="auto"/>
        </w:rPr>
        <w:t>Numerous appeals were filed by all of the parties. Oral argument was held on the appeals on May 10, 2011. On June 27, 2011, the Tenth Circuit affirmed in all respects the verdict and related rulings against the WideBand Defendants. On July 8, 2011, the Tenth Circuit affirmed the contempt orders against Donald Bowers and the other contempt defendants. On August 8, 2011, the Tenth Circuit affirmed Biamp’s liability, including the federal district court’s award of exemplary damages based upon the finding that Biamp’s misappropriation was willful and malicious, but made two reductions in the amount of damages. The amount of ClearOne’s judgment against Biamp is now estimated to be $3,700, not including additional amounts that may be awarded for attorney fees incurred on appeal. This amount reflects reductions by the Tenth Circuit Court of Appeals of approximately $1,100 from the federal district court’s previous judgment of about $4,800. On August 9, 2011, the Tenth Circuit denied ClearOne’s appeal requesting additional pre-judgment interest. On October 18, 2011, the Tenth Circuit granted ClearOne’s request for its attorney fees and costs incurred on appeal, and remanded the case to the District Court to determine the amount of fees to be awarded. We submitted our fee request in November 2011.</w:t>
      </w:r>
    </w:p>
    <w:p>
      <w:pPr>
        <w:spacing w:after="0" w:line="200" w:lineRule="exact"/>
        <w:rPr>
          <w:sz w:val="20"/>
          <w:szCs w:val="20"/>
          <w:color w:val="auto"/>
        </w:rPr>
      </w:pPr>
    </w:p>
    <w:p>
      <w:pPr>
        <w:spacing w:after="0" w:line="239" w:lineRule="exact"/>
        <w:rPr>
          <w:sz w:val="20"/>
          <w:szCs w:val="20"/>
          <w:color w:val="auto"/>
        </w:rPr>
      </w:pPr>
    </w:p>
    <w:p>
      <w:pPr>
        <w:ind w:right="1439"/>
        <w:spacing w:after="0" w:line="287" w:lineRule="auto"/>
        <w:rPr>
          <w:sz w:val="20"/>
          <w:szCs w:val="20"/>
          <w:color w:val="auto"/>
        </w:rPr>
      </w:pPr>
      <w:r>
        <w:rPr>
          <w:rFonts w:ascii="Arial" w:cs="Arial" w:eastAsia="Arial" w:hAnsi="Arial"/>
          <w:sz w:val="19"/>
          <w:szCs w:val="19"/>
          <w:color w:val="auto"/>
        </w:rPr>
        <w:t>On December 13, 2011, the United States District Court for the District of Utah released the sum of $3,702 to ClearOne. This payment is the full amount of the supersedeas bonds posted by Biamp with the Utah Court, following ClearOne's jury verdict against Biamp in November 2008, which was subsequently partially affirmed by the United States Court of Appeals for the Tenth Circuit.</w:t>
      </w:r>
    </w:p>
    <w:p>
      <w:pPr>
        <w:spacing w:after="0" w:line="170" w:lineRule="exact"/>
        <w:rPr>
          <w:sz w:val="20"/>
          <w:szCs w:val="20"/>
          <w:color w:val="auto"/>
        </w:rPr>
      </w:pPr>
    </w:p>
    <w:p>
      <w:pPr>
        <w:ind w:right="1179"/>
        <w:spacing w:after="0" w:line="238" w:lineRule="auto"/>
        <w:rPr>
          <w:sz w:val="20"/>
          <w:szCs w:val="20"/>
          <w:color w:val="auto"/>
        </w:rPr>
      </w:pPr>
      <w:r>
        <w:rPr>
          <w:rFonts w:ascii="Arial" w:cs="Arial" w:eastAsia="Arial" w:hAnsi="Arial"/>
          <w:sz w:val="22"/>
          <w:szCs w:val="22"/>
          <w:color w:val="auto"/>
        </w:rPr>
        <w:t>As to the balance of the awards against the other defendants, while we intend to vigorously pursue collection of the damage awards, there can be no assurance that we will ultimately collect on all or a portion of these award. Furthermore, the jury’s verdict and damage awards are subject to appeal by one or more of the defendants.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The DialHD Georgia Action:</w:t>
      </w:r>
    </w:p>
    <w:p>
      <w:pPr>
        <w:spacing w:after="0" w:line="98" w:lineRule="exact"/>
        <w:rPr>
          <w:sz w:val="20"/>
          <w:szCs w:val="20"/>
          <w:color w:val="auto"/>
        </w:rPr>
      </w:pPr>
    </w:p>
    <w:p>
      <w:pPr>
        <w:ind w:right="1199"/>
        <w:spacing w:after="0" w:line="275" w:lineRule="auto"/>
        <w:rPr>
          <w:sz w:val="20"/>
          <w:szCs w:val="20"/>
          <w:color w:val="auto"/>
        </w:rPr>
      </w:pPr>
      <w:r>
        <w:rPr>
          <w:rFonts w:ascii="Arial" w:cs="Arial" w:eastAsia="Arial" w:hAnsi="Arial"/>
          <w:sz w:val="19"/>
          <w:szCs w:val="19"/>
          <w:color w:val="auto"/>
        </w:rPr>
        <w:t>During July 2009, DialHD and Donald Bowers filed a lawsuit against us in the Superior Court of Columbia County in the State of Georgia. DialHD is apparently owned in whole or in part by Donald Bowers, who is the father of WideBand defendant Lonny Bowers. On September 7, 2010, the Court dismissed most of the claims against ClearOne. On September 13, 2011, the Court dismissed the remaining claims against ClearOne. On October 12, 2011, ClearOne filed a motion seeking an award of its attorney fees and costs incurred in the case from Dial HD, Donald Bowers, and/or the attorney representing them, as a sanction. On January 25, 2012, the Court ordered the taxing of costs in the amount of approximately $1 against the plaintiffs. Plaintiffs did not file a notice of appeal.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ARS Special Arbitration:</w:t>
      </w:r>
    </w:p>
    <w:p>
      <w:pPr>
        <w:spacing w:after="0" w:line="98" w:lineRule="exact"/>
        <w:rPr>
          <w:sz w:val="20"/>
          <w:szCs w:val="20"/>
          <w:color w:val="auto"/>
        </w:rPr>
      </w:pPr>
    </w:p>
    <w:p>
      <w:pPr>
        <w:ind w:right="1139"/>
        <w:spacing w:after="0" w:line="270" w:lineRule="auto"/>
        <w:rPr>
          <w:sz w:val="20"/>
          <w:szCs w:val="20"/>
          <w:color w:val="auto"/>
        </w:rPr>
      </w:pPr>
      <w:r>
        <w:rPr>
          <w:rFonts w:ascii="Arial" w:cs="Arial" w:eastAsia="Arial" w:hAnsi="Arial"/>
          <w:sz w:val="19"/>
          <w:szCs w:val="19"/>
          <w:color w:val="auto"/>
        </w:rPr>
        <w:t>In January 2010, we filed an arbitration proceeding against UBS Financial Services, Inc. (“UBS”) with the Financial Industry Regulatory Authority (“FINRA”) pursuant to the Auction Rate Securities (“ARS”) Special Arbitration Procedures established by FINRA for securities firms who entered into settlement agreements with the SEC regarding the firms’ sales of auction rate securities. We also filed a separate FINRA arbitration proceeding against Morgan Stanley &amp; Co., Inc. (“Morgan Stanley”) pursuant to the ARS Special Arbitration Proceedings established for securities firms that entered into settlement agreements with the Office of the New York State Attorney General. At the relevant time we held an aggregate of $12,200 in ARS from UBS and Morgan Stanley, which turned out to be illiquid. In October 2008, we accepted offers to repurchase our $12,200 of ARS, at par value, from these two investment banks that sold them to us pursuant to the settlement agreements, but did not waive any claims for consequential damages. In both arbitration proceedings, we are seeking consequential damages as a result of our inability to access funds invested in ARS that UBS and Morgan Stanley sold to us, including losses with respect to a planned strategic business acquisition and related due diligence costs. The arbitrations were rescheduled in late 2011, and both will take place in Salt Lake City. The arbitration against Morgan Stanley was divided into two sessions, and we completed the first session in early March 2012. The second session is set for hearing in October 2012. The arbitration against UBS is also set for hearing in October 2012. We have made significant damages claims in these proceedings, and if we prevail with respect to some or all of our claims, we may be entitled to a material recovery against one or both of the defendants. We cannot, however, predict the outcome of these proceedings or the magnitude of any potential recovery.</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F-19</w:t>
      </w:r>
    </w:p>
    <w:p>
      <w:pPr>
        <w:sectPr>
          <w:pgSz w:w="11900" w:h="16838" w:orient="portrait"/>
          <w:cols w:equalWidth="0" w:num="1">
            <w:col w:w="10219"/>
          </w:cols>
          <w:pgMar w:left="240" w:top="111" w:right="1440" w:bottom="0" w:gutter="0" w:footer="0" w:header="0"/>
          <w:type w:val="continuous"/>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76326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Conclusion:</w:t>
      </w:r>
    </w:p>
    <w:p>
      <w:pPr>
        <w:spacing w:after="0" w:line="98" w:lineRule="exact"/>
        <w:rPr>
          <w:sz w:val="20"/>
          <w:szCs w:val="20"/>
          <w:color w:val="auto"/>
        </w:rPr>
      </w:pPr>
    </w:p>
    <w:p>
      <w:pPr>
        <w:ind w:right="1959"/>
        <w:spacing w:after="0" w:line="251" w:lineRule="auto"/>
        <w:rPr>
          <w:sz w:val="20"/>
          <w:szCs w:val="20"/>
          <w:color w:val="auto"/>
        </w:rPr>
      </w:pPr>
      <w:r>
        <w:rPr>
          <w:rFonts w:ascii="Arial" w:cs="Arial" w:eastAsia="Arial" w:hAnsi="Arial"/>
          <w:sz w:val="22"/>
          <w:szCs w:val="22"/>
          <w:color w:val="auto"/>
        </w:rPr>
        <w:t>These litigations are subject to all of the risks and uncertainties of litigation and there can be no assurance as to the probable result of the litigations.</w:t>
      </w:r>
    </w:p>
    <w:p>
      <w:pPr>
        <w:spacing w:after="0" w:line="200" w:lineRule="exact"/>
        <w:rPr>
          <w:sz w:val="20"/>
          <w:szCs w:val="20"/>
          <w:color w:val="auto"/>
        </w:rPr>
      </w:pPr>
    </w:p>
    <w:p>
      <w:pPr>
        <w:ind w:right="1259"/>
        <w:spacing w:after="0" w:line="282" w:lineRule="auto"/>
        <w:rPr>
          <w:sz w:val="20"/>
          <w:szCs w:val="20"/>
          <w:color w:val="auto"/>
        </w:rPr>
      </w:pPr>
      <w:r>
        <w:rPr>
          <w:rFonts w:ascii="Arial" w:cs="Arial" w:eastAsia="Arial" w:hAnsi="Arial"/>
          <w:sz w:val="19"/>
          <w:szCs w:val="19"/>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$1,000 over and above amounts already provided for. If these adverse outcomes were to occur, our financial position, results of operations and cash flows could be negatively affected materially for the period in which the adverse outcomes are known.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Share-Based Payments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Company’s share-based compensation primarily consists of the following plans:</w:t>
      </w:r>
    </w:p>
    <w:p>
      <w:pPr>
        <w:spacing w:after="0" w:line="233" w:lineRule="exact"/>
        <w:rPr>
          <w:sz w:val="20"/>
          <w:szCs w:val="20"/>
          <w:color w:val="auto"/>
        </w:rPr>
      </w:pPr>
    </w:p>
    <w:p>
      <w:pPr>
        <w:ind w:right="1759"/>
        <w:spacing w:after="0"/>
        <w:rPr>
          <w:sz w:val="20"/>
          <w:szCs w:val="20"/>
          <w:color w:val="auto"/>
        </w:rPr>
      </w:pPr>
      <w:r>
        <w:rPr>
          <w:rFonts w:ascii="Arial" w:cs="Arial" w:eastAsia="Arial" w:hAnsi="Arial"/>
          <w:sz w:val="22"/>
          <w:szCs w:val="22"/>
          <w:color w:val="auto"/>
        </w:rPr>
        <w:t>As of December 31, 2011, the Company had two share-based compensation plans, one which was replaced on November 20, 2007, and one which became active on the same date. The plans are described below.</w:t>
      </w:r>
    </w:p>
    <w:p>
      <w:pPr>
        <w:spacing w:after="0" w:line="213" w:lineRule="exact"/>
        <w:rPr>
          <w:sz w:val="20"/>
          <w:szCs w:val="20"/>
          <w:color w:val="auto"/>
        </w:rPr>
      </w:pPr>
    </w:p>
    <w:p>
      <w:pPr>
        <w:ind w:right="1159"/>
        <w:spacing w:after="0" w:line="277" w:lineRule="auto"/>
        <w:rPr>
          <w:sz w:val="20"/>
          <w:szCs w:val="20"/>
          <w:color w:val="auto"/>
        </w:rPr>
      </w:pPr>
      <w:r>
        <w:rPr>
          <w:rFonts w:ascii="Arial" w:cs="Arial" w:eastAsia="Arial" w:hAnsi="Arial"/>
          <w:sz w:val="19"/>
          <w:szCs w:val="19"/>
          <w:color w:val="auto"/>
        </w:rPr>
        <w:t>The Company’s 1998 Incentive Plan (the “1998 Plan”) had shares of common stock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80" w:lineRule="exact"/>
        <w:rPr>
          <w:sz w:val="20"/>
          <w:szCs w:val="20"/>
          <w:color w:val="auto"/>
        </w:rPr>
      </w:pPr>
    </w:p>
    <w:p>
      <w:pPr>
        <w:ind w:right="1439"/>
        <w:spacing w:after="0" w:line="282" w:lineRule="auto"/>
        <w:rPr>
          <w:sz w:val="20"/>
          <w:szCs w:val="20"/>
          <w:color w:val="auto"/>
        </w:rPr>
      </w:pPr>
      <w:r>
        <w:rPr>
          <w:rFonts w:ascii="Arial" w:cs="Arial" w:eastAsia="Arial" w:hAnsi="Arial"/>
          <w:sz w:val="19"/>
          <w:szCs w:val="19"/>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75" w:lineRule="exact"/>
        <w:rPr>
          <w:sz w:val="20"/>
          <w:szCs w:val="20"/>
          <w:color w:val="auto"/>
        </w:rPr>
      </w:pPr>
    </w:p>
    <w:p>
      <w:pPr>
        <w:ind w:right="1139"/>
        <w:spacing w:after="0" w:line="273" w:lineRule="auto"/>
        <w:rPr>
          <w:sz w:val="20"/>
          <w:szCs w:val="20"/>
          <w:color w:val="auto"/>
        </w:rPr>
      </w:pPr>
      <w:r>
        <w:rPr>
          <w:rFonts w:ascii="Arial" w:cs="Arial" w:eastAsia="Arial" w:hAnsi="Arial"/>
          <w:sz w:val="19"/>
          <w:szCs w:val="19"/>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2011 had contractual lives of ten years. Under the 1998 Plan, 2,500,000 shares were authorized for grant. As of December 31, 2011, there were 706,615 options outstanding under the 1998 Plan, which includes the cliff vesting and 3 or 4-year vesting options discussed above. As of December 31, 2011 there were 454,318 options outstanding under the 2007 Plan.</w:t>
      </w:r>
    </w:p>
    <w:p>
      <w:pPr>
        <w:spacing w:after="0" w:line="183" w:lineRule="exact"/>
        <w:rPr>
          <w:sz w:val="20"/>
          <w:szCs w:val="20"/>
          <w:color w:val="auto"/>
        </w:rPr>
      </w:pPr>
    </w:p>
    <w:p>
      <w:pPr>
        <w:ind w:right="1239"/>
        <w:spacing w:after="0" w:line="249" w:lineRule="auto"/>
        <w:rPr>
          <w:sz w:val="20"/>
          <w:szCs w:val="20"/>
          <w:color w:val="auto"/>
        </w:rPr>
      </w:pPr>
      <w:r>
        <w:rPr>
          <w:rFonts w:ascii="Arial" w:cs="Arial" w:eastAsia="Arial" w:hAnsi="Arial"/>
          <w:sz w:val="21"/>
          <w:szCs w:val="21"/>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206" w:lineRule="exact"/>
        <w:rPr>
          <w:sz w:val="20"/>
          <w:szCs w:val="20"/>
          <w:color w:val="auto"/>
        </w:rPr>
      </w:pPr>
    </w:p>
    <w:p>
      <w:pPr>
        <w:ind w:right="1199"/>
        <w:spacing w:after="0" w:line="277" w:lineRule="auto"/>
        <w:rPr>
          <w:sz w:val="20"/>
          <w:szCs w:val="20"/>
          <w:color w:val="auto"/>
        </w:rPr>
      </w:pPr>
      <w:r>
        <w:rPr>
          <w:rFonts w:ascii="Arial" w:cs="Arial" w:eastAsia="Arial" w:hAnsi="Arial"/>
          <w:sz w:val="19"/>
          <w:szCs w:val="19"/>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the guidelines of ASC Topic 718.</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F-20</w:t>
      </w:r>
    </w:p>
    <w:p>
      <w:pPr>
        <w:sectPr>
          <w:pgSz w:w="11900" w:h="16838" w:orient="portrait"/>
          <w:cols w:equalWidth="0" w:num="1">
            <w:col w:w="10219"/>
          </w:cols>
          <w:pgMar w:left="240" w:top="111" w:right="1440" w:bottom="0" w:gutter="0" w:footer="0" w:header="0"/>
          <w:type w:val="continuous"/>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6326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ind w:left="340" w:right="162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1" w:lineRule="exact"/>
        <w:rPr>
          <w:sz w:val="20"/>
          <w:szCs w:val="20"/>
          <w:color w:val="auto"/>
        </w:rPr>
      </w:pPr>
    </w:p>
    <w:p>
      <w:pPr>
        <w:ind w:right="1539"/>
        <w:spacing w:after="0" w:line="251" w:lineRule="auto"/>
        <w:rPr>
          <w:sz w:val="20"/>
          <w:szCs w:val="20"/>
          <w:color w:val="auto"/>
        </w:rPr>
      </w:pPr>
      <w:r>
        <w:rPr>
          <w:rFonts w:ascii="Arial" w:cs="Arial" w:eastAsia="Arial" w:hAnsi="Arial"/>
          <w:sz w:val="22"/>
          <w:szCs w:val="22"/>
          <w:color w:val="auto"/>
        </w:rPr>
        <w:t>In applying the Black-Scholes methodology to the options granted, the Company used the following assumptions: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680" w:type="dxa"/>
            <w:vAlign w:val="bottom"/>
            <w:gridSpan w:val="2"/>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32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r>
      <w:tr>
        <w:trPr>
          <w:trHeight w:val="223"/>
        </w:trPr>
        <w:tc>
          <w:tcPr>
            <w:tcW w:w="3280" w:type="dxa"/>
            <w:vAlign w:val="bottom"/>
            <w:shd w:val="clear" w:color="auto" w:fill="A0C4DA"/>
          </w:tcPr>
          <w:p>
            <w:pPr>
              <w:spacing w:after="0"/>
              <w:rPr>
                <w:sz w:val="20"/>
                <w:szCs w:val="20"/>
                <w:color w:val="auto"/>
              </w:rPr>
            </w:pPr>
            <w:r>
              <w:rPr>
                <w:rFonts w:ascii="Arial" w:cs="Arial" w:eastAsia="Arial" w:hAnsi="Arial"/>
                <w:sz w:val="18"/>
                <w:szCs w:val="18"/>
                <w:color w:val="auto"/>
              </w:rPr>
              <w:t>Risk-free interest rate, average</w:t>
            </w:r>
          </w:p>
        </w:tc>
        <w:tc>
          <w:tcPr>
            <w:tcW w:w="140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92"/>
              </w:rPr>
              <w:t>1.6%</w:t>
            </w:r>
          </w:p>
        </w:tc>
        <w:tc>
          <w:tcPr>
            <w:tcW w:w="12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92"/>
              </w:rPr>
              <w:t>2.2%</w:t>
            </w: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Expected option life, average</w:t>
            </w:r>
          </w:p>
        </w:tc>
        <w:tc>
          <w:tcPr>
            <w:tcW w:w="1400" w:type="dxa"/>
            <w:vAlign w:val="bottom"/>
          </w:tcPr>
          <w:p>
            <w:pPr>
              <w:ind w:left="340"/>
              <w:spacing w:after="0"/>
              <w:rPr>
                <w:sz w:val="20"/>
                <w:szCs w:val="20"/>
                <w:color w:val="auto"/>
              </w:rPr>
            </w:pPr>
            <w:r>
              <w:rPr>
                <w:rFonts w:ascii="Arial" w:cs="Arial" w:eastAsia="Arial" w:hAnsi="Arial"/>
                <w:sz w:val="18"/>
                <w:szCs w:val="18"/>
                <w:color w:val="auto"/>
              </w:rPr>
              <w:t>7.15 years</w:t>
            </w:r>
          </w:p>
        </w:tc>
        <w:tc>
          <w:tcPr>
            <w:tcW w:w="1280" w:type="dxa"/>
            <w:vAlign w:val="bottom"/>
          </w:tcPr>
          <w:p>
            <w:pPr>
              <w:ind w:left="320"/>
              <w:spacing w:after="0"/>
              <w:rPr>
                <w:sz w:val="20"/>
                <w:szCs w:val="20"/>
                <w:color w:val="auto"/>
              </w:rPr>
            </w:pPr>
            <w:r>
              <w:rPr>
                <w:rFonts w:ascii="Arial" w:cs="Arial" w:eastAsia="Arial" w:hAnsi="Arial"/>
                <w:sz w:val="18"/>
                <w:szCs w:val="18"/>
                <w:color w:val="auto"/>
              </w:rPr>
              <w:t>3.9 years</w:t>
            </w:r>
          </w:p>
        </w:tc>
      </w:tr>
      <w:tr>
        <w:trPr>
          <w:trHeight w:val="230"/>
        </w:trPr>
        <w:tc>
          <w:tcPr>
            <w:tcW w:w="3280" w:type="dxa"/>
            <w:vAlign w:val="bottom"/>
            <w:shd w:val="clear" w:color="auto" w:fill="A0C4DA"/>
          </w:tcPr>
          <w:p>
            <w:pPr>
              <w:ind w:left="180"/>
              <w:spacing w:after="0"/>
              <w:rPr>
                <w:sz w:val="20"/>
                <w:szCs w:val="20"/>
                <w:color w:val="auto"/>
              </w:rPr>
            </w:pPr>
            <w:r>
              <w:rPr>
                <w:rFonts w:ascii="Arial" w:cs="Arial" w:eastAsia="Arial" w:hAnsi="Arial"/>
                <w:sz w:val="18"/>
                <w:szCs w:val="18"/>
                <w:color w:val="auto"/>
              </w:rPr>
              <w:t>Expected price volatility, average</w:t>
            </w:r>
          </w:p>
        </w:tc>
        <w:tc>
          <w:tcPr>
            <w:tcW w:w="140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90"/>
              </w:rPr>
              <w:t>51.9%</w:t>
            </w:r>
          </w:p>
        </w:tc>
        <w:tc>
          <w:tcPr>
            <w:tcW w:w="12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93"/>
              </w:rPr>
              <w:t>51.6%</w:t>
            </w:r>
          </w:p>
        </w:tc>
      </w:tr>
      <w:tr>
        <w:trPr>
          <w:trHeight w:val="230"/>
        </w:trPr>
        <w:tc>
          <w:tcPr>
            <w:tcW w:w="3280" w:type="dxa"/>
            <w:vAlign w:val="bottom"/>
          </w:tcPr>
          <w:p>
            <w:pPr>
              <w:ind w:left="360"/>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30"/>
        </w:trPr>
        <w:tc>
          <w:tcPr>
            <w:tcW w:w="3280" w:type="dxa"/>
            <w:vAlign w:val="bottom"/>
            <w:shd w:val="clear" w:color="auto" w:fill="A0C4DA"/>
          </w:tcPr>
          <w:p>
            <w:pPr>
              <w:spacing w:after="0"/>
              <w:rPr>
                <w:sz w:val="20"/>
                <w:szCs w:val="20"/>
                <w:color w:val="auto"/>
              </w:rPr>
            </w:pPr>
            <w:r>
              <w:rPr>
                <w:rFonts w:ascii="Arial" w:cs="Arial" w:eastAsia="Arial" w:hAnsi="Arial"/>
                <w:sz w:val="18"/>
                <w:szCs w:val="18"/>
                <w:color w:val="auto"/>
              </w:rPr>
              <w:t>Expected annual forfeiture rate</w:t>
            </w:r>
          </w:p>
        </w:tc>
        <w:tc>
          <w:tcPr>
            <w:tcW w:w="140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90"/>
              </w:rPr>
              <w:t>10.0%</w:t>
            </w:r>
          </w:p>
        </w:tc>
        <w:tc>
          <w:tcPr>
            <w:tcW w:w="12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93"/>
              </w:rPr>
              <w:t>10.0%</w:t>
            </w:r>
          </w:p>
        </w:tc>
      </w:tr>
    </w:tbl>
    <w:p>
      <w:pPr>
        <w:spacing w:after="0" w:line="222" w:lineRule="exact"/>
        <w:rPr>
          <w:sz w:val="20"/>
          <w:szCs w:val="20"/>
          <w:color w:val="auto"/>
        </w:rPr>
      </w:pPr>
    </w:p>
    <w:p>
      <w:pPr>
        <w:jc w:val="both"/>
        <w:ind w:right="1259"/>
        <w:spacing w:after="0"/>
        <w:rPr>
          <w:sz w:val="20"/>
          <w:szCs w:val="20"/>
          <w:color w:val="auto"/>
        </w:rPr>
      </w:pPr>
      <w:r>
        <w:rPr>
          <w:rFonts w:ascii="Arial" w:cs="Arial" w:eastAsia="Arial" w:hAnsi="Arial"/>
          <w:sz w:val="22"/>
          <w:szCs w:val="22"/>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213" w:lineRule="exact"/>
        <w:rPr>
          <w:sz w:val="20"/>
          <w:szCs w:val="20"/>
          <w:color w:val="auto"/>
        </w:rPr>
      </w:pPr>
    </w:p>
    <w:p>
      <w:pPr>
        <w:ind w:right="1219"/>
        <w:spacing w:after="0" w:line="247" w:lineRule="auto"/>
        <w:rPr>
          <w:sz w:val="20"/>
          <w:szCs w:val="20"/>
          <w:color w:val="auto"/>
        </w:rPr>
      </w:pPr>
      <w:r>
        <w:rPr>
          <w:rFonts w:ascii="Arial" w:cs="Arial" w:eastAsia="Arial" w:hAnsi="Arial"/>
          <w:sz w:val="21"/>
          <w:szCs w:val="21"/>
          <w:color w:val="auto"/>
        </w:rPr>
        <w:t>The expected price volatility is determined using a weighted average of daily historical volatility of the Company’s stock price over the corresponding expected option life. The Company does not currently intend to distribute any dividend payments to shareholders. 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the stock option activity: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Number of Shares</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shd w:val="clear" w:color="auto" w:fill="A0C4DA"/>
          </w:tcPr>
          <w:p>
            <w:pPr>
              <w:spacing w:after="0"/>
              <w:rPr>
                <w:sz w:val="20"/>
                <w:szCs w:val="20"/>
                <w:color w:val="auto"/>
              </w:rPr>
            </w:pPr>
            <w:r>
              <w:rPr>
                <w:rFonts w:ascii="Arial" w:cs="Arial" w:eastAsia="Arial" w:hAnsi="Arial"/>
                <w:sz w:val="18"/>
                <w:szCs w:val="18"/>
                <w:color w:val="auto"/>
              </w:rPr>
              <w:t>Outstanding at December 31, 2009</w:t>
            </w:r>
          </w:p>
        </w:tc>
        <w:tc>
          <w:tcPr>
            <w:tcW w:w="146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1,226,117</w:t>
            </w:r>
          </w:p>
        </w:tc>
        <w:tc>
          <w:tcPr>
            <w:tcW w:w="360" w:type="dxa"/>
            <w:vAlign w:val="bottom"/>
            <w:shd w:val="clear" w:color="auto" w:fill="A0C4DA"/>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159,750</w:t>
            </w:r>
          </w:p>
        </w:tc>
        <w:tc>
          <w:tcPr>
            <w:tcW w:w="3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A0C4DA"/>
          </w:tcPr>
          <w:p>
            <w:pPr>
              <w:ind w:left="160"/>
              <w:spacing w:after="0"/>
              <w:rPr>
                <w:sz w:val="20"/>
                <w:szCs w:val="20"/>
                <w:color w:val="auto"/>
              </w:rPr>
            </w:pPr>
            <w:r>
              <w:rPr>
                <w:rFonts w:ascii="Arial" w:cs="Arial" w:eastAsia="Arial" w:hAnsi="Arial"/>
                <w:sz w:val="18"/>
                <w:szCs w:val="18"/>
                <w:color w:val="auto"/>
              </w:rPr>
              <w:t>Expired and canceled</w:t>
            </w:r>
          </w:p>
        </w:tc>
        <w:tc>
          <w:tcPr>
            <w:tcW w:w="1460" w:type="dxa"/>
            <w:vAlign w:val="bottom"/>
            <w:shd w:val="clear" w:color="auto" w:fill="A0C4DA"/>
          </w:tcPr>
          <w:p>
            <w:pPr>
              <w:jc w:val="right"/>
              <w:ind w:right="231"/>
              <w:spacing w:after="0"/>
              <w:rPr>
                <w:sz w:val="20"/>
                <w:szCs w:val="20"/>
                <w:color w:val="auto"/>
              </w:rPr>
            </w:pPr>
            <w:r>
              <w:rPr>
                <w:rFonts w:ascii="Arial" w:cs="Arial" w:eastAsia="Arial" w:hAnsi="Arial"/>
                <w:sz w:val="18"/>
                <w:szCs w:val="18"/>
                <w:color w:val="auto"/>
              </w:rPr>
              <w:t>(145,041)</w:t>
            </w:r>
          </w:p>
        </w:tc>
        <w:tc>
          <w:tcPr>
            <w:tcW w:w="360" w:type="dxa"/>
            <w:vAlign w:val="bottom"/>
            <w:shd w:val="clear" w:color="auto" w:fill="A0C4DA"/>
          </w:tcPr>
          <w:p>
            <w:pPr>
              <w:spacing w:after="0"/>
              <w:rPr>
                <w:sz w:val="19"/>
                <w:szCs w:val="19"/>
                <w:color w:val="auto"/>
              </w:rPr>
            </w:pPr>
          </w:p>
        </w:tc>
        <w:tc>
          <w:tcPr>
            <w:tcW w:w="90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Forfeited prior to vesting</w:t>
            </w:r>
          </w:p>
        </w:tc>
        <w:tc>
          <w:tcPr>
            <w:tcW w:w="1460" w:type="dxa"/>
            <w:vAlign w:val="bottom"/>
          </w:tcPr>
          <w:p>
            <w:pPr>
              <w:jc w:val="right"/>
              <w:ind w:right="231"/>
              <w:spacing w:after="0"/>
              <w:rPr>
                <w:sz w:val="20"/>
                <w:szCs w:val="20"/>
                <w:color w:val="auto"/>
              </w:rPr>
            </w:pPr>
            <w:r>
              <w:rPr>
                <w:rFonts w:ascii="Arial" w:cs="Arial" w:eastAsia="Arial" w:hAnsi="Arial"/>
                <w:sz w:val="18"/>
                <w:szCs w:val="18"/>
                <w:color w:val="auto"/>
              </w:rPr>
              <w:t>(22,000)</w:t>
            </w:r>
          </w:p>
        </w:tc>
        <w:tc>
          <w:tcPr>
            <w:tcW w:w="3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0C4DA"/>
            </w:tcBorders>
            <w:shd w:val="clear" w:color="auto" w:fill="A0C4DA"/>
          </w:tcPr>
          <w:p>
            <w:pPr>
              <w:ind w:left="16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auto"/>
            </w:tcBorders>
            <w:shd w:val="clear" w:color="auto" w:fill="A0C4DA"/>
          </w:tcPr>
          <w:p>
            <w:pPr>
              <w:jc w:val="right"/>
              <w:ind w:right="2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0C4DA"/>
            </w:tcBorders>
            <w:shd w:val="clear" w:color="auto" w:fill="A0C4DA"/>
          </w:tcPr>
          <w:p>
            <w:pPr>
              <w:spacing w:after="0"/>
              <w:rPr>
                <w:sz w:val="18"/>
                <w:szCs w:val="18"/>
                <w:color w:val="auto"/>
              </w:rPr>
            </w:pPr>
          </w:p>
        </w:tc>
        <w:tc>
          <w:tcPr>
            <w:tcW w:w="900" w:type="dxa"/>
            <w:vAlign w:val="bottom"/>
            <w:tcBorders>
              <w:bottom w:val="single" w:sz="8" w:color="A0C4DA"/>
            </w:tcBorders>
            <w:shd w:val="clear" w:color="auto" w:fill="A0C4DA"/>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Outstanding at December 31, 2010</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1,218,826</w:t>
            </w:r>
          </w:p>
        </w:tc>
        <w:tc>
          <w:tcPr>
            <w:tcW w:w="3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A0C4DA"/>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shd w:val="clear" w:color="auto" w:fill="A0C4DA"/>
          </w:tcPr>
          <w:p>
            <w:pPr>
              <w:jc w:val="right"/>
              <w:ind w:right="271"/>
              <w:spacing w:after="0"/>
              <w:rPr>
                <w:sz w:val="20"/>
                <w:szCs w:val="20"/>
                <w:color w:val="auto"/>
              </w:rPr>
            </w:pPr>
            <w:r>
              <w:rPr>
                <w:rFonts w:ascii="Arial" w:cs="Arial" w:eastAsia="Arial" w:hAnsi="Arial"/>
                <w:sz w:val="18"/>
                <w:szCs w:val="18"/>
                <w:color w:val="auto"/>
              </w:rPr>
              <w:t>156,611</w:t>
            </w:r>
          </w:p>
        </w:tc>
        <w:tc>
          <w:tcPr>
            <w:tcW w:w="360" w:type="dxa"/>
            <w:vAlign w:val="bottom"/>
            <w:shd w:val="clear" w:color="auto" w:fill="A0C4DA"/>
          </w:tcPr>
          <w:p>
            <w:pPr>
              <w:spacing w:after="0"/>
              <w:rPr>
                <w:sz w:val="19"/>
                <w:szCs w:val="19"/>
                <w:color w:val="auto"/>
              </w:rPr>
            </w:pPr>
          </w:p>
        </w:tc>
        <w:tc>
          <w:tcPr>
            <w:tcW w:w="90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460" w:type="dxa"/>
            <w:vAlign w:val="bottom"/>
          </w:tcPr>
          <w:p>
            <w:pPr>
              <w:jc w:val="right"/>
              <w:ind w:right="231"/>
              <w:spacing w:after="0"/>
              <w:rPr>
                <w:sz w:val="20"/>
                <w:szCs w:val="20"/>
                <w:color w:val="auto"/>
              </w:rPr>
            </w:pPr>
            <w:r>
              <w:rPr>
                <w:rFonts w:ascii="Arial" w:cs="Arial" w:eastAsia="Arial" w:hAnsi="Arial"/>
                <w:sz w:val="18"/>
                <w:szCs w:val="18"/>
                <w:color w:val="auto"/>
              </w:rPr>
              <w:t>(5,001)</w:t>
            </w:r>
          </w:p>
        </w:tc>
        <w:tc>
          <w:tcPr>
            <w:tcW w:w="3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A0C4DA"/>
          </w:tcPr>
          <w:p>
            <w:pPr>
              <w:ind w:left="160"/>
              <w:spacing w:after="0"/>
              <w:rPr>
                <w:sz w:val="20"/>
                <w:szCs w:val="20"/>
                <w:color w:val="auto"/>
              </w:rPr>
            </w:pPr>
            <w:r>
              <w:rPr>
                <w:rFonts w:ascii="Arial" w:cs="Arial" w:eastAsia="Arial" w:hAnsi="Arial"/>
                <w:sz w:val="18"/>
                <w:szCs w:val="18"/>
                <w:color w:val="auto"/>
              </w:rPr>
              <w:t>Forfeited prior to vesting</w:t>
            </w:r>
          </w:p>
        </w:tc>
        <w:tc>
          <w:tcPr>
            <w:tcW w:w="1460" w:type="dxa"/>
            <w:vAlign w:val="bottom"/>
            <w:shd w:val="clear" w:color="auto" w:fill="A0C4DA"/>
          </w:tcPr>
          <w:p>
            <w:pPr>
              <w:jc w:val="right"/>
              <w:ind w:right="231"/>
              <w:spacing w:after="0"/>
              <w:rPr>
                <w:sz w:val="20"/>
                <w:szCs w:val="20"/>
                <w:color w:val="auto"/>
              </w:rPr>
            </w:pPr>
            <w:r>
              <w:rPr>
                <w:rFonts w:ascii="Arial" w:cs="Arial" w:eastAsia="Arial" w:hAnsi="Arial"/>
                <w:sz w:val="18"/>
                <w:szCs w:val="18"/>
                <w:color w:val="auto"/>
              </w:rPr>
              <w:t>(40,989)</w:t>
            </w:r>
          </w:p>
        </w:tc>
        <w:tc>
          <w:tcPr>
            <w:tcW w:w="360" w:type="dxa"/>
            <w:vAlign w:val="bottom"/>
            <w:shd w:val="clear" w:color="auto" w:fill="A0C4DA"/>
          </w:tcPr>
          <w:p>
            <w:pPr>
              <w:spacing w:after="0"/>
              <w:rPr>
                <w:sz w:val="19"/>
                <w:szCs w:val="19"/>
                <w:color w:val="auto"/>
              </w:rPr>
            </w:pPr>
          </w:p>
        </w:tc>
        <w:tc>
          <w:tcPr>
            <w:tcW w:w="900" w:type="dxa"/>
            <w:vAlign w:val="bottom"/>
            <w:shd w:val="clear" w:color="auto" w:fill="A0C4DA"/>
          </w:tcPr>
          <w:p>
            <w:pPr>
              <w:jc w:val="right"/>
              <w:ind w:right="2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(168,514)</w:t>
            </w:r>
          </w:p>
        </w:tc>
        <w:tc>
          <w:tcPr>
            <w:tcW w:w="36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80" w:type="dxa"/>
            <w:vAlign w:val="bottom"/>
            <w:tcBorders>
              <w:bottom w:val="single" w:sz="8" w:color="A0C4DA"/>
            </w:tcBorders>
            <w:shd w:val="clear" w:color="auto" w:fill="A0C4DA"/>
          </w:tcPr>
          <w:p>
            <w:pPr>
              <w:spacing w:after="0" w:line="196" w:lineRule="exact"/>
              <w:rPr>
                <w:sz w:val="20"/>
                <w:szCs w:val="20"/>
                <w:color w:val="auto"/>
              </w:rPr>
            </w:pPr>
            <w:r>
              <w:rPr>
                <w:rFonts w:ascii="Arial" w:cs="Arial" w:eastAsia="Arial" w:hAnsi="Arial"/>
                <w:sz w:val="18"/>
                <w:szCs w:val="18"/>
                <w:color w:val="auto"/>
              </w:rPr>
              <w:t>Outstanding at December 31, 2011</w:t>
            </w:r>
          </w:p>
        </w:tc>
        <w:tc>
          <w:tcPr>
            <w:tcW w:w="1460" w:type="dxa"/>
            <w:vAlign w:val="bottom"/>
            <w:tcBorders>
              <w:bottom w:val="single" w:sz="8" w:color="auto"/>
            </w:tcBorders>
            <w:shd w:val="clear" w:color="auto" w:fill="A0C4DA"/>
          </w:tcPr>
          <w:p>
            <w:pPr>
              <w:jc w:val="right"/>
              <w:ind w:right="271"/>
              <w:spacing w:after="0" w:line="182" w:lineRule="exact"/>
              <w:rPr>
                <w:sz w:val="20"/>
                <w:szCs w:val="20"/>
                <w:color w:val="auto"/>
              </w:rPr>
            </w:pPr>
            <w:r>
              <w:rPr>
                <w:rFonts w:ascii="Arial" w:cs="Arial" w:eastAsia="Arial" w:hAnsi="Arial"/>
                <w:sz w:val="18"/>
                <w:szCs w:val="18"/>
                <w:color w:val="auto"/>
              </w:rPr>
              <w:t>1,160,933</w:t>
            </w:r>
          </w:p>
        </w:tc>
        <w:tc>
          <w:tcPr>
            <w:tcW w:w="360" w:type="dxa"/>
            <w:vAlign w:val="bottom"/>
            <w:tcBorders>
              <w:bottom w:val="single" w:sz="8" w:color="A0C4DA"/>
            </w:tcBorders>
            <w:shd w:val="clear" w:color="auto" w:fill="A0C4DA"/>
          </w:tcPr>
          <w:p>
            <w:pPr>
              <w:spacing w:after="0"/>
              <w:rPr>
                <w:sz w:val="20"/>
                <w:szCs w:val="20"/>
                <w:color w:val="auto"/>
              </w:rPr>
            </w:pPr>
          </w:p>
        </w:tc>
        <w:tc>
          <w:tcPr>
            <w:tcW w:w="900" w:type="dxa"/>
            <w:vAlign w:val="bottom"/>
            <w:tcBorders>
              <w:bottom w:val="single" w:sz="8" w:color="A0C4DA"/>
            </w:tcBorders>
            <w:shd w:val="clear" w:color="auto" w:fill="A0C4DA"/>
          </w:tcPr>
          <w:p>
            <w:pPr>
              <w:jc w:val="right"/>
              <w:ind w:right="230"/>
              <w:spacing w:after="0" w:line="196"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Exercisable</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922,117</w:t>
            </w:r>
          </w:p>
        </w:tc>
        <w:tc>
          <w:tcPr>
            <w:tcW w:w="3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information about stock options outstanding as of December 31, 2011: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Options Outstanding</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579"/>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Weighted Average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Exercise Price Range</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Number of Shares</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Options Exercisable</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1760" w:type="dxa"/>
            <w:vAlign w:val="bottom"/>
            <w:gridSpan w:val="3"/>
            <w:shd w:val="clear" w:color="auto" w:fill="A0C4DA"/>
          </w:tcPr>
          <w:p>
            <w:pPr>
              <w:spacing w:after="0"/>
              <w:rPr>
                <w:sz w:val="20"/>
                <w:szCs w:val="20"/>
                <w:color w:val="auto"/>
              </w:rPr>
            </w:pPr>
            <w:r>
              <w:rPr>
                <w:rFonts w:ascii="Arial" w:cs="Arial" w:eastAsia="Arial" w:hAnsi="Arial"/>
                <w:sz w:val="18"/>
                <w:szCs w:val="18"/>
                <w:color w:val="auto"/>
              </w:rPr>
              <w:t>$2.05 to $4.09</w:t>
            </w:r>
          </w:p>
        </w:tc>
        <w:tc>
          <w:tcPr>
            <w:tcW w:w="1240" w:type="dxa"/>
            <w:vAlign w:val="bottom"/>
            <w:shd w:val="clear" w:color="auto" w:fill="A0C4DA"/>
          </w:tcPr>
          <w:p>
            <w:pPr>
              <w:jc w:val="right"/>
              <w:ind w:right="154"/>
              <w:spacing w:after="0"/>
              <w:rPr>
                <w:sz w:val="20"/>
                <w:szCs w:val="20"/>
                <w:color w:val="auto"/>
              </w:rPr>
            </w:pPr>
            <w:r>
              <w:rPr>
                <w:rFonts w:ascii="Arial" w:cs="Arial" w:eastAsia="Arial" w:hAnsi="Arial"/>
                <w:sz w:val="18"/>
                <w:szCs w:val="18"/>
                <w:color w:val="auto"/>
              </w:rPr>
              <w:t>627,696</w:t>
            </w:r>
          </w:p>
        </w:tc>
        <w:tc>
          <w:tcPr>
            <w:tcW w:w="520" w:type="dxa"/>
            <w:vAlign w:val="bottom"/>
            <w:gridSpan w:val="3"/>
            <w:shd w:val="clear" w:color="auto" w:fill="A0C4DA"/>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A0C4DA"/>
          </w:tcPr>
          <w:p>
            <w:pPr>
              <w:jc w:val="right"/>
              <w:ind w:right="21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A0C4DA"/>
          </w:tcPr>
          <w:p>
            <w:pPr>
              <w:spacing w:after="0"/>
              <w:rPr>
                <w:sz w:val="19"/>
                <w:szCs w:val="19"/>
                <w:color w:val="auto"/>
              </w:rPr>
            </w:pPr>
          </w:p>
        </w:tc>
        <w:tc>
          <w:tcPr>
            <w:tcW w:w="11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89"/>
              </w:rPr>
              <w:t>5.5 years</w:t>
            </w:r>
          </w:p>
        </w:tc>
        <w:tc>
          <w:tcPr>
            <w:tcW w:w="1440" w:type="dxa"/>
            <w:vAlign w:val="bottom"/>
            <w:gridSpan w:val="2"/>
            <w:shd w:val="clear" w:color="auto" w:fill="A0C4DA"/>
          </w:tcPr>
          <w:p>
            <w:pPr>
              <w:jc w:val="right"/>
              <w:ind w:right="242"/>
              <w:spacing w:after="0"/>
              <w:rPr>
                <w:sz w:val="20"/>
                <w:szCs w:val="20"/>
                <w:color w:val="auto"/>
              </w:rPr>
            </w:pPr>
            <w:r>
              <w:rPr>
                <w:rFonts w:ascii="Arial" w:cs="Arial" w:eastAsia="Arial" w:hAnsi="Arial"/>
                <w:sz w:val="18"/>
                <w:szCs w:val="18"/>
                <w:color w:val="auto"/>
              </w:rPr>
              <w:t>545,700</w:t>
            </w:r>
          </w:p>
        </w:tc>
        <w:tc>
          <w:tcPr>
            <w:tcW w:w="320" w:type="dxa"/>
            <w:vAlign w:val="bottom"/>
            <w:gridSpan w:val="2"/>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A0C4DA"/>
          </w:tcPr>
          <w:p>
            <w:pPr>
              <w:jc w:val="right"/>
              <w:ind w:right="256"/>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1760" w:type="dxa"/>
            <w:vAlign w:val="bottom"/>
            <w:gridSpan w:val="3"/>
          </w:tcPr>
          <w:p>
            <w:pPr>
              <w:spacing w:after="0"/>
              <w:rPr>
                <w:sz w:val="20"/>
                <w:szCs w:val="20"/>
                <w:color w:val="auto"/>
              </w:rPr>
            </w:pPr>
            <w:r>
              <w:rPr>
                <w:rFonts w:ascii="Arial" w:cs="Arial" w:eastAsia="Arial" w:hAnsi="Arial"/>
                <w:sz w:val="18"/>
                <w:szCs w:val="18"/>
                <w:color w:val="auto"/>
              </w:rPr>
              <w:t>$4.10 to $6.13</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210,626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6.2 years</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105,417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56"/>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1760" w:type="dxa"/>
            <w:vAlign w:val="bottom"/>
            <w:gridSpan w:val="3"/>
            <w:shd w:val="clear" w:color="auto" w:fill="A0C4DA"/>
          </w:tcPr>
          <w:p>
            <w:pPr>
              <w:spacing w:after="0"/>
              <w:rPr>
                <w:sz w:val="20"/>
                <w:szCs w:val="20"/>
                <w:color w:val="auto"/>
              </w:rPr>
            </w:pPr>
            <w:r>
              <w:rPr>
                <w:rFonts w:ascii="Arial" w:cs="Arial" w:eastAsia="Arial" w:hAnsi="Arial"/>
                <w:sz w:val="18"/>
                <w:szCs w:val="18"/>
                <w:color w:val="auto"/>
              </w:rPr>
              <w:t>$6.14 to $8.18</w:t>
            </w:r>
          </w:p>
        </w:tc>
        <w:tc>
          <w:tcPr>
            <w:tcW w:w="1240" w:type="dxa"/>
            <w:vAlign w:val="bottom"/>
            <w:shd w:val="clear" w:color="auto" w:fill="A0C4DA"/>
          </w:tcPr>
          <w:p>
            <w:pPr>
              <w:jc w:val="right"/>
              <w:ind w:right="154"/>
              <w:spacing w:after="0"/>
              <w:rPr>
                <w:sz w:val="20"/>
                <w:szCs w:val="20"/>
                <w:color w:val="auto"/>
              </w:rPr>
            </w:pPr>
            <w:r>
              <w:rPr>
                <w:rFonts w:ascii="Arial" w:cs="Arial" w:eastAsia="Arial" w:hAnsi="Arial"/>
                <w:sz w:val="18"/>
                <w:szCs w:val="18"/>
                <w:color w:val="auto"/>
              </w:rPr>
              <w:t>322,611</w:t>
            </w:r>
          </w:p>
        </w:tc>
        <w:tc>
          <w:tcPr>
            <w:tcW w:w="80" w:type="dxa"/>
            <w:vAlign w:val="bottom"/>
            <w:shd w:val="clear" w:color="auto" w:fill="A0C4DA"/>
          </w:tcPr>
          <w:p>
            <w:pPr>
              <w:spacing w:after="0"/>
              <w:rPr>
                <w:sz w:val="19"/>
                <w:szCs w:val="19"/>
                <w:color w:val="auto"/>
              </w:rPr>
            </w:pPr>
          </w:p>
        </w:tc>
        <w:tc>
          <w:tcPr>
            <w:tcW w:w="80" w:type="dxa"/>
            <w:vAlign w:val="bottom"/>
            <w:shd w:val="clear" w:color="auto" w:fill="A0C4DA"/>
          </w:tcPr>
          <w:p>
            <w:pPr>
              <w:spacing w:after="0"/>
              <w:rPr>
                <w:sz w:val="19"/>
                <w:szCs w:val="19"/>
                <w:color w:val="auto"/>
              </w:rPr>
            </w:pPr>
          </w:p>
        </w:tc>
        <w:tc>
          <w:tcPr>
            <w:tcW w:w="360" w:type="dxa"/>
            <w:vAlign w:val="bottom"/>
            <w:shd w:val="clear" w:color="auto" w:fill="A0C4DA"/>
          </w:tcPr>
          <w:p>
            <w:pPr>
              <w:spacing w:after="0"/>
              <w:rPr>
                <w:sz w:val="19"/>
                <w:szCs w:val="19"/>
                <w:color w:val="auto"/>
              </w:rPr>
            </w:pPr>
          </w:p>
        </w:tc>
        <w:tc>
          <w:tcPr>
            <w:tcW w:w="780" w:type="dxa"/>
            <w:vAlign w:val="bottom"/>
            <w:shd w:val="clear" w:color="auto" w:fill="A0C4DA"/>
          </w:tcPr>
          <w:p>
            <w:pPr>
              <w:jc w:val="right"/>
              <w:ind w:right="21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A0C4DA"/>
          </w:tcPr>
          <w:p>
            <w:pPr>
              <w:spacing w:after="0"/>
              <w:rPr>
                <w:sz w:val="19"/>
                <w:szCs w:val="19"/>
                <w:color w:val="auto"/>
              </w:rPr>
            </w:pPr>
          </w:p>
        </w:tc>
        <w:tc>
          <w:tcPr>
            <w:tcW w:w="1180" w:type="dxa"/>
            <w:vAlign w:val="bottom"/>
            <w:shd w:val="clear" w:color="auto" w:fill="A0C4DA"/>
          </w:tcPr>
          <w:p>
            <w:pPr>
              <w:jc w:val="center"/>
              <w:spacing w:after="0"/>
              <w:rPr>
                <w:sz w:val="20"/>
                <w:szCs w:val="20"/>
                <w:color w:val="auto"/>
              </w:rPr>
            </w:pPr>
            <w:r>
              <w:rPr>
                <w:rFonts w:ascii="Arial" w:cs="Arial" w:eastAsia="Arial" w:hAnsi="Arial"/>
                <w:sz w:val="18"/>
                <w:szCs w:val="18"/>
                <w:color w:val="auto"/>
                <w:w w:val="89"/>
              </w:rPr>
              <w:t>5.0 years</w:t>
            </w:r>
          </w:p>
        </w:tc>
        <w:tc>
          <w:tcPr>
            <w:tcW w:w="1440" w:type="dxa"/>
            <w:vAlign w:val="bottom"/>
            <w:gridSpan w:val="2"/>
            <w:shd w:val="clear" w:color="auto" w:fill="A0C4DA"/>
          </w:tcPr>
          <w:p>
            <w:pPr>
              <w:jc w:val="right"/>
              <w:ind w:right="242"/>
              <w:spacing w:after="0"/>
              <w:rPr>
                <w:sz w:val="20"/>
                <w:szCs w:val="20"/>
                <w:color w:val="auto"/>
              </w:rPr>
            </w:pPr>
            <w:r>
              <w:rPr>
                <w:rFonts w:ascii="Arial" w:cs="Arial" w:eastAsia="Arial" w:hAnsi="Arial"/>
                <w:sz w:val="18"/>
                <w:szCs w:val="18"/>
                <w:color w:val="auto"/>
              </w:rPr>
              <w:t>271,000</w:t>
            </w:r>
          </w:p>
        </w:tc>
        <w:tc>
          <w:tcPr>
            <w:tcW w:w="80" w:type="dxa"/>
            <w:vAlign w:val="bottom"/>
            <w:shd w:val="clear" w:color="auto" w:fill="A0C4DA"/>
          </w:tcPr>
          <w:p>
            <w:pPr>
              <w:spacing w:after="0"/>
              <w:rPr>
                <w:sz w:val="19"/>
                <w:szCs w:val="19"/>
                <w:color w:val="auto"/>
              </w:rPr>
            </w:pPr>
          </w:p>
        </w:tc>
        <w:tc>
          <w:tcPr>
            <w:tcW w:w="240" w:type="dxa"/>
            <w:vAlign w:val="bottom"/>
            <w:shd w:val="clear" w:color="auto" w:fill="A0C4DA"/>
          </w:tcPr>
          <w:p>
            <w:pPr>
              <w:spacing w:after="0"/>
              <w:rPr>
                <w:sz w:val="19"/>
                <w:szCs w:val="19"/>
                <w:color w:val="auto"/>
              </w:rPr>
            </w:pPr>
          </w:p>
        </w:tc>
        <w:tc>
          <w:tcPr>
            <w:tcW w:w="880" w:type="dxa"/>
            <w:vAlign w:val="bottom"/>
            <w:shd w:val="clear" w:color="auto" w:fill="A0C4DA"/>
          </w:tcPr>
          <w:p>
            <w:pPr>
              <w:jc w:val="right"/>
              <w:ind w:right="256"/>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183"/>
        </w:trPr>
        <w:tc>
          <w:tcPr>
            <w:tcW w:w="176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54"/>
              <w:spacing w:after="0" w:line="170" w:lineRule="exact"/>
              <w:rPr>
                <w:sz w:val="20"/>
                <w:szCs w:val="20"/>
                <w:color w:val="auto"/>
              </w:rPr>
            </w:pPr>
            <w:r>
              <w:rPr>
                <w:rFonts w:ascii="Arial" w:cs="Arial" w:eastAsia="Arial" w:hAnsi="Arial"/>
                <w:sz w:val="18"/>
                <w:szCs w:val="18"/>
                <w:color w:val="auto"/>
              </w:rPr>
              <w:t>1,160,933</w:t>
            </w:r>
          </w:p>
        </w:tc>
        <w:tc>
          <w:tcPr>
            <w:tcW w:w="80" w:type="dxa"/>
            <w:vAlign w:val="bottom"/>
            <w:tcBorders>
              <w:top w:val="single" w:sz="8" w:color="auto"/>
              <w:bottom w:val="single" w:sz="8" w:color="auto"/>
            </w:tcBorders>
          </w:tcPr>
          <w:p>
            <w:pPr>
              <w:spacing w:after="0"/>
              <w:rPr>
                <w:sz w:val="15"/>
                <w:szCs w:val="15"/>
                <w:color w:val="auto"/>
              </w:rPr>
            </w:pPr>
          </w:p>
        </w:tc>
        <w:tc>
          <w:tcPr>
            <w:tcW w:w="44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4.50</w:t>
            </w:r>
          </w:p>
        </w:tc>
        <w:tc>
          <w:tcPr>
            <w:tcW w:w="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9"/>
              </w:rPr>
              <w:t>5.5 years</w:t>
            </w:r>
          </w:p>
        </w:tc>
        <w:tc>
          <w:tcPr>
            <w:tcW w:w="18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ind w:right="242"/>
              <w:spacing w:after="0" w:line="170" w:lineRule="exact"/>
              <w:rPr>
                <w:sz w:val="20"/>
                <w:szCs w:val="20"/>
                <w:color w:val="auto"/>
              </w:rPr>
            </w:pPr>
            <w:r>
              <w:rPr>
                <w:rFonts w:ascii="Arial" w:cs="Arial" w:eastAsia="Arial" w:hAnsi="Arial"/>
                <w:sz w:val="18"/>
                <w:szCs w:val="18"/>
                <w:color w:val="auto"/>
              </w:rPr>
              <w:t>922,117</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56"/>
              <w:spacing w:after="0" w:line="18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85" w:name="page86"/>
    <w:bookmarkEnd w:id="85"/>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1" w:lineRule="exact"/>
        <w:rPr>
          <w:sz w:val="20"/>
          <w:szCs w:val="20"/>
          <w:color w:val="auto"/>
        </w:rPr>
      </w:pPr>
    </w:p>
    <w:p>
      <w:pPr>
        <w:ind w:right="1139"/>
        <w:spacing w:after="0" w:line="251" w:lineRule="auto"/>
        <w:rPr>
          <w:sz w:val="20"/>
          <w:szCs w:val="20"/>
          <w:color w:val="auto"/>
        </w:rPr>
      </w:pPr>
      <w:r>
        <w:rPr>
          <w:rFonts w:ascii="Arial" w:cs="Arial" w:eastAsia="Arial" w:hAnsi="Arial"/>
          <w:sz w:val="22"/>
          <w:szCs w:val="22"/>
          <w:color w:val="auto"/>
        </w:rPr>
        <w:t>The following table summarizes information about non-vested stock options outstanding as of December 31, 2011: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4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Non-vested Shares</w:t>
            </w:r>
          </w:p>
        </w:tc>
        <w:tc>
          <w:tcPr>
            <w:tcW w:w="1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2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A0C4DA"/>
          </w:tcPr>
          <w:p>
            <w:pPr>
              <w:spacing w:after="0"/>
              <w:rPr>
                <w:sz w:val="20"/>
                <w:szCs w:val="20"/>
                <w:color w:val="auto"/>
              </w:rPr>
            </w:pPr>
            <w:r>
              <w:rPr>
                <w:rFonts w:ascii="Arial" w:cs="Arial" w:eastAsia="Arial" w:hAnsi="Arial"/>
                <w:sz w:val="16"/>
                <w:szCs w:val="16"/>
                <w:color w:val="auto"/>
                <w:w w:val="99"/>
              </w:rPr>
              <w:t>Non-vested at December 31, 2010</w:t>
            </w:r>
          </w:p>
        </w:tc>
        <w:tc>
          <w:tcPr>
            <w:tcW w:w="1380" w:type="dxa"/>
            <w:vAlign w:val="bottom"/>
            <w:gridSpan w:val="2"/>
            <w:shd w:val="clear" w:color="auto" w:fill="A0C4DA"/>
          </w:tcPr>
          <w:p>
            <w:pPr>
              <w:jc w:val="right"/>
              <w:ind w:right="283"/>
              <w:spacing w:after="0"/>
              <w:rPr>
                <w:sz w:val="20"/>
                <w:szCs w:val="20"/>
                <w:color w:val="auto"/>
              </w:rPr>
            </w:pPr>
            <w:r>
              <w:rPr>
                <w:rFonts w:ascii="Arial" w:cs="Arial" w:eastAsia="Arial" w:hAnsi="Arial"/>
                <w:sz w:val="16"/>
                <w:szCs w:val="16"/>
                <w:color w:val="auto"/>
              </w:rPr>
              <w:t>252,091</w:t>
            </w:r>
          </w:p>
        </w:tc>
        <w:tc>
          <w:tcPr>
            <w:tcW w:w="500" w:type="dxa"/>
            <w:vAlign w:val="bottom"/>
            <w:gridSpan w:val="2"/>
            <w:shd w:val="clear" w:color="auto" w:fill="A0C4DA"/>
          </w:tcPr>
          <w:p>
            <w:pPr>
              <w:jc w:val="right"/>
              <w:ind w:right="25"/>
              <w:spacing w:after="0"/>
              <w:rPr>
                <w:sz w:val="20"/>
                <w:szCs w:val="20"/>
                <w:color w:val="auto"/>
              </w:rPr>
            </w:pPr>
            <w:r>
              <w:rPr>
                <w:rFonts w:ascii="Arial" w:cs="Arial" w:eastAsia="Arial" w:hAnsi="Arial"/>
                <w:sz w:val="16"/>
                <w:szCs w:val="16"/>
                <w:color w:val="auto"/>
              </w:rPr>
              <w:t>$</w:t>
            </w:r>
          </w:p>
        </w:tc>
        <w:tc>
          <w:tcPr>
            <w:tcW w:w="820" w:type="dxa"/>
            <w:vAlign w:val="bottom"/>
            <w:shd w:val="clear" w:color="auto" w:fill="A0C4DA"/>
          </w:tcPr>
          <w:p>
            <w:pPr>
              <w:jc w:val="right"/>
              <w:ind w:right="2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80" w:type="dxa"/>
            <w:vAlign w:val="bottom"/>
            <w:gridSpan w:val="2"/>
          </w:tcPr>
          <w:p>
            <w:pPr>
              <w:jc w:val="right"/>
              <w:ind w:right="283"/>
              <w:spacing w:after="0"/>
              <w:rPr>
                <w:sz w:val="20"/>
                <w:szCs w:val="20"/>
                <w:color w:val="auto"/>
              </w:rPr>
            </w:pPr>
            <w:r>
              <w:rPr>
                <w:rFonts w:ascii="Arial" w:cs="Arial" w:eastAsia="Arial" w:hAnsi="Arial"/>
                <w:sz w:val="16"/>
                <w:szCs w:val="16"/>
                <w:color w:val="auto"/>
              </w:rPr>
              <w:t>156,611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6"/>
        </w:trPr>
        <w:tc>
          <w:tcPr>
            <w:tcW w:w="2460" w:type="dxa"/>
            <w:vAlign w:val="bottom"/>
            <w:shd w:val="clear" w:color="auto" w:fill="A0C4DA"/>
          </w:tcPr>
          <w:p>
            <w:pPr>
              <w:ind w:left="180"/>
              <w:spacing w:after="0"/>
              <w:rPr>
                <w:sz w:val="20"/>
                <w:szCs w:val="20"/>
                <w:color w:val="auto"/>
              </w:rPr>
            </w:pPr>
            <w:r>
              <w:rPr>
                <w:rFonts w:ascii="Arial" w:cs="Arial" w:eastAsia="Arial" w:hAnsi="Arial"/>
                <w:sz w:val="16"/>
                <w:szCs w:val="16"/>
                <w:color w:val="auto"/>
              </w:rPr>
              <w:t>Vested</w:t>
            </w:r>
          </w:p>
        </w:tc>
        <w:tc>
          <w:tcPr>
            <w:tcW w:w="1380" w:type="dxa"/>
            <w:vAlign w:val="bottom"/>
            <w:gridSpan w:val="2"/>
            <w:shd w:val="clear" w:color="auto" w:fill="A0C4DA"/>
          </w:tcPr>
          <w:p>
            <w:pPr>
              <w:jc w:val="right"/>
              <w:ind w:right="243"/>
              <w:spacing w:after="0"/>
              <w:rPr>
                <w:sz w:val="20"/>
                <w:szCs w:val="20"/>
                <w:color w:val="auto"/>
              </w:rPr>
            </w:pPr>
            <w:r>
              <w:rPr>
                <w:rFonts w:ascii="Arial" w:cs="Arial" w:eastAsia="Arial" w:hAnsi="Arial"/>
                <w:sz w:val="16"/>
                <w:szCs w:val="16"/>
                <w:color w:val="auto"/>
              </w:rPr>
              <w:t>(128,896)</w:t>
            </w:r>
          </w:p>
        </w:tc>
        <w:tc>
          <w:tcPr>
            <w:tcW w:w="200" w:type="dxa"/>
            <w:vAlign w:val="bottom"/>
            <w:shd w:val="clear" w:color="auto" w:fill="A0C4DA"/>
          </w:tcPr>
          <w:p>
            <w:pPr>
              <w:spacing w:after="0"/>
              <w:rPr>
                <w:sz w:val="18"/>
                <w:szCs w:val="18"/>
                <w:color w:val="auto"/>
              </w:rPr>
            </w:pPr>
          </w:p>
        </w:tc>
        <w:tc>
          <w:tcPr>
            <w:tcW w:w="300" w:type="dxa"/>
            <w:vAlign w:val="bottom"/>
            <w:shd w:val="clear" w:color="auto" w:fill="A0C4DA"/>
          </w:tcPr>
          <w:p>
            <w:pPr>
              <w:spacing w:after="0"/>
              <w:rPr>
                <w:sz w:val="18"/>
                <w:szCs w:val="18"/>
                <w:color w:val="auto"/>
              </w:rPr>
            </w:pPr>
          </w:p>
        </w:tc>
        <w:tc>
          <w:tcPr>
            <w:tcW w:w="820" w:type="dxa"/>
            <w:vAlign w:val="bottom"/>
            <w:shd w:val="clear" w:color="auto" w:fill="A0C4DA"/>
          </w:tcPr>
          <w:p>
            <w:pPr>
              <w:jc w:val="right"/>
              <w:ind w:right="2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6"/>
                <w:szCs w:val="16"/>
                <w:color w:val="auto"/>
              </w:rPr>
              <w:t>Forfeited prior to vesting</w:t>
            </w:r>
          </w:p>
        </w:tc>
        <w:tc>
          <w:tcPr>
            <w:tcW w:w="1380" w:type="dxa"/>
            <w:vAlign w:val="bottom"/>
            <w:gridSpan w:val="2"/>
          </w:tcPr>
          <w:p>
            <w:pPr>
              <w:jc w:val="right"/>
              <w:ind w:right="243"/>
              <w:spacing w:after="0"/>
              <w:rPr>
                <w:sz w:val="20"/>
                <w:szCs w:val="20"/>
                <w:color w:val="auto"/>
              </w:rPr>
            </w:pPr>
            <w:r>
              <w:rPr>
                <w:rFonts w:ascii="Arial" w:cs="Arial" w:eastAsia="Arial" w:hAnsi="Arial"/>
                <w:sz w:val="16"/>
                <w:szCs w:val="16"/>
                <w:color w:val="auto"/>
              </w:rPr>
              <w:t>(40,990)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9"/>
        </w:trPr>
        <w:tc>
          <w:tcPr>
            <w:tcW w:w="2460" w:type="dxa"/>
            <w:vAlign w:val="bottom"/>
            <w:tcBorders>
              <w:top w:val="single" w:sz="8" w:color="A0C4DA"/>
              <w:bottom w:val="single" w:sz="8" w:color="A0C4DA"/>
            </w:tcBorders>
            <w:shd w:val="clear" w:color="auto" w:fill="A0C4DA"/>
          </w:tcPr>
          <w:p>
            <w:pPr>
              <w:spacing w:after="0" w:line="169" w:lineRule="exact"/>
              <w:rPr>
                <w:sz w:val="20"/>
                <w:szCs w:val="20"/>
                <w:color w:val="auto"/>
              </w:rPr>
            </w:pPr>
            <w:r>
              <w:rPr>
                <w:rFonts w:ascii="Arial" w:cs="Arial" w:eastAsia="Arial" w:hAnsi="Arial"/>
                <w:sz w:val="16"/>
                <w:szCs w:val="16"/>
                <w:color w:val="auto"/>
                <w:w w:val="99"/>
              </w:rPr>
              <w:t>Non-vested at December 31, 2011</w:t>
            </w:r>
          </w:p>
        </w:tc>
        <w:tc>
          <w:tcPr>
            <w:tcW w:w="180" w:type="dxa"/>
            <w:vAlign w:val="bottom"/>
            <w:tcBorders>
              <w:top w:val="single" w:sz="8" w:color="A0C4DA"/>
              <w:bottom w:val="single" w:sz="8" w:color="A0C4DA"/>
            </w:tcBorders>
            <w:shd w:val="clear" w:color="auto" w:fill="A0C4DA"/>
          </w:tcPr>
          <w:p>
            <w:pPr>
              <w:spacing w:after="0"/>
              <w:rPr>
                <w:sz w:val="18"/>
                <w:szCs w:val="18"/>
                <w:color w:val="auto"/>
              </w:rPr>
            </w:pPr>
          </w:p>
        </w:tc>
        <w:tc>
          <w:tcPr>
            <w:tcW w:w="1200" w:type="dxa"/>
            <w:vAlign w:val="bottom"/>
            <w:tcBorders>
              <w:top w:val="single" w:sz="8" w:color="auto"/>
              <w:bottom w:val="single" w:sz="8" w:color="auto"/>
            </w:tcBorders>
            <w:shd w:val="clear" w:color="auto" w:fill="A0C4DA"/>
          </w:tcPr>
          <w:p>
            <w:pPr>
              <w:jc w:val="right"/>
              <w:ind w:right="283"/>
              <w:spacing w:after="0" w:line="169" w:lineRule="exact"/>
              <w:rPr>
                <w:sz w:val="20"/>
                <w:szCs w:val="20"/>
                <w:color w:val="auto"/>
              </w:rPr>
            </w:pPr>
            <w:r>
              <w:rPr>
                <w:rFonts w:ascii="Arial" w:cs="Arial" w:eastAsia="Arial" w:hAnsi="Arial"/>
                <w:sz w:val="16"/>
                <w:szCs w:val="16"/>
                <w:color w:val="auto"/>
              </w:rPr>
              <w:t>238,816</w:t>
            </w:r>
          </w:p>
        </w:tc>
        <w:tc>
          <w:tcPr>
            <w:tcW w:w="200" w:type="dxa"/>
            <w:vAlign w:val="bottom"/>
            <w:tcBorders>
              <w:top w:val="single" w:sz="8" w:color="A0C4DA"/>
              <w:bottom w:val="single" w:sz="8" w:color="A0C4DA"/>
            </w:tcBorders>
            <w:shd w:val="clear" w:color="auto" w:fill="A0C4DA"/>
          </w:tcPr>
          <w:p>
            <w:pPr>
              <w:spacing w:after="0"/>
              <w:rPr>
                <w:sz w:val="18"/>
                <w:szCs w:val="18"/>
                <w:color w:val="auto"/>
              </w:rPr>
            </w:pPr>
          </w:p>
        </w:tc>
        <w:tc>
          <w:tcPr>
            <w:tcW w:w="300" w:type="dxa"/>
            <w:vAlign w:val="bottom"/>
            <w:tcBorders>
              <w:top w:val="single" w:sz="8" w:color="auto"/>
              <w:bottom w:val="single" w:sz="8" w:color="auto"/>
            </w:tcBorders>
            <w:shd w:val="clear" w:color="auto" w:fill="A0C4DA"/>
          </w:tcPr>
          <w:p>
            <w:pPr>
              <w:jc w:val="right"/>
              <w:ind w:right="25"/>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A0C4DA"/>
          </w:tcPr>
          <w:p>
            <w:pPr>
              <w:jc w:val="right"/>
              <w:ind w:right="240"/>
              <w:spacing w:after="0" w:line="169" w:lineRule="exact"/>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179"/>
        <w:spacing w:after="0"/>
        <w:rPr>
          <w:sz w:val="20"/>
          <w:szCs w:val="20"/>
          <w:color w:val="auto"/>
        </w:rPr>
      </w:pPr>
      <w:r>
        <w:rPr>
          <w:rFonts w:ascii="Arial" w:cs="Arial" w:eastAsia="Arial" w:hAnsi="Arial"/>
          <w:sz w:val="22"/>
          <w:szCs w:val="22"/>
          <w:color w:val="auto"/>
        </w:rPr>
        <w:t>As of December 31, 2011, the total compensation cost related to stock options not yet recognized and before the effect of any forfeitures was $511, which is expected to be recognized over approximately the next 3 years on a straight-line basis.</w:t>
      </w:r>
    </w:p>
    <w:p>
      <w:pPr>
        <w:spacing w:after="0" w:line="213" w:lineRule="exact"/>
        <w:rPr>
          <w:sz w:val="20"/>
          <w:szCs w:val="20"/>
          <w:color w:val="auto"/>
        </w:rPr>
      </w:pPr>
    </w:p>
    <w:p>
      <w:pPr>
        <w:ind w:right="1139"/>
        <w:spacing w:after="0" w:line="251" w:lineRule="auto"/>
        <w:rPr>
          <w:sz w:val="20"/>
          <w:szCs w:val="20"/>
          <w:color w:val="auto"/>
        </w:rPr>
      </w:pPr>
      <w:r>
        <w:rPr>
          <w:rFonts w:ascii="Arial" w:cs="Arial" w:eastAsia="Arial" w:hAnsi="Arial"/>
          <w:sz w:val="22"/>
          <w:szCs w:val="22"/>
          <w:color w:val="auto"/>
        </w:rPr>
        <w:t>The weighted-average estimated grant date fair value of the stock options granted during the years ended December 31, 2011, and 2010 was $2.85 and $1.37 per share,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Significant Customers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Sales to significant customers that represented more than 10 percent of total revenues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200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1740" w:type="dxa"/>
            <w:vAlign w:val="bottom"/>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7"/>
                <w:szCs w:val="17"/>
                <w:color w:val="auto"/>
              </w:rPr>
            </w:pPr>
          </w:p>
        </w:tc>
      </w:tr>
      <w:tr>
        <w:trPr>
          <w:trHeight w:val="223"/>
        </w:trPr>
        <w:tc>
          <w:tcPr>
            <w:tcW w:w="1740" w:type="dxa"/>
            <w:vAlign w:val="bottom"/>
            <w:shd w:val="clear" w:color="auto" w:fill="A0C4DA"/>
          </w:tcPr>
          <w:p>
            <w:pPr>
              <w:spacing w:after="0"/>
              <w:rPr>
                <w:sz w:val="20"/>
                <w:szCs w:val="20"/>
                <w:color w:val="auto"/>
              </w:rPr>
            </w:pPr>
            <w:r>
              <w:rPr>
                <w:rFonts w:ascii="Arial" w:cs="Arial" w:eastAsia="Arial" w:hAnsi="Arial"/>
                <w:sz w:val="18"/>
                <w:szCs w:val="18"/>
                <w:color w:val="auto"/>
              </w:rPr>
              <w:t>Customer A</w:t>
            </w:r>
          </w:p>
        </w:tc>
        <w:tc>
          <w:tcPr>
            <w:tcW w:w="1180" w:type="dxa"/>
            <w:vAlign w:val="bottom"/>
            <w:shd w:val="clear" w:color="auto" w:fill="A0C4DA"/>
          </w:tcPr>
          <w:p>
            <w:pPr>
              <w:jc w:val="right"/>
              <w:ind w:right="96"/>
              <w:spacing w:after="0"/>
              <w:rPr>
                <w:sz w:val="20"/>
                <w:szCs w:val="20"/>
                <w:color w:val="auto"/>
              </w:rPr>
            </w:pPr>
            <w:r>
              <w:rPr>
                <w:rFonts w:ascii="Arial" w:cs="Arial" w:eastAsia="Arial" w:hAnsi="Arial"/>
                <w:sz w:val="18"/>
                <w:szCs w:val="18"/>
                <w:color w:val="auto"/>
              </w:rPr>
              <w:t>19.2%</w:t>
            </w:r>
          </w:p>
        </w:tc>
        <w:tc>
          <w:tcPr>
            <w:tcW w:w="800" w:type="dxa"/>
            <w:vAlign w:val="bottom"/>
            <w:shd w:val="clear" w:color="auto" w:fill="A0C4DA"/>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Customer B</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30"/>
        </w:trPr>
        <w:tc>
          <w:tcPr>
            <w:tcW w:w="174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Customer C</w:t>
            </w:r>
          </w:p>
        </w:tc>
        <w:tc>
          <w:tcPr>
            <w:tcW w:w="1180" w:type="dxa"/>
            <w:vAlign w:val="bottom"/>
            <w:tcBorders>
              <w:bottom w:val="single" w:sz="8" w:color="auto"/>
            </w:tcBorders>
            <w:shd w:val="clear" w:color="auto" w:fill="A0C4DA"/>
          </w:tcPr>
          <w:p>
            <w:pPr>
              <w:jc w:val="right"/>
              <w:ind w:right="96"/>
              <w:spacing w:after="0"/>
              <w:rPr>
                <w:sz w:val="20"/>
                <w:szCs w:val="20"/>
                <w:color w:val="auto"/>
              </w:rPr>
            </w:pPr>
            <w:r>
              <w:rPr>
                <w:rFonts w:ascii="Arial" w:cs="Arial" w:eastAsia="Arial" w:hAnsi="Arial"/>
                <w:sz w:val="18"/>
                <w:szCs w:val="18"/>
                <w:color w:val="auto"/>
              </w:rPr>
              <w:t>10.9%</w:t>
            </w:r>
          </w:p>
        </w:tc>
        <w:tc>
          <w:tcPr>
            <w:tcW w:w="80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0"/>
        </w:trPr>
        <w:tc>
          <w:tcPr>
            <w:tcW w:w="1740" w:type="dxa"/>
            <w:vAlign w:val="bottom"/>
          </w:tcPr>
          <w:p>
            <w:pPr>
              <w:ind w:left="18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30.1%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auto"/>
            </w:tcBorders>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Sales didn't exceed 10% of the revenue.</w:t>
      </w:r>
    </w:p>
    <w:p>
      <w:pPr>
        <w:spacing w:after="0" w:line="233" w:lineRule="exact"/>
        <w:rPr>
          <w:sz w:val="20"/>
          <w:szCs w:val="20"/>
          <w:color w:val="auto"/>
        </w:rPr>
      </w:pPr>
    </w:p>
    <w:p>
      <w:pPr>
        <w:ind w:right="1739"/>
        <w:spacing w:after="0" w:line="251" w:lineRule="auto"/>
        <w:rPr>
          <w:sz w:val="20"/>
          <w:szCs w:val="20"/>
          <w:color w:val="auto"/>
        </w:rPr>
      </w:pPr>
      <w:r>
        <w:rPr>
          <w:rFonts w:ascii="Arial" w:cs="Arial" w:eastAsia="Arial" w:hAnsi="Arial"/>
          <w:sz w:val="22"/>
          <w:szCs w:val="22"/>
          <w:color w:val="auto"/>
        </w:rPr>
        <w:t>The following table summarizes the percentage of total gross accounts receivable from significant customers.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218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2820" w:type="dxa"/>
            <w:vAlign w:val="bottom"/>
            <w:gridSpan w:val="2"/>
          </w:tcPr>
          <w:p>
            <w:pPr>
              <w:ind w:left="2500"/>
              <w:spacing w:after="0"/>
              <w:rPr>
                <w:sz w:val="20"/>
                <w:szCs w:val="20"/>
                <w:color w:val="auto"/>
              </w:rPr>
            </w:pPr>
            <w:r>
              <w:rPr>
                <w:rFonts w:ascii="Arial" w:cs="Arial" w:eastAsia="Arial" w:hAnsi="Arial"/>
                <w:sz w:val="14"/>
                <w:szCs w:val="14"/>
                <w:b w:val="1"/>
                <w:bCs w:val="1"/>
                <w:color w:val="auto"/>
                <w:w w:val="96"/>
              </w:rPr>
              <w:t>2011</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980" w:type="dxa"/>
            <w:vAlign w:val="bottom"/>
            <w:shd w:val="clear" w:color="auto" w:fill="A0C4DA"/>
          </w:tcPr>
          <w:p>
            <w:pPr>
              <w:spacing w:after="0"/>
              <w:rPr>
                <w:sz w:val="20"/>
                <w:szCs w:val="20"/>
                <w:color w:val="auto"/>
              </w:rPr>
            </w:pPr>
            <w:r>
              <w:rPr>
                <w:rFonts w:ascii="Arial" w:cs="Arial" w:eastAsia="Arial" w:hAnsi="Arial"/>
                <w:sz w:val="18"/>
                <w:szCs w:val="18"/>
                <w:color w:val="auto"/>
              </w:rPr>
              <w:t>Customer A</w:t>
            </w:r>
          </w:p>
        </w:tc>
        <w:tc>
          <w:tcPr>
            <w:tcW w:w="840" w:type="dxa"/>
            <w:vAlign w:val="bottom"/>
            <w:tcBorders>
              <w:top w:val="single" w:sz="8" w:color="auto"/>
            </w:tcBorders>
            <w:shd w:val="clear" w:color="auto" w:fill="A0C4DA"/>
          </w:tcPr>
          <w:p>
            <w:pPr>
              <w:spacing w:after="0"/>
              <w:rPr>
                <w:sz w:val="19"/>
                <w:szCs w:val="19"/>
                <w:color w:val="auto"/>
              </w:rPr>
            </w:pPr>
          </w:p>
        </w:tc>
        <w:tc>
          <w:tcPr>
            <w:tcW w:w="1340" w:type="dxa"/>
            <w:vAlign w:val="bottom"/>
            <w:tcBorders>
              <w:top w:val="single" w:sz="8" w:color="auto"/>
            </w:tcBorders>
            <w:shd w:val="clear" w:color="auto" w:fill="A0C4DA"/>
          </w:tcPr>
          <w:p>
            <w:pPr>
              <w:jc w:val="right"/>
              <w:ind w:right="754"/>
              <w:spacing w:after="0"/>
              <w:rPr>
                <w:sz w:val="20"/>
                <w:szCs w:val="20"/>
                <w:color w:val="auto"/>
              </w:rPr>
            </w:pPr>
            <w:r>
              <w:rPr>
                <w:rFonts w:ascii="Arial" w:cs="Arial" w:eastAsia="Arial" w:hAnsi="Arial"/>
                <w:sz w:val="18"/>
                <w:szCs w:val="18"/>
                <w:color w:val="auto"/>
                <w:w w:val="93"/>
              </w:rPr>
              <w:t>25.0%</w:t>
            </w:r>
          </w:p>
        </w:tc>
        <w:tc>
          <w:tcPr>
            <w:tcW w:w="500" w:type="dxa"/>
            <w:vAlign w:val="bottom"/>
            <w:tcBorders>
              <w:top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w w:val="93"/>
              </w:rPr>
              <w:t>22.9%</w:t>
            </w:r>
          </w:p>
        </w:tc>
        <w:tc>
          <w:tcPr>
            <w:tcW w:w="20" w:type="dxa"/>
            <w:vAlign w:val="bottom"/>
          </w:tcPr>
          <w:p>
            <w:pPr>
              <w:spacing w:after="0"/>
              <w:rPr>
                <w:sz w:val="19"/>
                <w:szCs w:val="19"/>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340" w:type="dxa"/>
            <w:vAlign w:val="bottom"/>
          </w:tcPr>
          <w:p>
            <w:pPr>
              <w:jc w:val="right"/>
              <w:ind w:right="754"/>
              <w:spacing w:after="0"/>
              <w:rPr>
                <w:sz w:val="20"/>
                <w:szCs w:val="20"/>
                <w:color w:val="auto"/>
              </w:rPr>
            </w:pPr>
            <w:r>
              <w:rPr>
                <w:rFonts w:ascii="Arial" w:cs="Arial" w:eastAsia="Arial" w:hAnsi="Arial"/>
                <w:sz w:val="18"/>
                <w:szCs w:val="18"/>
                <w:color w:val="auto"/>
              </w:rPr>
              <w:t>8.8%</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30"/>
        </w:trPr>
        <w:tc>
          <w:tcPr>
            <w:tcW w:w="198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Customer C</w:t>
            </w:r>
          </w:p>
        </w:tc>
        <w:tc>
          <w:tcPr>
            <w:tcW w:w="840" w:type="dxa"/>
            <w:vAlign w:val="bottom"/>
            <w:tcBorders>
              <w:bottom w:val="single" w:sz="8" w:color="auto"/>
            </w:tcBorders>
            <w:shd w:val="clear" w:color="auto" w:fill="A0C4DA"/>
          </w:tcPr>
          <w:p>
            <w:pPr>
              <w:spacing w:after="0"/>
              <w:rPr>
                <w:sz w:val="19"/>
                <w:szCs w:val="19"/>
                <w:color w:val="auto"/>
              </w:rPr>
            </w:pPr>
          </w:p>
        </w:tc>
        <w:tc>
          <w:tcPr>
            <w:tcW w:w="1340" w:type="dxa"/>
            <w:vAlign w:val="bottom"/>
            <w:tcBorders>
              <w:bottom w:val="single" w:sz="8" w:color="auto"/>
            </w:tcBorders>
            <w:shd w:val="clear" w:color="auto" w:fill="A0C4DA"/>
          </w:tcPr>
          <w:p>
            <w:pPr>
              <w:jc w:val="right"/>
              <w:ind w:right="754"/>
              <w:spacing w:after="0"/>
              <w:rPr>
                <w:sz w:val="20"/>
                <w:szCs w:val="20"/>
                <w:color w:val="auto"/>
              </w:rPr>
            </w:pPr>
            <w:r>
              <w:rPr>
                <w:rFonts w:ascii="Arial" w:cs="Arial" w:eastAsia="Arial" w:hAnsi="Arial"/>
                <w:sz w:val="18"/>
                <w:szCs w:val="18"/>
                <w:color w:val="auto"/>
                <w:w w:val="93"/>
              </w:rPr>
              <w:t>14.4%</w:t>
            </w:r>
          </w:p>
        </w:tc>
        <w:tc>
          <w:tcPr>
            <w:tcW w:w="500" w:type="dxa"/>
            <w:vAlign w:val="bottom"/>
            <w:tcBorders>
              <w:bottom w:val="single" w:sz="8" w:color="auto"/>
            </w:tcBorders>
            <w:shd w:val="clear" w:color="auto" w:fill="A0C4DA"/>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ind w:right="754"/>
              <w:spacing w:after="0"/>
              <w:rPr>
                <w:sz w:val="20"/>
                <w:szCs w:val="20"/>
                <w:color w:val="auto"/>
              </w:rPr>
            </w:pPr>
            <w:r>
              <w:rPr>
                <w:rFonts w:ascii="Arial" w:cs="Arial" w:eastAsia="Arial" w:hAnsi="Arial"/>
                <w:sz w:val="18"/>
                <w:szCs w:val="18"/>
                <w:color w:val="auto"/>
                <w:w w:val="93"/>
              </w:rPr>
              <w:t>48.2%</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40.2%</w:t>
            </w:r>
          </w:p>
        </w:tc>
        <w:tc>
          <w:tcPr>
            <w:tcW w:w="20" w:type="dxa"/>
            <w:vAlign w:val="bottom"/>
          </w:tcPr>
          <w:p>
            <w:pPr>
              <w:spacing w:after="0"/>
              <w:rPr>
                <w:sz w:val="18"/>
                <w:szCs w:val="18"/>
                <w:color w:val="auto"/>
              </w:rPr>
            </w:pPr>
          </w:p>
        </w:tc>
      </w:tr>
      <w:tr>
        <w:trPr>
          <w:trHeight w:val="20"/>
        </w:trPr>
        <w:tc>
          <w:tcPr>
            <w:tcW w:w="1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359"/>
        <w:spacing w:after="0" w:line="238" w:lineRule="auto"/>
        <w:rPr>
          <w:sz w:val="20"/>
          <w:szCs w:val="20"/>
          <w:color w:val="auto"/>
        </w:rPr>
      </w:pPr>
      <w:r>
        <w:rPr>
          <w:rFonts w:ascii="Arial" w:cs="Arial" w:eastAsia="Arial" w:hAnsi="Arial"/>
          <w:sz w:val="22"/>
          <w:szCs w:val="22"/>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86" w:name="page87"/>
    <w:bookmarkEnd w:id="86"/>
    <w:p>
      <w:pPr>
        <w:jc w:val="center"/>
        <w:ind w:left="320" w:right="164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Income (loss) before income taxes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1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r>
      <w:tr>
        <w:trPr>
          <w:trHeight w:val="223"/>
        </w:trPr>
        <w:tc>
          <w:tcPr>
            <w:tcW w:w="1660" w:type="dxa"/>
            <w:vAlign w:val="bottom"/>
            <w:shd w:val="clear" w:color="auto" w:fill="A0C4DA"/>
          </w:tcPr>
          <w:p>
            <w:pPr>
              <w:spacing w:after="0"/>
              <w:rPr>
                <w:sz w:val="20"/>
                <w:szCs w:val="20"/>
                <w:color w:val="auto"/>
              </w:rPr>
            </w:pPr>
            <w:r>
              <w:rPr>
                <w:rFonts w:ascii="Arial" w:cs="Arial" w:eastAsia="Arial" w:hAnsi="Arial"/>
                <w:sz w:val="18"/>
                <w:szCs w:val="18"/>
                <w:color w:val="auto"/>
              </w:rPr>
              <w:t>U.S.</w:t>
            </w:r>
          </w:p>
        </w:tc>
        <w:tc>
          <w:tcPr>
            <w:tcW w:w="38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A0C4DA"/>
          </w:tcPr>
          <w:p>
            <w:pPr>
              <w:jc w:val="right"/>
              <w:ind w:right="137"/>
              <w:spacing w:after="0"/>
              <w:rPr>
                <w:sz w:val="20"/>
                <w:szCs w:val="20"/>
                <w:color w:val="auto"/>
              </w:rPr>
            </w:pPr>
            <w:r>
              <w:rPr>
                <w:rFonts w:ascii="Arial" w:cs="Arial" w:eastAsia="Arial" w:hAnsi="Arial"/>
                <w:sz w:val="18"/>
                <w:szCs w:val="18"/>
                <w:color w:val="auto"/>
              </w:rPr>
              <w:t>10,318</w:t>
            </w:r>
          </w:p>
        </w:tc>
        <w:tc>
          <w:tcPr>
            <w:tcW w:w="480" w:type="dxa"/>
            <w:vAlign w:val="bottom"/>
            <w:shd w:val="clear" w:color="auto" w:fill="A0C4DA"/>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A0C4DA"/>
          </w:tcPr>
          <w:p>
            <w:pPr>
              <w:jc w:val="right"/>
              <w:ind w:right="254"/>
              <w:spacing w:after="0"/>
              <w:rPr>
                <w:sz w:val="20"/>
                <w:szCs w:val="20"/>
                <w:color w:val="auto"/>
              </w:rPr>
            </w:pPr>
            <w:r>
              <w:rPr>
                <w:rFonts w:ascii="Arial" w:cs="Arial" w:eastAsia="Arial" w:hAnsi="Arial"/>
                <w:sz w:val="18"/>
                <w:szCs w:val="18"/>
                <w:color w:val="auto"/>
              </w:rPr>
              <w:t>1,381</w:t>
            </w:r>
          </w:p>
        </w:tc>
      </w:tr>
      <w:tr>
        <w:trPr>
          <w:trHeight w:val="230"/>
        </w:trPr>
        <w:tc>
          <w:tcPr>
            <w:tcW w:w="1660" w:type="dxa"/>
            <w:vAlign w:val="bottom"/>
            <w:tcBorders>
              <w:bottom w:val="single" w:sz="8" w:color="A0C4DA"/>
            </w:tcBorders>
          </w:tcPr>
          <w:p>
            <w:pPr>
              <w:spacing w:after="0"/>
              <w:rPr>
                <w:sz w:val="20"/>
                <w:szCs w:val="20"/>
                <w:color w:val="auto"/>
              </w:rPr>
            </w:pPr>
            <w:r>
              <w:rPr>
                <w:rFonts w:ascii="Arial" w:cs="Arial" w:eastAsia="Arial" w:hAnsi="Arial"/>
                <w:sz w:val="18"/>
                <w:szCs w:val="18"/>
                <w:color w:val="auto"/>
              </w:rPr>
              <w:t>Non U.S.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278</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312</w:t>
            </w:r>
          </w:p>
        </w:tc>
      </w:tr>
      <w:tr>
        <w:trPr>
          <w:trHeight w:val="223"/>
        </w:trPr>
        <w:tc>
          <w:tcPr>
            <w:tcW w:w="1660" w:type="dxa"/>
            <w:vAlign w:val="bottom"/>
            <w:tcBorders>
              <w:bottom w:val="single" w:sz="8" w:color="A0C4DA"/>
            </w:tcBorders>
            <w:shd w:val="clear" w:color="auto" w:fill="A0C4DA"/>
          </w:tcPr>
          <w:p>
            <w:pPr>
              <w:spacing w:after="0" w:line="182"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A0C4DA"/>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A0C4DA"/>
          </w:tcPr>
          <w:p>
            <w:pPr>
              <w:jc w:val="right"/>
              <w:ind w:right="137"/>
              <w:spacing w:after="0" w:line="182" w:lineRule="exact"/>
              <w:rPr>
                <w:sz w:val="20"/>
                <w:szCs w:val="20"/>
                <w:color w:val="auto"/>
              </w:rPr>
            </w:pPr>
            <w:r>
              <w:rPr>
                <w:rFonts w:ascii="Arial" w:cs="Arial" w:eastAsia="Arial" w:hAnsi="Arial"/>
                <w:sz w:val="18"/>
                <w:szCs w:val="18"/>
                <w:color w:val="auto"/>
              </w:rPr>
              <w:t>10,596</w:t>
            </w:r>
          </w:p>
        </w:tc>
        <w:tc>
          <w:tcPr>
            <w:tcW w:w="480" w:type="dxa"/>
            <w:vAlign w:val="bottom"/>
            <w:tcBorders>
              <w:bottom w:val="single" w:sz="8" w:color="auto"/>
            </w:tcBorders>
            <w:shd w:val="clear" w:color="auto" w:fill="A0C4DA"/>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A0C4DA"/>
          </w:tcPr>
          <w:p>
            <w:pPr>
              <w:jc w:val="right"/>
              <w:ind w:right="254"/>
              <w:spacing w:after="0" w:line="182" w:lineRule="exact"/>
              <w:rPr>
                <w:sz w:val="20"/>
                <w:szCs w:val="20"/>
                <w:color w:val="auto"/>
              </w:rPr>
            </w:pPr>
            <w:r>
              <w:rPr>
                <w:rFonts w:ascii="Arial" w:cs="Arial" w:eastAsia="Arial" w:hAnsi="Arial"/>
                <w:sz w:val="18"/>
                <w:szCs w:val="18"/>
                <w:color w:val="auto"/>
              </w:rPr>
              <w:t>1,693</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The benefit (provision) for income taxes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A0C4DA"/>
          </w:tcPr>
          <w:p>
            <w:pPr>
              <w:spacing w:after="0"/>
              <w:rPr>
                <w:sz w:val="20"/>
                <w:szCs w:val="20"/>
                <w:color w:val="auto"/>
              </w:rPr>
            </w:pPr>
            <w:r>
              <w:rPr>
                <w:rFonts w:ascii="Arial" w:cs="Arial" w:eastAsia="Arial" w:hAnsi="Arial"/>
                <w:sz w:val="18"/>
                <w:szCs w:val="18"/>
                <w:color w:val="auto"/>
              </w:rPr>
              <w:t>Current:</w:t>
            </w:r>
          </w:p>
        </w:tc>
        <w:tc>
          <w:tcPr>
            <w:tcW w:w="400" w:type="dxa"/>
            <w:vAlign w:val="bottom"/>
            <w:shd w:val="clear" w:color="auto" w:fill="A0C4DA"/>
          </w:tcPr>
          <w:p>
            <w:pPr>
              <w:spacing w:after="0"/>
              <w:rPr>
                <w:sz w:val="19"/>
                <w:szCs w:val="19"/>
                <w:color w:val="auto"/>
              </w:rPr>
            </w:pPr>
          </w:p>
        </w:tc>
        <w:tc>
          <w:tcPr>
            <w:tcW w:w="960" w:type="dxa"/>
            <w:vAlign w:val="bottom"/>
            <w:shd w:val="clear" w:color="auto" w:fill="A0C4DA"/>
          </w:tcPr>
          <w:p>
            <w:pPr>
              <w:spacing w:after="0"/>
              <w:rPr>
                <w:sz w:val="19"/>
                <w:szCs w:val="19"/>
                <w:color w:val="auto"/>
              </w:rPr>
            </w:pPr>
          </w:p>
        </w:tc>
        <w:tc>
          <w:tcPr>
            <w:tcW w:w="520" w:type="dxa"/>
            <w:vAlign w:val="bottom"/>
            <w:shd w:val="clear" w:color="auto" w:fill="A0C4DA"/>
          </w:tcPr>
          <w:p>
            <w:pPr>
              <w:spacing w:after="0"/>
              <w:rPr>
                <w:sz w:val="19"/>
                <w:szCs w:val="19"/>
                <w:color w:val="auto"/>
              </w:rPr>
            </w:pPr>
          </w:p>
        </w:tc>
        <w:tc>
          <w:tcPr>
            <w:tcW w:w="86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U.S. Federal</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(2,106)</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A0C4DA"/>
          </w:tcPr>
          <w:p>
            <w:pPr>
              <w:spacing w:after="0"/>
              <w:rPr>
                <w:sz w:val="20"/>
                <w:szCs w:val="20"/>
                <w:color w:val="auto"/>
              </w:rPr>
            </w:pPr>
            <w:r>
              <w:rPr>
                <w:rFonts w:ascii="Arial" w:cs="Arial" w:eastAsia="Arial" w:hAnsi="Arial"/>
                <w:sz w:val="18"/>
                <w:szCs w:val="18"/>
                <w:color w:val="auto"/>
              </w:rPr>
              <w:t>U.S. State</w:t>
            </w:r>
          </w:p>
        </w:tc>
        <w:tc>
          <w:tcPr>
            <w:tcW w:w="400" w:type="dxa"/>
            <w:vAlign w:val="bottom"/>
            <w:shd w:val="clear" w:color="auto" w:fill="A0C4DA"/>
          </w:tcPr>
          <w:p>
            <w:pPr>
              <w:spacing w:after="0"/>
              <w:rPr>
                <w:sz w:val="19"/>
                <w:szCs w:val="19"/>
                <w:color w:val="auto"/>
              </w:rPr>
            </w:pPr>
          </w:p>
        </w:tc>
        <w:tc>
          <w:tcPr>
            <w:tcW w:w="960" w:type="dxa"/>
            <w:vAlign w:val="bottom"/>
            <w:shd w:val="clear" w:color="auto" w:fill="A0C4DA"/>
          </w:tcPr>
          <w:p>
            <w:pPr>
              <w:jc w:val="right"/>
              <w:ind w:right="133"/>
              <w:spacing w:after="0"/>
              <w:rPr>
                <w:sz w:val="20"/>
                <w:szCs w:val="20"/>
                <w:color w:val="auto"/>
              </w:rPr>
            </w:pPr>
            <w:r>
              <w:rPr>
                <w:rFonts w:ascii="Arial" w:cs="Arial" w:eastAsia="Arial" w:hAnsi="Arial"/>
                <w:sz w:val="18"/>
                <w:szCs w:val="18"/>
                <w:color w:val="auto"/>
              </w:rPr>
              <w:t>(99)</w:t>
            </w:r>
          </w:p>
        </w:tc>
        <w:tc>
          <w:tcPr>
            <w:tcW w:w="520" w:type="dxa"/>
            <w:vAlign w:val="bottom"/>
            <w:shd w:val="clear" w:color="auto" w:fill="A0C4DA"/>
          </w:tcPr>
          <w:p>
            <w:pPr>
              <w:spacing w:after="0"/>
              <w:rPr>
                <w:sz w:val="19"/>
                <w:szCs w:val="19"/>
                <w:color w:val="auto"/>
              </w:rPr>
            </w:pPr>
          </w:p>
        </w:tc>
        <w:tc>
          <w:tcPr>
            <w:tcW w:w="860" w:type="dxa"/>
            <w:vAlign w:val="bottom"/>
            <w:shd w:val="clear" w:color="auto" w:fill="A0C4DA"/>
          </w:tcPr>
          <w:p>
            <w:pPr>
              <w:jc w:val="right"/>
              <w:ind w:right="2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A0C4DA"/>
            </w:tcBorders>
          </w:tcPr>
          <w:p>
            <w:pPr>
              <w:spacing w:after="0"/>
              <w:rPr>
                <w:sz w:val="20"/>
                <w:szCs w:val="20"/>
                <w:color w:val="auto"/>
              </w:rPr>
            </w:pPr>
            <w:r>
              <w:rPr>
                <w:rFonts w:ascii="Arial" w:cs="Arial" w:eastAsia="Arial" w:hAnsi="Arial"/>
                <w:sz w:val="18"/>
                <w:szCs w:val="18"/>
                <w:color w:val="auto"/>
              </w:rPr>
              <w:t>Non-U.S.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(46)</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0C4DA"/>
            </w:tcBorders>
            <w:shd w:val="clear" w:color="auto" w:fill="A0C4DA"/>
          </w:tcPr>
          <w:p>
            <w:pPr>
              <w:spacing w:after="0" w:line="182" w:lineRule="exact"/>
              <w:rPr>
                <w:sz w:val="20"/>
                <w:szCs w:val="20"/>
                <w:color w:val="auto"/>
              </w:rPr>
            </w:pPr>
            <w:r>
              <w:rPr>
                <w:rFonts w:ascii="Arial" w:cs="Arial" w:eastAsia="Arial" w:hAnsi="Arial"/>
                <w:sz w:val="18"/>
                <w:szCs w:val="18"/>
                <w:color w:val="auto"/>
              </w:rPr>
              <w:t>Total current</w:t>
            </w:r>
          </w:p>
        </w:tc>
        <w:tc>
          <w:tcPr>
            <w:tcW w:w="400" w:type="dxa"/>
            <w:vAlign w:val="bottom"/>
            <w:tcBorders>
              <w:bottom w:val="single" w:sz="8" w:color="auto"/>
            </w:tcBorders>
            <w:shd w:val="clear" w:color="auto" w:fill="A0C4DA"/>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A0C4DA"/>
          </w:tcPr>
          <w:p>
            <w:pPr>
              <w:jc w:val="right"/>
              <w:ind w:right="133"/>
              <w:spacing w:after="0" w:line="182" w:lineRule="exact"/>
              <w:rPr>
                <w:sz w:val="20"/>
                <w:szCs w:val="20"/>
                <w:color w:val="auto"/>
              </w:rPr>
            </w:pPr>
            <w:r>
              <w:rPr>
                <w:rFonts w:ascii="Arial" w:cs="Arial" w:eastAsia="Arial" w:hAnsi="Arial"/>
                <w:sz w:val="18"/>
                <w:szCs w:val="18"/>
                <w:color w:val="auto"/>
              </w:rPr>
              <w:t>(2,251)</w:t>
            </w:r>
          </w:p>
        </w:tc>
        <w:tc>
          <w:tcPr>
            <w:tcW w:w="520" w:type="dxa"/>
            <w:vAlign w:val="bottom"/>
            <w:tcBorders>
              <w:bottom w:val="single" w:sz="8" w:color="auto"/>
            </w:tcBorders>
            <w:shd w:val="clear" w:color="auto" w:fill="A0C4DA"/>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A0C4DA"/>
          </w:tcPr>
          <w:p>
            <w:pPr>
              <w:jc w:val="right"/>
              <w:ind w:right="272"/>
              <w:spacing w:after="0" w:line="18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A0C4DA"/>
          </w:tcPr>
          <w:p>
            <w:pPr>
              <w:spacing w:after="0"/>
              <w:rPr>
                <w:sz w:val="20"/>
                <w:szCs w:val="20"/>
                <w:color w:val="auto"/>
              </w:rPr>
            </w:pPr>
            <w:r>
              <w:rPr>
                <w:rFonts w:ascii="Arial" w:cs="Arial" w:eastAsia="Arial" w:hAnsi="Arial"/>
                <w:sz w:val="18"/>
                <w:szCs w:val="18"/>
                <w:color w:val="auto"/>
              </w:rPr>
              <w:t>Deferred:</w:t>
            </w:r>
          </w:p>
        </w:tc>
        <w:tc>
          <w:tcPr>
            <w:tcW w:w="400" w:type="dxa"/>
            <w:vAlign w:val="bottom"/>
            <w:shd w:val="clear" w:color="auto" w:fill="A0C4DA"/>
          </w:tcPr>
          <w:p>
            <w:pPr>
              <w:spacing w:after="0"/>
              <w:rPr>
                <w:sz w:val="19"/>
                <w:szCs w:val="19"/>
                <w:color w:val="auto"/>
              </w:rPr>
            </w:pPr>
          </w:p>
        </w:tc>
        <w:tc>
          <w:tcPr>
            <w:tcW w:w="960" w:type="dxa"/>
            <w:vAlign w:val="bottom"/>
            <w:shd w:val="clear" w:color="auto" w:fill="A0C4DA"/>
          </w:tcPr>
          <w:p>
            <w:pPr>
              <w:spacing w:after="0"/>
              <w:rPr>
                <w:sz w:val="19"/>
                <w:szCs w:val="19"/>
                <w:color w:val="auto"/>
              </w:rPr>
            </w:pPr>
          </w:p>
        </w:tc>
        <w:tc>
          <w:tcPr>
            <w:tcW w:w="520" w:type="dxa"/>
            <w:vAlign w:val="bottom"/>
            <w:shd w:val="clear" w:color="auto" w:fill="A0C4DA"/>
          </w:tcPr>
          <w:p>
            <w:pPr>
              <w:spacing w:after="0"/>
              <w:rPr>
                <w:sz w:val="19"/>
                <w:szCs w:val="19"/>
                <w:color w:val="auto"/>
              </w:rPr>
            </w:pPr>
          </w:p>
        </w:tc>
        <w:tc>
          <w:tcPr>
            <w:tcW w:w="860" w:type="dxa"/>
            <w:vAlign w:val="bottom"/>
            <w:shd w:val="clear" w:color="auto" w:fill="A0C4D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U.S. Federal</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(1,271)</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U.S. State</w:t>
            </w:r>
          </w:p>
        </w:tc>
        <w:tc>
          <w:tcPr>
            <w:tcW w:w="400" w:type="dxa"/>
            <w:vAlign w:val="bottom"/>
            <w:tcBorders>
              <w:bottom w:val="single" w:sz="8" w:color="auto"/>
            </w:tcBorders>
            <w:shd w:val="clear" w:color="auto" w:fill="A0C4DA"/>
          </w:tcPr>
          <w:p>
            <w:pPr>
              <w:spacing w:after="0"/>
              <w:rPr>
                <w:sz w:val="18"/>
                <w:szCs w:val="18"/>
                <w:color w:val="auto"/>
              </w:rPr>
            </w:pPr>
          </w:p>
        </w:tc>
        <w:tc>
          <w:tcPr>
            <w:tcW w:w="960" w:type="dxa"/>
            <w:vAlign w:val="bottom"/>
            <w:tcBorders>
              <w:bottom w:val="single" w:sz="8" w:color="auto"/>
            </w:tcBorders>
            <w:shd w:val="clear" w:color="auto" w:fill="A0C4DA"/>
          </w:tcPr>
          <w:p>
            <w:pPr>
              <w:jc w:val="right"/>
              <w:ind w:right="133"/>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shd w:val="clear" w:color="auto" w:fill="A0C4DA"/>
          </w:tcPr>
          <w:p>
            <w:pPr>
              <w:spacing w:after="0"/>
              <w:rPr>
                <w:sz w:val="18"/>
                <w:szCs w:val="18"/>
                <w:color w:val="auto"/>
              </w:rPr>
            </w:pPr>
          </w:p>
        </w:tc>
        <w:tc>
          <w:tcPr>
            <w:tcW w:w="860" w:type="dxa"/>
            <w:vAlign w:val="bottom"/>
            <w:tcBorders>
              <w:bottom w:val="single" w:sz="8" w:color="auto"/>
            </w:tcBorders>
            <w:shd w:val="clear" w:color="auto" w:fill="A0C4DA"/>
          </w:tcPr>
          <w:p>
            <w:pPr>
              <w:jc w:val="right"/>
              <w:ind w:right="27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Deferred Provision before change in valuation allowance</w:t>
            </w:r>
          </w:p>
        </w:tc>
        <w:tc>
          <w:tcPr>
            <w:tcW w:w="4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(1,294)</w:t>
            </w:r>
          </w:p>
        </w:tc>
        <w:tc>
          <w:tcPr>
            <w:tcW w:w="5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A0C4DA"/>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auto"/>
            </w:tcBorders>
            <w:shd w:val="clear" w:color="auto" w:fill="A0C4DA"/>
          </w:tcPr>
          <w:p>
            <w:pPr>
              <w:spacing w:after="0"/>
              <w:rPr>
                <w:sz w:val="19"/>
                <w:szCs w:val="19"/>
                <w:color w:val="auto"/>
              </w:rPr>
            </w:pPr>
          </w:p>
        </w:tc>
        <w:tc>
          <w:tcPr>
            <w:tcW w:w="960" w:type="dxa"/>
            <w:vAlign w:val="bottom"/>
            <w:tcBorders>
              <w:bottom w:val="single" w:sz="8" w:color="auto"/>
            </w:tcBorders>
            <w:shd w:val="clear" w:color="auto" w:fill="A0C4DA"/>
          </w:tcPr>
          <w:p>
            <w:pPr>
              <w:jc w:val="right"/>
              <w:ind w:right="133"/>
              <w:spacing w:after="0"/>
              <w:rPr>
                <w:sz w:val="20"/>
                <w:szCs w:val="20"/>
                <w:color w:val="auto"/>
              </w:rPr>
            </w:pPr>
            <w:r>
              <w:rPr>
                <w:rFonts w:ascii="Arial" w:cs="Arial" w:eastAsia="Arial" w:hAnsi="Arial"/>
                <w:sz w:val="18"/>
                <w:szCs w:val="18"/>
                <w:color w:val="auto"/>
              </w:rPr>
              <w:t>(122)</w:t>
            </w:r>
          </w:p>
        </w:tc>
        <w:tc>
          <w:tcPr>
            <w:tcW w:w="520" w:type="dxa"/>
            <w:vAlign w:val="bottom"/>
            <w:tcBorders>
              <w:bottom w:val="single" w:sz="8" w:color="auto"/>
            </w:tcBorders>
            <w:shd w:val="clear" w:color="auto" w:fill="A0C4DA"/>
          </w:tcPr>
          <w:p>
            <w:pPr>
              <w:spacing w:after="0"/>
              <w:rPr>
                <w:sz w:val="19"/>
                <w:szCs w:val="19"/>
                <w:color w:val="auto"/>
              </w:rPr>
            </w:pPr>
          </w:p>
        </w:tc>
        <w:tc>
          <w:tcPr>
            <w:tcW w:w="860" w:type="dxa"/>
            <w:vAlign w:val="bottom"/>
            <w:tcBorders>
              <w:bottom w:val="single" w:sz="8" w:color="auto"/>
            </w:tcBorders>
            <w:shd w:val="clear" w:color="auto" w:fill="A0C4DA"/>
          </w:tcPr>
          <w:p>
            <w:pPr>
              <w:jc w:val="right"/>
              <w:ind w:right="23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line="196" w:lineRule="exact"/>
              <w:rPr>
                <w:sz w:val="20"/>
                <w:szCs w:val="20"/>
                <w:color w:val="auto"/>
              </w:rPr>
            </w:pPr>
            <w:r>
              <w:rPr>
                <w:rFonts w:ascii="Arial" w:cs="Arial" w:eastAsia="Arial" w:hAnsi="Arial"/>
                <w:sz w:val="18"/>
                <w:szCs w:val="18"/>
                <w:color w:val="auto"/>
              </w:rPr>
              <w:t>Total deferred</w:t>
            </w:r>
          </w:p>
        </w:tc>
        <w:tc>
          <w:tcPr>
            <w:tcW w:w="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(1,416)</w:t>
            </w:r>
          </w:p>
        </w:tc>
        <w:tc>
          <w:tcPr>
            <w:tcW w:w="5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tcBorders>
              <w:bottom w:val="single" w:sz="8" w:color="A0C4DA"/>
            </w:tcBorders>
            <w:shd w:val="clear" w:color="auto" w:fill="A0C4DA"/>
          </w:tcPr>
          <w:p>
            <w:pPr>
              <w:spacing w:after="0" w:line="196" w:lineRule="exact"/>
              <w:rPr>
                <w:sz w:val="20"/>
                <w:szCs w:val="20"/>
                <w:color w:val="auto"/>
              </w:rPr>
            </w:pPr>
            <w:r>
              <w:rPr>
                <w:rFonts w:ascii="Arial" w:cs="Arial" w:eastAsia="Arial" w:hAnsi="Arial"/>
                <w:sz w:val="18"/>
                <w:szCs w:val="18"/>
                <w:color w:val="auto"/>
              </w:rPr>
              <w:t>(Provision) benefit for income taxes</w:t>
            </w:r>
          </w:p>
        </w:tc>
        <w:tc>
          <w:tcPr>
            <w:tcW w:w="400" w:type="dxa"/>
            <w:vAlign w:val="bottom"/>
            <w:tcBorders>
              <w:bottom w:val="single" w:sz="8" w:color="auto"/>
            </w:tcBorders>
            <w:shd w:val="clear" w:color="auto" w:fill="A0C4DA"/>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A0C4DA"/>
          </w:tcPr>
          <w:p>
            <w:pPr>
              <w:jc w:val="right"/>
              <w:ind w:right="133"/>
              <w:spacing w:after="0" w:line="196" w:lineRule="exact"/>
              <w:rPr>
                <w:sz w:val="20"/>
                <w:szCs w:val="20"/>
                <w:color w:val="auto"/>
              </w:rPr>
            </w:pPr>
            <w:r>
              <w:rPr>
                <w:rFonts w:ascii="Arial" w:cs="Arial" w:eastAsia="Arial" w:hAnsi="Arial"/>
                <w:sz w:val="18"/>
                <w:szCs w:val="18"/>
                <w:color w:val="auto"/>
              </w:rPr>
              <w:t>(3,667)</w:t>
            </w:r>
          </w:p>
        </w:tc>
        <w:tc>
          <w:tcPr>
            <w:tcW w:w="520" w:type="dxa"/>
            <w:vAlign w:val="bottom"/>
            <w:tcBorders>
              <w:bottom w:val="single" w:sz="8" w:color="auto"/>
            </w:tcBorders>
            <w:shd w:val="clear" w:color="auto" w:fill="A0C4DA"/>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A0C4DA"/>
          </w:tcPr>
          <w:p>
            <w:pPr>
              <w:jc w:val="right"/>
              <w:ind w:right="272"/>
              <w:spacing w:after="0" w:line="196"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199"/>
        <w:spacing w:after="0" w:line="328" w:lineRule="auto"/>
        <w:rPr>
          <w:sz w:val="20"/>
          <w:szCs w:val="20"/>
          <w:color w:val="auto"/>
        </w:rPr>
      </w:pPr>
      <w:r>
        <w:rPr>
          <w:rFonts w:ascii="Arial" w:cs="Arial" w:eastAsia="Arial" w:hAnsi="Arial"/>
          <w:sz w:val="19"/>
          <w:szCs w:val="19"/>
          <w:color w:val="auto"/>
        </w:rPr>
        <w:t>The following table presents the principal reasons for the difference between the actual effective income tax rate and the expected U.S. federal statutory income tax rate of 34.0 percent on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5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r>
      <w:tr>
        <w:trPr>
          <w:trHeight w:val="223"/>
        </w:trPr>
        <w:tc>
          <w:tcPr>
            <w:tcW w:w="5300" w:type="dxa"/>
            <w:vAlign w:val="bottom"/>
            <w:shd w:val="clear" w:color="auto" w:fill="A0C4DA"/>
          </w:tcPr>
          <w:p>
            <w:pPr>
              <w:spacing w:after="0"/>
              <w:rPr>
                <w:sz w:val="20"/>
                <w:szCs w:val="20"/>
                <w:color w:val="auto"/>
              </w:rPr>
            </w:pPr>
            <w:r>
              <w:rPr>
                <w:rFonts w:ascii="Arial" w:cs="Arial" w:eastAsia="Arial" w:hAnsi="Arial"/>
                <w:sz w:val="18"/>
                <w:szCs w:val="18"/>
                <w:color w:val="auto"/>
              </w:rPr>
              <w:t>U.S. federal statutory income tax rate at 34.0 percent</w:t>
            </w:r>
          </w:p>
        </w:tc>
        <w:tc>
          <w:tcPr>
            <w:tcW w:w="40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A0C4DA"/>
          </w:tcPr>
          <w:p>
            <w:pPr>
              <w:jc w:val="right"/>
              <w:ind w:right="113"/>
              <w:spacing w:after="0"/>
              <w:rPr>
                <w:sz w:val="20"/>
                <w:szCs w:val="20"/>
                <w:color w:val="auto"/>
              </w:rPr>
            </w:pPr>
            <w:r>
              <w:rPr>
                <w:rFonts w:ascii="Arial" w:cs="Arial" w:eastAsia="Arial" w:hAnsi="Arial"/>
                <w:sz w:val="18"/>
                <w:szCs w:val="18"/>
                <w:color w:val="auto"/>
              </w:rPr>
              <w:t>(3,603)</w:t>
            </w:r>
          </w:p>
        </w:tc>
        <w:tc>
          <w:tcPr>
            <w:tcW w:w="50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A0C4DA"/>
          </w:tcPr>
          <w:p>
            <w:pPr>
              <w:jc w:val="right"/>
              <w:ind w:right="232"/>
              <w:spacing w:after="0"/>
              <w:rPr>
                <w:sz w:val="20"/>
                <w:szCs w:val="20"/>
                <w:color w:val="auto"/>
              </w:rPr>
            </w:pPr>
            <w:r>
              <w:rPr>
                <w:rFonts w:ascii="Arial" w:cs="Arial" w:eastAsia="Arial" w:hAnsi="Arial"/>
                <w:sz w:val="18"/>
                <w:szCs w:val="18"/>
                <w:color w:val="auto"/>
              </w:rPr>
              <w:t>(576)</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State income tax provision, net of federal income tax effect</w:t>
            </w:r>
          </w:p>
        </w:tc>
        <w:tc>
          <w:tcPr>
            <w:tcW w:w="40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500" w:type="dxa"/>
            <w:vAlign w:val="bottom"/>
          </w:tcPr>
          <w:p>
            <w:pPr>
              <w:spacing w:after="0"/>
              <w:rPr>
                <w:sz w:val="19"/>
                <w:szCs w:val="19"/>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(44)</w:t>
            </w:r>
          </w:p>
        </w:tc>
      </w:tr>
      <w:tr>
        <w:trPr>
          <w:trHeight w:val="230"/>
        </w:trPr>
        <w:tc>
          <w:tcPr>
            <w:tcW w:w="5300" w:type="dxa"/>
            <w:vAlign w:val="bottom"/>
            <w:shd w:val="clear" w:color="auto" w:fill="A0C4DA"/>
          </w:tcPr>
          <w:p>
            <w:pPr>
              <w:spacing w:after="0"/>
              <w:rPr>
                <w:sz w:val="20"/>
                <w:szCs w:val="20"/>
                <w:color w:val="auto"/>
              </w:rPr>
            </w:pPr>
            <w:r>
              <w:rPr>
                <w:rFonts w:ascii="Arial" w:cs="Arial" w:eastAsia="Arial" w:hAnsi="Arial"/>
                <w:sz w:val="18"/>
                <w:szCs w:val="18"/>
                <w:color w:val="auto"/>
              </w:rPr>
              <w:t>ASC Topic 718 compensation expense</w:t>
            </w:r>
          </w:p>
        </w:tc>
        <w:tc>
          <w:tcPr>
            <w:tcW w:w="400" w:type="dxa"/>
            <w:vAlign w:val="bottom"/>
            <w:shd w:val="clear" w:color="auto" w:fill="A0C4DA"/>
          </w:tcPr>
          <w:p>
            <w:pPr>
              <w:spacing w:after="0"/>
              <w:rPr>
                <w:sz w:val="19"/>
                <w:szCs w:val="19"/>
                <w:color w:val="auto"/>
              </w:rPr>
            </w:pPr>
          </w:p>
        </w:tc>
        <w:tc>
          <w:tcPr>
            <w:tcW w:w="960" w:type="dxa"/>
            <w:vAlign w:val="bottom"/>
            <w:shd w:val="clear" w:color="auto" w:fill="A0C4DA"/>
          </w:tcPr>
          <w:p>
            <w:pPr>
              <w:jc w:val="right"/>
              <w:ind w:right="173"/>
              <w:spacing w:after="0"/>
              <w:rPr>
                <w:sz w:val="20"/>
                <w:szCs w:val="20"/>
                <w:color w:val="auto"/>
              </w:rPr>
            </w:pPr>
            <w:r>
              <w:rPr>
                <w:rFonts w:ascii="Arial" w:cs="Arial" w:eastAsia="Arial" w:hAnsi="Arial"/>
                <w:sz w:val="18"/>
                <w:szCs w:val="18"/>
                <w:color w:val="auto"/>
              </w:rPr>
              <w:t>14</w:t>
            </w:r>
          </w:p>
        </w:tc>
        <w:tc>
          <w:tcPr>
            <w:tcW w:w="500" w:type="dxa"/>
            <w:vAlign w:val="bottom"/>
            <w:shd w:val="clear" w:color="auto" w:fill="A0C4DA"/>
          </w:tcPr>
          <w:p>
            <w:pPr>
              <w:spacing w:after="0"/>
              <w:rPr>
                <w:sz w:val="19"/>
                <w:szCs w:val="19"/>
                <w:color w:val="auto"/>
              </w:rPr>
            </w:pPr>
          </w:p>
        </w:tc>
        <w:tc>
          <w:tcPr>
            <w:tcW w:w="900" w:type="dxa"/>
            <w:vAlign w:val="bottom"/>
            <w:shd w:val="clear" w:color="auto" w:fill="A0C4DA"/>
          </w:tcPr>
          <w:p>
            <w:pPr>
              <w:jc w:val="right"/>
              <w:ind w:right="232"/>
              <w:spacing w:after="0"/>
              <w:rPr>
                <w:sz w:val="20"/>
                <w:szCs w:val="20"/>
                <w:color w:val="auto"/>
              </w:rPr>
            </w:pPr>
            <w:r>
              <w:rPr>
                <w:rFonts w:ascii="Arial" w:cs="Arial" w:eastAsia="Arial" w:hAnsi="Arial"/>
                <w:sz w:val="18"/>
                <w:szCs w:val="18"/>
                <w:color w:val="auto"/>
              </w:rPr>
              <w:t>(42)</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400" w:type="dxa"/>
            <w:vAlign w:val="bottom"/>
          </w:tcPr>
          <w:p>
            <w:pPr>
              <w:spacing w:after="0"/>
              <w:rPr>
                <w:sz w:val="19"/>
                <w:szCs w:val="19"/>
                <w:color w:val="auto"/>
              </w:rPr>
            </w:pP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316</w:t>
            </w:r>
          </w:p>
        </w:tc>
        <w:tc>
          <w:tcPr>
            <w:tcW w:w="500" w:type="dxa"/>
            <w:vAlign w:val="bottom"/>
          </w:tcPr>
          <w:p>
            <w:pPr>
              <w:spacing w:after="0"/>
              <w:rPr>
                <w:sz w:val="19"/>
                <w:szCs w:val="19"/>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331</w:t>
            </w:r>
          </w:p>
        </w:tc>
      </w:tr>
      <w:tr>
        <w:trPr>
          <w:trHeight w:val="230"/>
        </w:trPr>
        <w:tc>
          <w:tcPr>
            <w:tcW w:w="5300" w:type="dxa"/>
            <w:vAlign w:val="bottom"/>
            <w:shd w:val="clear" w:color="auto" w:fill="A0C4DA"/>
          </w:tcPr>
          <w:p>
            <w:pPr>
              <w:spacing w:after="0"/>
              <w:rPr>
                <w:sz w:val="20"/>
                <w:szCs w:val="20"/>
                <w:color w:val="auto"/>
              </w:rPr>
            </w:pPr>
            <w:r>
              <w:rPr>
                <w:rFonts w:ascii="Arial" w:cs="Arial" w:eastAsia="Arial" w:hAnsi="Arial"/>
                <w:sz w:val="18"/>
                <w:szCs w:val="18"/>
                <w:color w:val="auto"/>
              </w:rPr>
              <w:t>Foreign earnings or losses taxed at different rates</w:t>
            </w:r>
          </w:p>
        </w:tc>
        <w:tc>
          <w:tcPr>
            <w:tcW w:w="400" w:type="dxa"/>
            <w:vAlign w:val="bottom"/>
            <w:shd w:val="clear" w:color="auto" w:fill="A0C4DA"/>
          </w:tcPr>
          <w:p>
            <w:pPr>
              <w:spacing w:after="0"/>
              <w:rPr>
                <w:sz w:val="19"/>
                <w:szCs w:val="19"/>
                <w:color w:val="auto"/>
              </w:rPr>
            </w:pPr>
          </w:p>
        </w:tc>
        <w:tc>
          <w:tcPr>
            <w:tcW w:w="960" w:type="dxa"/>
            <w:vAlign w:val="bottom"/>
            <w:shd w:val="clear" w:color="auto" w:fill="A0C4DA"/>
          </w:tcPr>
          <w:p>
            <w:pPr>
              <w:jc w:val="right"/>
              <w:ind w:right="173"/>
              <w:spacing w:after="0"/>
              <w:rPr>
                <w:sz w:val="20"/>
                <w:szCs w:val="20"/>
                <w:color w:val="auto"/>
              </w:rPr>
            </w:pPr>
            <w:r>
              <w:rPr>
                <w:rFonts w:ascii="Arial" w:cs="Arial" w:eastAsia="Arial" w:hAnsi="Arial"/>
                <w:sz w:val="18"/>
                <w:szCs w:val="18"/>
                <w:color w:val="auto"/>
              </w:rPr>
              <w:t>48</w:t>
            </w:r>
          </w:p>
        </w:tc>
        <w:tc>
          <w:tcPr>
            <w:tcW w:w="500" w:type="dxa"/>
            <w:vAlign w:val="bottom"/>
            <w:shd w:val="clear" w:color="auto" w:fill="A0C4DA"/>
          </w:tcPr>
          <w:p>
            <w:pPr>
              <w:spacing w:after="0"/>
              <w:rPr>
                <w:sz w:val="19"/>
                <w:szCs w:val="19"/>
                <w:color w:val="auto"/>
              </w:rPr>
            </w:pPr>
          </w:p>
        </w:tc>
        <w:tc>
          <w:tcPr>
            <w:tcW w:w="900" w:type="dxa"/>
            <w:vAlign w:val="bottom"/>
            <w:shd w:val="clear" w:color="auto" w:fill="A0C4DA"/>
          </w:tcPr>
          <w:p>
            <w:pPr>
              <w:jc w:val="right"/>
              <w:ind w:right="292"/>
              <w:spacing w:after="0"/>
              <w:rPr>
                <w:sz w:val="20"/>
                <w:szCs w:val="20"/>
                <w:color w:val="auto"/>
              </w:rPr>
            </w:pPr>
            <w:r>
              <w:rPr>
                <w:rFonts w:ascii="Arial" w:cs="Arial" w:eastAsia="Arial" w:hAnsi="Arial"/>
                <w:sz w:val="18"/>
                <w:szCs w:val="18"/>
                <w:color w:val="auto"/>
              </w:rPr>
              <w:t>57</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40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9"/>
                <w:szCs w:val="19"/>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811</w:t>
            </w:r>
          </w:p>
        </w:tc>
      </w:tr>
      <w:tr>
        <w:trPr>
          <w:trHeight w:val="230"/>
        </w:trPr>
        <w:tc>
          <w:tcPr>
            <w:tcW w:w="5300" w:type="dxa"/>
            <w:vAlign w:val="bottom"/>
            <w:shd w:val="clear" w:color="auto" w:fill="A0C4DA"/>
          </w:tcPr>
          <w:p>
            <w:pPr>
              <w:spacing w:after="0"/>
              <w:rPr>
                <w:sz w:val="20"/>
                <w:szCs w:val="20"/>
                <w:color w:val="auto"/>
              </w:rPr>
            </w:pPr>
            <w:r>
              <w:rPr>
                <w:rFonts w:ascii="Arial" w:cs="Arial" w:eastAsia="Arial" w:hAnsi="Arial"/>
                <w:sz w:val="18"/>
                <w:szCs w:val="18"/>
                <w:color w:val="auto"/>
              </w:rPr>
              <w:t>Non-deductible items and other</w:t>
            </w:r>
          </w:p>
        </w:tc>
        <w:tc>
          <w:tcPr>
            <w:tcW w:w="400" w:type="dxa"/>
            <w:vAlign w:val="bottom"/>
            <w:shd w:val="clear" w:color="auto" w:fill="A0C4DA"/>
          </w:tcPr>
          <w:p>
            <w:pPr>
              <w:spacing w:after="0"/>
              <w:rPr>
                <w:sz w:val="19"/>
                <w:szCs w:val="19"/>
                <w:color w:val="auto"/>
              </w:rPr>
            </w:pPr>
          </w:p>
        </w:tc>
        <w:tc>
          <w:tcPr>
            <w:tcW w:w="960" w:type="dxa"/>
            <w:vAlign w:val="bottom"/>
            <w:shd w:val="clear" w:color="auto" w:fill="A0C4DA"/>
          </w:tcPr>
          <w:p>
            <w:pPr>
              <w:jc w:val="right"/>
              <w:ind w:right="113"/>
              <w:spacing w:after="0"/>
              <w:rPr>
                <w:sz w:val="20"/>
                <w:szCs w:val="20"/>
                <w:color w:val="auto"/>
              </w:rPr>
            </w:pPr>
            <w:r>
              <w:rPr>
                <w:rFonts w:ascii="Arial" w:cs="Arial" w:eastAsia="Arial" w:hAnsi="Arial"/>
                <w:sz w:val="18"/>
                <w:szCs w:val="18"/>
                <w:color w:val="auto"/>
              </w:rPr>
              <w:t>(153)</w:t>
            </w:r>
          </w:p>
        </w:tc>
        <w:tc>
          <w:tcPr>
            <w:tcW w:w="500" w:type="dxa"/>
            <w:vAlign w:val="bottom"/>
            <w:shd w:val="clear" w:color="auto" w:fill="A0C4DA"/>
          </w:tcPr>
          <w:p>
            <w:pPr>
              <w:spacing w:after="0"/>
              <w:rPr>
                <w:sz w:val="19"/>
                <w:szCs w:val="19"/>
                <w:color w:val="auto"/>
              </w:rPr>
            </w:pPr>
          </w:p>
        </w:tc>
        <w:tc>
          <w:tcPr>
            <w:tcW w:w="900" w:type="dxa"/>
            <w:vAlign w:val="bottom"/>
            <w:shd w:val="clear" w:color="auto" w:fill="A0C4DA"/>
          </w:tcPr>
          <w:p>
            <w:pPr>
              <w:jc w:val="right"/>
              <w:ind w:right="292"/>
              <w:spacing w:after="0"/>
              <w:rPr>
                <w:sz w:val="20"/>
                <w:szCs w:val="20"/>
                <w:color w:val="auto"/>
              </w:rPr>
            </w:pPr>
            <w:r>
              <w:rPr>
                <w:rFonts w:ascii="Arial" w:cs="Arial" w:eastAsia="Arial" w:hAnsi="Arial"/>
                <w:sz w:val="18"/>
                <w:szCs w:val="18"/>
                <w:color w:val="auto"/>
              </w:rPr>
              <w:t>124</w:t>
            </w:r>
          </w:p>
        </w:tc>
      </w:tr>
      <w:tr>
        <w:trPr>
          <w:trHeight w:val="230"/>
        </w:trPr>
        <w:tc>
          <w:tcPr>
            <w:tcW w:w="5300" w:type="dxa"/>
            <w:vAlign w:val="bottom"/>
            <w:tcBorders>
              <w:bottom w:val="single" w:sz="8" w:color="A0C4DA"/>
            </w:tcBorders>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w:t>
            </w:r>
          </w:p>
        </w:tc>
      </w:tr>
      <w:tr>
        <w:trPr>
          <w:trHeight w:val="223"/>
        </w:trPr>
        <w:tc>
          <w:tcPr>
            <w:tcW w:w="5300" w:type="dxa"/>
            <w:vAlign w:val="bottom"/>
            <w:tcBorders>
              <w:bottom w:val="single" w:sz="8" w:color="A0C4DA"/>
            </w:tcBorders>
            <w:shd w:val="clear" w:color="auto" w:fill="A0C4DA"/>
          </w:tcPr>
          <w:p>
            <w:pPr>
              <w:spacing w:after="0" w:line="182" w:lineRule="exact"/>
              <w:rPr>
                <w:sz w:val="20"/>
                <w:szCs w:val="20"/>
                <w:color w:val="auto"/>
              </w:rPr>
            </w:pPr>
            <w:r>
              <w:rPr>
                <w:rFonts w:ascii="Arial" w:cs="Arial" w:eastAsia="Arial" w:hAnsi="Arial"/>
                <w:sz w:val="18"/>
                <w:szCs w:val="18"/>
                <w:color w:val="auto"/>
              </w:rPr>
              <w:t>Tax (provision) benefit</w:t>
            </w:r>
          </w:p>
        </w:tc>
        <w:tc>
          <w:tcPr>
            <w:tcW w:w="400" w:type="dxa"/>
            <w:vAlign w:val="bottom"/>
            <w:tcBorders>
              <w:bottom w:val="single" w:sz="8" w:color="auto"/>
            </w:tcBorders>
            <w:shd w:val="clear" w:color="auto" w:fill="A0C4DA"/>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A0C4DA"/>
          </w:tcPr>
          <w:p>
            <w:pPr>
              <w:jc w:val="right"/>
              <w:ind w:right="113"/>
              <w:spacing w:after="0" w:line="182" w:lineRule="exact"/>
              <w:rPr>
                <w:sz w:val="20"/>
                <w:szCs w:val="20"/>
                <w:color w:val="auto"/>
              </w:rPr>
            </w:pPr>
            <w:r>
              <w:rPr>
                <w:rFonts w:ascii="Arial" w:cs="Arial" w:eastAsia="Arial" w:hAnsi="Arial"/>
                <w:sz w:val="18"/>
                <w:szCs w:val="18"/>
                <w:color w:val="auto"/>
              </w:rPr>
              <w:t>(3,667)</w:t>
            </w:r>
          </w:p>
        </w:tc>
        <w:tc>
          <w:tcPr>
            <w:tcW w:w="500" w:type="dxa"/>
            <w:vAlign w:val="bottom"/>
            <w:tcBorders>
              <w:bottom w:val="single" w:sz="8" w:color="auto"/>
            </w:tcBorders>
            <w:shd w:val="clear" w:color="auto" w:fill="A0C4DA"/>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A0C4DA"/>
          </w:tcPr>
          <w:p>
            <w:pPr>
              <w:jc w:val="right"/>
              <w:ind w:right="292"/>
              <w:spacing w:after="0" w:line="182" w:lineRule="exact"/>
              <w:rPr>
                <w:sz w:val="20"/>
                <w:szCs w:val="20"/>
                <w:color w:val="auto"/>
              </w:rPr>
            </w:pPr>
            <w:r>
              <w:rPr>
                <w:rFonts w:ascii="Arial" w:cs="Arial" w:eastAsia="Arial" w:hAnsi="Arial"/>
                <w:sz w:val="18"/>
                <w:szCs w:val="18"/>
                <w:color w:val="auto"/>
              </w:rPr>
              <w:t>681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365F91"/>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76326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87" w:name="page88"/>
    <w:bookmarkEnd w:id="87"/>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ind w:left="20" w:right="1599"/>
        <w:spacing w:after="0" w:line="252" w:lineRule="auto"/>
        <w:rPr>
          <w:sz w:val="20"/>
          <w:szCs w:val="20"/>
          <w:color w:val="auto"/>
        </w:rPr>
      </w:pPr>
      <w:r>
        <w:rPr>
          <w:rFonts w:ascii="Arial" w:cs="Arial" w:eastAsia="Arial" w:hAnsi="Arial"/>
          <w:sz w:val="21"/>
          <w:szCs w:val="21"/>
          <w:color w:val="auto"/>
        </w:rPr>
        <w:t>Deferred income taxes are determined based on the differences between the financial reporting and income tax bases of assets and liabilities using enacted income tax rates expected to apply when the differences are expected to be settled or realized. Significant components of the net U.S. deferred income tax assets and (liabilities) were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w w:val="96"/>
              </w:rPr>
              <w:t>As of December 31, 2011</w:t>
            </w:r>
          </w:p>
        </w:tc>
        <w:tc>
          <w:tcPr>
            <w:tcW w:w="200" w:type="dxa"/>
            <w:vAlign w:val="bottom"/>
          </w:tcPr>
          <w:p>
            <w:pPr>
              <w:spacing w:after="0"/>
              <w:rPr>
                <w:sz w:val="14"/>
                <w:szCs w:val="14"/>
                <w:color w:val="auto"/>
              </w:rPr>
            </w:pPr>
          </w:p>
        </w:tc>
        <w:tc>
          <w:tcPr>
            <w:tcW w:w="21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As of December 31, 2010</w:t>
            </w: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Current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Long-term</w:t>
            </w:r>
          </w:p>
        </w:tc>
        <w:tc>
          <w:tcPr>
            <w:tcW w:w="1140" w:type="dxa"/>
            <w:vAlign w:val="bottom"/>
            <w:gridSpan w:val="3"/>
          </w:tcPr>
          <w:p>
            <w:pPr>
              <w:ind w:left="44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Long-term</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A0C4DA"/>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A0C4DA"/>
          </w:tcPr>
          <w:p>
            <w:pPr>
              <w:jc w:val="right"/>
              <w:ind w:right="208"/>
              <w:spacing w:after="0"/>
              <w:rPr>
                <w:sz w:val="20"/>
                <w:szCs w:val="20"/>
                <w:color w:val="auto"/>
              </w:rPr>
            </w:pPr>
            <w:r>
              <w:rPr>
                <w:rFonts w:ascii="Arial" w:cs="Arial" w:eastAsia="Arial" w:hAnsi="Arial"/>
                <w:sz w:val="18"/>
                <w:szCs w:val="18"/>
                <w:color w:val="auto"/>
              </w:rPr>
              <w:t>860</w:t>
            </w:r>
          </w:p>
        </w:tc>
        <w:tc>
          <w:tcPr>
            <w:tcW w:w="420" w:type="dxa"/>
            <w:vAlign w:val="bottom"/>
            <w:gridSpan w:val="2"/>
            <w:shd w:val="clear" w:color="auto" w:fill="A0C4DA"/>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A0C4DA"/>
          </w:tcPr>
          <w:p>
            <w:pPr>
              <w:jc w:val="right"/>
              <w:ind w:right="168"/>
              <w:spacing w:after="0"/>
              <w:rPr>
                <w:sz w:val="20"/>
                <w:szCs w:val="20"/>
                <w:color w:val="auto"/>
              </w:rPr>
            </w:pPr>
            <w:r>
              <w:rPr>
                <w:rFonts w:ascii="Arial" w:cs="Arial" w:eastAsia="Arial" w:hAnsi="Arial"/>
                <w:sz w:val="18"/>
                <w:szCs w:val="18"/>
                <w:color w:val="auto"/>
              </w:rPr>
              <w:t>-</w:t>
            </w:r>
          </w:p>
        </w:tc>
        <w:tc>
          <w:tcPr>
            <w:tcW w:w="200" w:type="dxa"/>
            <w:vAlign w:val="bottom"/>
            <w:shd w:val="clear" w:color="auto" w:fill="A0C4DA"/>
          </w:tcPr>
          <w:p>
            <w:pPr>
              <w:spacing w:after="0"/>
              <w:rPr>
                <w:sz w:val="19"/>
                <w:szCs w:val="19"/>
                <w:color w:val="auto"/>
              </w:rPr>
            </w:pPr>
          </w:p>
        </w:tc>
        <w:tc>
          <w:tcPr>
            <w:tcW w:w="940" w:type="dxa"/>
            <w:vAlign w:val="bottom"/>
            <w:gridSpan w:val="2"/>
            <w:shd w:val="clear" w:color="auto" w:fill="A0C4DA"/>
          </w:tcPr>
          <w:p>
            <w:pPr>
              <w:jc w:val="right"/>
              <w:ind w:right="3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A0C4DA"/>
          </w:tcPr>
          <w:p>
            <w:pPr>
              <w:spacing w:after="0"/>
              <w:rPr>
                <w:sz w:val="19"/>
                <w:szCs w:val="19"/>
                <w:color w:val="auto"/>
              </w:rPr>
            </w:pPr>
          </w:p>
        </w:tc>
        <w:tc>
          <w:tcPr>
            <w:tcW w:w="220" w:type="dxa"/>
            <w:vAlign w:val="bottom"/>
            <w:shd w:val="clear" w:color="auto" w:fill="A0C4DA"/>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A0C4DA"/>
          </w:tcPr>
          <w:p>
            <w:pPr>
              <w:jc w:val="right"/>
              <w:ind w:right="3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18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(649)</w:t>
            </w:r>
          </w:p>
        </w:tc>
      </w:tr>
      <w:tr>
        <w:trPr>
          <w:trHeight w:val="230"/>
        </w:trPr>
        <w:tc>
          <w:tcPr>
            <w:tcW w:w="20" w:type="dxa"/>
            <w:vAlign w:val="bottom"/>
          </w:tcPr>
          <w:p>
            <w:pPr>
              <w:spacing w:after="0"/>
              <w:rPr>
                <w:sz w:val="19"/>
                <w:szCs w:val="19"/>
                <w:color w:val="auto"/>
              </w:rPr>
            </w:pPr>
          </w:p>
        </w:tc>
        <w:tc>
          <w:tcPr>
            <w:tcW w:w="4100" w:type="dxa"/>
            <w:vAlign w:val="bottom"/>
            <w:shd w:val="clear" w:color="auto" w:fill="A0C4DA"/>
          </w:tcPr>
          <w:p>
            <w:pPr>
              <w:spacing w:after="0"/>
              <w:rPr>
                <w:sz w:val="20"/>
                <w:szCs w:val="20"/>
                <w:color w:val="auto"/>
              </w:rPr>
            </w:pPr>
            <w:r>
              <w:rPr>
                <w:rFonts w:ascii="Arial" w:cs="Arial" w:eastAsia="Arial" w:hAnsi="Arial"/>
                <w:sz w:val="18"/>
                <w:szCs w:val="18"/>
                <w:color w:val="auto"/>
              </w:rPr>
              <w:t>Inventory reserve</w:t>
            </w:r>
          </w:p>
        </w:tc>
        <w:tc>
          <w:tcPr>
            <w:tcW w:w="180" w:type="dxa"/>
            <w:vAlign w:val="bottom"/>
            <w:shd w:val="clear" w:color="auto" w:fill="A0C4DA"/>
          </w:tcPr>
          <w:p>
            <w:pPr>
              <w:spacing w:after="0"/>
              <w:rPr>
                <w:sz w:val="19"/>
                <w:szCs w:val="19"/>
                <w:color w:val="auto"/>
              </w:rPr>
            </w:pPr>
          </w:p>
        </w:tc>
        <w:tc>
          <w:tcPr>
            <w:tcW w:w="720" w:type="dxa"/>
            <w:vAlign w:val="bottom"/>
            <w:gridSpan w:val="2"/>
            <w:shd w:val="clear" w:color="auto" w:fill="A0C4DA"/>
          </w:tcPr>
          <w:p>
            <w:pPr>
              <w:jc w:val="right"/>
              <w:ind w:right="208"/>
              <w:spacing w:after="0"/>
              <w:rPr>
                <w:sz w:val="20"/>
                <w:szCs w:val="20"/>
                <w:color w:val="auto"/>
              </w:rPr>
            </w:pPr>
            <w:r>
              <w:rPr>
                <w:rFonts w:ascii="Arial" w:cs="Arial" w:eastAsia="Arial" w:hAnsi="Arial"/>
                <w:sz w:val="18"/>
                <w:szCs w:val="18"/>
                <w:color w:val="auto"/>
                <w:w w:val="93"/>
              </w:rPr>
              <w:t>1,598</w:t>
            </w:r>
          </w:p>
        </w:tc>
        <w:tc>
          <w:tcPr>
            <w:tcW w:w="280" w:type="dxa"/>
            <w:vAlign w:val="bottom"/>
            <w:shd w:val="clear" w:color="auto" w:fill="A0C4DA"/>
          </w:tcPr>
          <w:p>
            <w:pPr>
              <w:spacing w:after="0"/>
              <w:rPr>
                <w:sz w:val="19"/>
                <w:szCs w:val="19"/>
                <w:color w:val="auto"/>
              </w:rPr>
            </w:pPr>
          </w:p>
        </w:tc>
        <w:tc>
          <w:tcPr>
            <w:tcW w:w="140" w:type="dxa"/>
            <w:vAlign w:val="bottom"/>
            <w:shd w:val="clear" w:color="auto" w:fill="A0C4DA"/>
          </w:tcPr>
          <w:p>
            <w:pPr>
              <w:spacing w:after="0"/>
              <w:rPr>
                <w:sz w:val="19"/>
                <w:szCs w:val="19"/>
                <w:color w:val="auto"/>
              </w:rPr>
            </w:pPr>
          </w:p>
        </w:tc>
        <w:tc>
          <w:tcPr>
            <w:tcW w:w="780" w:type="dxa"/>
            <w:vAlign w:val="bottom"/>
            <w:gridSpan w:val="2"/>
            <w:shd w:val="clear" w:color="auto" w:fill="A0C4DA"/>
          </w:tcPr>
          <w:p>
            <w:pPr>
              <w:jc w:val="right"/>
              <w:ind w:right="168"/>
              <w:spacing w:after="0"/>
              <w:rPr>
                <w:sz w:val="20"/>
                <w:szCs w:val="20"/>
                <w:color w:val="auto"/>
              </w:rPr>
            </w:pPr>
            <w:r>
              <w:rPr>
                <w:rFonts w:ascii="Arial" w:cs="Arial" w:eastAsia="Arial" w:hAnsi="Arial"/>
                <w:sz w:val="18"/>
                <w:szCs w:val="18"/>
                <w:color w:val="auto"/>
              </w:rPr>
              <w:t>-</w:t>
            </w:r>
          </w:p>
        </w:tc>
        <w:tc>
          <w:tcPr>
            <w:tcW w:w="200" w:type="dxa"/>
            <w:vAlign w:val="bottom"/>
            <w:shd w:val="clear" w:color="auto" w:fill="A0C4DA"/>
          </w:tcPr>
          <w:p>
            <w:pPr>
              <w:spacing w:after="0"/>
              <w:rPr>
                <w:sz w:val="19"/>
                <w:szCs w:val="19"/>
                <w:color w:val="auto"/>
              </w:rPr>
            </w:pPr>
          </w:p>
        </w:tc>
        <w:tc>
          <w:tcPr>
            <w:tcW w:w="940" w:type="dxa"/>
            <w:vAlign w:val="bottom"/>
            <w:gridSpan w:val="2"/>
            <w:shd w:val="clear" w:color="auto" w:fill="A0C4DA"/>
          </w:tcPr>
          <w:p>
            <w:pPr>
              <w:jc w:val="right"/>
              <w:ind w:right="300"/>
              <w:spacing w:after="0"/>
              <w:rPr>
                <w:sz w:val="20"/>
                <w:szCs w:val="20"/>
                <w:color w:val="auto"/>
              </w:rPr>
            </w:pPr>
            <w:r>
              <w:rPr>
                <w:rFonts w:ascii="Arial" w:cs="Arial" w:eastAsia="Arial" w:hAnsi="Arial"/>
                <w:sz w:val="18"/>
                <w:szCs w:val="18"/>
                <w:color w:val="auto"/>
              </w:rPr>
              <w:t>1,537</w:t>
            </w:r>
          </w:p>
        </w:tc>
        <w:tc>
          <w:tcPr>
            <w:tcW w:w="200" w:type="dxa"/>
            <w:vAlign w:val="bottom"/>
            <w:shd w:val="clear" w:color="auto" w:fill="A0C4DA"/>
          </w:tcPr>
          <w:p>
            <w:pPr>
              <w:spacing w:after="0"/>
              <w:rPr>
                <w:sz w:val="19"/>
                <w:szCs w:val="19"/>
                <w:color w:val="auto"/>
              </w:rPr>
            </w:pPr>
          </w:p>
        </w:tc>
        <w:tc>
          <w:tcPr>
            <w:tcW w:w="220" w:type="dxa"/>
            <w:vAlign w:val="bottom"/>
            <w:shd w:val="clear" w:color="auto" w:fill="A0C4DA"/>
          </w:tcPr>
          <w:p>
            <w:pPr>
              <w:spacing w:after="0"/>
              <w:rPr>
                <w:sz w:val="19"/>
                <w:szCs w:val="19"/>
                <w:color w:val="auto"/>
              </w:rPr>
            </w:pPr>
          </w:p>
        </w:tc>
        <w:tc>
          <w:tcPr>
            <w:tcW w:w="800" w:type="dxa"/>
            <w:vAlign w:val="bottom"/>
            <w:gridSpan w:val="2"/>
            <w:shd w:val="clear" w:color="auto" w:fill="A0C4DA"/>
          </w:tcPr>
          <w:p>
            <w:pPr>
              <w:jc w:val="right"/>
              <w:ind w:right="3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460</w:t>
            </w:r>
          </w:p>
        </w:tc>
      </w:tr>
      <w:tr>
        <w:trPr>
          <w:trHeight w:val="230"/>
        </w:trPr>
        <w:tc>
          <w:tcPr>
            <w:tcW w:w="20" w:type="dxa"/>
            <w:vAlign w:val="bottom"/>
          </w:tcPr>
          <w:p>
            <w:pPr>
              <w:spacing w:after="0"/>
              <w:rPr>
                <w:sz w:val="19"/>
                <w:szCs w:val="19"/>
                <w:color w:val="auto"/>
              </w:rPr>
            </w:pPr>
          </w:p>
        </w:tc>
        <w:tc>
          <w:tcPr>
            <w:tcW w:w="4100" w:type="dxa"/>
            <w:vAlign w:val="bottom"/>
            <w:shd w:val="clear" w:color="auto" w:fill="A0C4DA"/>
          </w:tcPr>
          <w:p>
            <w:pPr>
              <w:spacing w:after="0"/>
              <w:rPr>
                <w:sz w:val="20"/>
                <w:szCs w:val="20"/>
                <w:color w:val="auto"/>
              </w:rPr>
            </w:pPr>
            <w:r>
              <w:rPr>
                <w:rFonts w:ascii="Arial" w:cs="Arial" w:eastAsia="Arial" w:hAnsi="Arial"/>
                <w:sz w:val="18"/>
                <w:szCs w:val="18"/>
                <w:color w:val="auto"/>
              </w:rPr>
              <w:t>Accumulated research and development credits</w:t>
            </w:r>
          </w:p>
        </w:tc>
        <w:tc>
          <w:tcPr>
            <w:tcW w:w="180" w:type="dxa"/>
            <w:vAlign w:val="bottom"/>
            <w:shd w:val="clear" w:color="auto" w:fill="A0C4DA"/>
          </w:tcPr>
          <w:p>
            <w:pPr>
              <w:spacing w:after="0"/>
              <w:rPr>
                <w:sz w:val="19"/>
                <w:szCs w:val="19"/>
                <w:color w:val="auto"/>
              </w:rPr>
            </w:pPr>
          </w:p>
        </w:tc>
        <w:tc>
          <w:tcPr>
            <w:tcW w:w="720" w:type="dxa"/>
            <w:vAlign w:val="bottom"/>
            <w:gridSpan w:val="2"/>
            <w:shd w:val="clear" w:color="auto" w:fill="A0C4DA"/>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shd w:val="clear" w:color="auto" w:fill="A0C4DA"/>
          </w:tcPr>
          <w:p>
            <w:pPr>
              <w:spacing w:after="0"/>
              <w:rPr>
                <w:sz w:val="19"/>
                <w:szCs w:val="19"/>
                <w:color w:val="auto"/>
              </w:rPr>
            </w:pPr>
          </w:p>
        </w:tc>
        <w:tc>
          <w:tcPr>
            <w:tcW w:w="140" w:type="dxa"/>
            <w:vAlign w:val="bottom"/>
            <w:shd w:val="clear" w:color="auto" w:fill="A0C4DA"/>
          </w:tcPr>
          <w:p>
            <w:pPr>
              <w:spacing w:after="0"/>
              <w:rPr>
                <w:sz w:val="19"/>
                <w:szCs w:val="19"/>
                <w:color w:val="auto"/>
              </w:rPr>
            </w:pPr>
          </w:p>
        </w:tc>
        <w:tc>
          <w:tcPr>
            <w:tcW w:w="780" w:type="dxa"/>
            <w:vAlign w:val="bottom"/>
            <w:gridSpan w:val="2"/>
            <w:shd w:val="clear" w:color="auto" w:fill="A0C4DA"/>
          </w:tcPr>
          <w:p>
            <w:pPr>
              <w:jc w:val="right"/>
              <w:ind w:right="168"/>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A0C4DA"/>
          </w:tcPr>
          <w:p>
            <w:pPr>
              <w:spacing w:after="0"/>
              <w:rPr>
                <w:sz w:val="19"/>
                <w:szCs w:val="19"/>
                <w:color w:val="auto"/>
              </w:rPr>
            </w:pPr>
          </w:p>
        </w:tc>
        <w:tc>
          <w:tcPr>
            <w:tcW w:w="940" w:type="dxa"/>
            <w:vAlign w:val="bottom"/>
            <w:gridSpan w:val="2"/>
            <w:shd w:val="clear" w:color="auto" w:fill="A0C4DA"/>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A0C4DA"/>
          </w:tcPr>
          <w:p>
            <w:pPr>
              <w:spacing w:after="0"/>
              <w:rPr>
                <w:sz w:val="19"/>
                <w:szCs w:val="19"/>
                <w:color w:val="auto"/>
              </w:rPr>
            </w:pPr>
          </w:p>
        </w:tc>
        <w:tc>
          <w:tcPr>
            <w:tcW w:w="220" w:type="dxa"/>
            <w:vAlign w:val="bottom"/>
            <w:shd w:val="clear" w:color="auto" w:fill="A0C4DA"/>
          </w:tcPr>
          <w:p>
            <w:pPr>
              <w:spacing w:after="0"/>
              <w:rPr>
                <w:sz w:val="19"/>
                <w:szCs w:val="19"/>
                <w:color w:val="auto"/>
              </w:rPr>
            </w:pPr>
          </w:p>
        </w:tc>
        <w:tc>
          <w:tcPr>
            <w:tcW w:w="800" w:type="dxa"/>
            <w:vAlign w:val="bottom"/>
            <w:gridSpan w:val="2"/>
            <w:shd w:val="clear" w:color="auto" w:fill="A0C4DA"/>
          </w:tcPr>
          <w:p>
            <w:pPr>
              <w:jc w:val="right"/>
              <w:ind w:right="360"/>
              <w:spacing w:after="0"/>
              <w:rPr>
                <w:sz w:val="20"/>
                <w:szCs w:val="20"/>
                <w:color w:val="auto"/>
              </w:rPr>
            </w:pPr>
            <w:r>
              <w:rPr>
                <w:rFonts w:ascii="Arial" w:cs="Arial" w:eastAsia="Arial" w:hAnsi="Arial"/>
                <w:sz w:val="18"/>
                <w:szCs w:val="18"/>
                <w:color w:val="auto"/>
                <w:w w:val="93"/>
              </w:rPr>
              <w:t>1,317</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Alternative minimum tax credits</w:t>
            </w:r>
          </w:p>
        </w:tc>
        <w:tc>
          <w:tcPr>
            <w:tcW w:w="18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409</w:t>
            </w:r>
          </w:p>
        </w:tc>
      </w:tr>
      <w:tr>
        <w:trPr>
          <w:trHeight w:val="230"/>
        </w:trPr>
        <w:tc>
          <w:tcPr>
            <w:tcW w:w="20" w:type="dxa"/>
            <w:vAlign w:val="bottom"/>
          </w:tcPr>
          <w:p>
            <w:pPr>
              <w:spacing w:after="0"/>
              <w:rPr>
                <w:sz w:val="19"/>
                <w:szCs w:val="19"/>
                <w:color w:val="auto"/>
              </w:rPr>
            </w:pPr>
          </w:p>
        </w:tc>
        <w:tc>
          <w:tcPr>
            <w:tcW w:w="4100" w:type="dxa"/>
            <w:vAlign w:val="bottom"/>
            <w:shd w:val="clear" w:color="auto" w:fill="A0C4DA"/>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A0C4DA"/>
          </w:tcPr>
          <w:p>
            <w:pPr>
              <w:spacing w:after="0"/>
              <w:rPr>
                <w:sz w:val="19"/>
                <w:szCs w:val="19"/>
                <w:color w:val="auto"/>
              </w:rPr>
            </w:pPr>
          </w:p>
        </w:tc>
        <w:tc>
          <w:tcPr>
            <w:tcW w:w="720" w:type="dxa"/>
            <w:vAlign w:val="bottom"/>
            <w:gridSpan w:val="2"/>
            <w:shd w:val="clear" w:color="auto" w:fill="A0C4DA"/>
          </w:tcPr>
          <w:p>
            <w:pPr>
              <w:jc w:val="right"/>
              <w:ind w:right="208"/>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A0C4DA"/>
          </w:tcPr>
          <w:p>
            <w:pPr>
              <w:spacing w:after="0"/>
              <w:rPr>
                <w:sz w:val="19"/>
                <w:szCs w:val="19"/>
                <w:color w:val="auto"/>
              </w:rPr>
            </w:pPr>
          </w:p>
        </w:tc>
        <w:tc>
          <w:tcPr>
            <w:tcW w:w="140" w:type="dxa"/>
            <w:vAlign w:val="bottom"/>
            <w:shd w:val="clear" w:color="auto" w:fill="A0C4DA"/>
          </w:tcPr>
          <w:p>
            <w:pPr>
              <w:spacing w:after="0"/>
              <w:rPr>
                <w:sz w:val="19"/>
                <w:szCs w:val="19"/>
                <w:color w:val="auto"/>
              </w:rPr>
            </w:pPr>
          </w:p>
        </w:tc>
        <w:tc>
          <w:tcPr>
            <w:tcW w:w="120" w:type="dxa"/>
            <w:vAlign w:val="bottom"/>
            <w:shd w:val="clear" w:color="auto" w:fill="A0C4DA"/>
          </w:tcPr>
          <w:p>
            <w:pPr>
              <w:spacing w:after="0"/>
              <w:rPr>
                <w:sz w:val="19"/>
                <w:szCs w:val="19"/>
                <w:color w:val="auto"/>
              </w:rPr>
            </w:pPr>
          </w:p>
        </w:tc>
        <w:tc>
          <w:tcPr>
            <w:tcW w:w="660" w:type="dxa"/>
            <w:vAlign w:val="bottom"/>
            <w:shd w:val="clear" w:color="auto" w:fill="A0C4DA"/>
          </w:tcPr>
          <w:p>
            <w:pPr>
              <w:spacing w:after="0"/>
              <w:rPr>
                <w:sz w:val="19"/>
                <w:szCs w:val="19"/>
                <w:color w:val="auto"/>
              </w:rPr>
            </w:pPr>
          </w:p>
        </w:tc>
        <w:tc>
          <w:tcPr>
            <w:tcW w:w="200" w:type="dxa"/>
            <w:vAlign w:val="bottom"/>
            <w:shd w:val="clear" w:color="auto" w:fill="A0C4DA"/>
          </w:tcPr>
          <w:p>
            <w:pPr>
              <w:spacing w:after="0"/>
              <w:rPr>
                <w:sz w:val="19"/>
                <w:szCs w:val="19"/>
                <w:color w:val="auto"/>
              </w:rPr>
            </w:pPr>
          </w:p>
        </w:tc>
        <w:tc>
          <w:tcPr>
            <w:tcW w:w="940" w:type="dxa"/>
            <w:vAlign w:val="bottom"/>
            <w:gridSpan w:val="2"/>
            <w:shd w:val="clear" w:color="auto" w:fill="A0C4DA"/>
          </w:tcPr>
          <w:p>
            <w:pPr>
              <w:jc w:val="right"/>
              <w:ind w:right="300"/>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A0C4DA"/>
          </w:tcPr>
          <w:p>
            <w:pPr>
              <w:spacing w:after="0"/>
              <w:rPr>
                <w:sz w:val="19"/>
                <w:szCs w:val="19"/>
                <w:color w:val="auto"/>
              </w:rPr>
            </w:pPr>
          </w:p>
        </w:tc>
        <w:tc>
          <w:tcPr>
            <w:tcW w:w="220" w:type="dxa"/>
            <w:vAlign w:val="bottom"/>
            <w:shd w:val="clear" w:color="auto" w:fill="A0C4DA"/>
          </w:tcPr>
          <w:p>
            <w:pPr>
              <w:spacing w:after="0"/>
              <w:rPr>
                <w:sz w:val="19"/>
                <w:szCs w:val="19"/>
                <w:color w:val="auto"/>
              </w:rPr>
            </w:pPr>
          </w:p>
        </w:tc>
        <w:tc>
          <w:tcPr>
            <w:tcW w:w="800" w:type="dxa"/>
            <w:vAlign w:val="bottom"/>
            <w:gridSpan w:val="2"/>
            <w:shd w:val="clear" w:color="auto" w:fill="A0C4DA"/>
          </w:tcPr>
          <w:p>
            <w:pPr>
              <w:jc w:val="right"/>
              <w:ind w:right="3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Non-deductible ASC 718 compensation expense</w:t>
            </w:r>
          </w:p>
        </w:tc>
        <w:tc>
          <w:tcPr>
            <w:tcW w:w="18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744</w:t>
            </w:r>
          </w:p>
        </w:tc>
      </w:tr>
      <w:tr>
        <w:trPr>
          <w:trHeight w:val="230"/>
        </w:trPr>
        <w:tc>
          <w:tcPr>
            <w:tcW w:w="20" w:type="dxa"/>
            <w:vAlign w:val="bottom"/>
          </w:tcPr>
          <w:p>
            <w:pPr>
              <w:spacing w:after="0"/>
              <w:rPr>
                <w:sz w:val="19"/>
                <w:szCs w:val="19"/>
                <w:color w:val="auto"/>
              </w:rPr>
            </w:pPr>
          </w:p>
        </w:tc>
        <w:tc>
          <w:tcPr>
            <w:tcW w:w="4100" w:type="dxa"/>
            <w:vAlign w:val="bottom"/>
            <w:shd w:val="clear" w:color="auto" w:fill="A0C4DA"/>
          </w:tcPr>
          <w:p>
            <w:pPr>
              <w:spacing w:after="0"/>
              <w:rPr>
                <w:sz w:val="20"/>
                <w:szCs w:val="20"/>
                <w:color w:val="auto"/>
              </w:rPr>
            </w:pPr>
            <w:r>
              <w:rPr>
                <w:rFonts w:ascii="Arial" w:cs="Arial" w:eastAsia="Arial" w:hAnsi="Arial"/>
                <w:sz w:val="18"/>
                <w:szCs w:val="18"/>
                <w:color w:val="auto"/>
              </w:rPr>
              <w:t>Allowance for sales returns and doubtful accounts</w:t>
            </w:r>
          </w:p>
        </w:tc>
        <w:tc>
          <w:tcPr>
            <w:tcW w:w="180" w:type="dxa"/>
            <w:vAlign w:val="bottom"/>
            <w:shd w:val="clear" w:color="auto" w:fill="A0C4DA"/>
          </w:tcPr>
          <w:p>
            <w:pPr>
              <w:spacing w:after="0"/>
              <w:rPr>
                <w:sz w:val="19"/>
                <w:szCs w:val="19"/>
                <w:color w:val="auto"/>
              </w:rPr>
            </w:pPr>
          </w:p>
        </w:tc>
        <w:tc>
          <w:tcPr>
            <w:tcW w:w="720" w:type="dxa"/>
            <w:vAlign w:val="bottom"/>
            <w:gridSpan w:val="2"/>
            <w:shd w:val="clear" w:color="auto" w:fill="A0C4DA"/>
          </w:tcPr>
          <w:p>
            <w:pPr>
              <w:jc w:val="right"/>
              <w:ind w:right="208"/>
              <w:spacing w:after="0"/>
              <w:rPr>
                <w:sz w:val="20"/>
                <w:szCs w:val="20"/>
                <w:color w:val="auto"/>
              </w:rPr>
            </w:pPr>
            <w:r>
              <w:rPr>
                <w:rFonts w:ascii="Arial" w:cs="Arial" w:eastAsia="Arial" w:hAnsi="Arial"/>
                <w:sz w:val="18"/>
                <w:szCs w:val="18"/>
                <w:color w:val="auto"/>
              </w:rPr>
              <w:t>56</w:t>
            </w:r>
          </w:p>
        </w:tc>
        <w:tc>
          <w:tcPr>
            <w:tcW w:w="280" w:type="dxa"/>
            <w:vAlign w:val="bottom"/>
            <w:shd w:val="clear" w:color="auto" w:fill="A0C4DA"/>
          </w:tcPr>
          <w:p>
            <w:pPr>
              <w:spacing w:after="0"/>
              <w:rPr>
                <w:sz w:val="19"/>
                <w:szCs w:val="19"/>
                <w:color w:val="auto"/>
              </w:rPr>
            </w:pPr>
          </w:p>
        </w:tc>
        <w:tc>
          <w:tcPr>
            <w:tcW w:w="140" w:type="dxa"/>
            <w:vAlign w:val="bottom"/>
            <w:shd w:val="clear" w:color="auto" w:fill="A0C4DA"/>
          </w:tcPr>
          <w:p>
            <w:pPr>
              <w:spacing w:after="0"/>
              <w:rPr>
                <w:sz w:val="19"/>
                <w:szCs w:val="19"/>
                <w:color w:val="auto"/>
              </w:rPr>
            </w:pPr>
          </w:p>
        </w:tc>
        <w:tc>
          <w:tcPr>
            <w:tcW w:w="780" w:type="dxa"/>
            <w:vAlign w:val="bottom"/>
            <w:gridSpan w:val="2"/>
            <w:shd w:val="clear" w:color="auto" w:fill="A0C4DA"/>
          </w:tcPr>
          <w:p>
            <w:pPr>
              <w:jc w:val="right"/>
              <w:ind w:right="168"/>
              <w:spacing w:after="0"/>
              <w:rPr>
                <w:sz w:val="20"/>
                <w:szCs w:val="20"/>
                <w:color w:val="auto"/>
              </w:rPr>
            </w:pPr>
            <w:r>
              <w:rPr>
                <w:rFonts w:ascii="Arial" w:cs="Arial" w:eastAsia="Arial" w:hAnsi="Arial"/>
                <w:sz w:val="18"/>
                <w:szCs w:val="18"/>
                <w:color w:val="auto"/>
              </w:rPr>
              <w:t>-</w:t>
            </w:r>
          </w:p>
        </w:tc>
        <w:tc>
          <w:tcPr>
            <w:tcW w:w="200" w:type="dxa"/>
            <w:vAlign w:val="bottom"/>
            <w:shd w:val="clear" w:color="auto" w:fill="A0C4DA"/>
          </w:tcPr>
          <w:p>
            <w:pPr>
              <w:spacing w:after="0"/>
              <w:rPr>
                <w:sz w:val="19"/>
                <w:szCs w:val="19"/>
                <w:color w:val="auto"/>
              </w:rPr>
            </w:pPr>
          </w:p>
        </w:tc>
        <w:tc>
          <w:tcPr>
            <w:tcW w:w="940" w:type="dxa"/>
            <w:vAlign w:val="bottom"/>
            <w:gridSpan w:val="2"/>
            <w:shd w:val="clear" w:color="auto" w:fill="A0C4DA"/>
          </w:tcPr>
          <w:p>
            <w:pPr>
              <w:jc w:val="right"/>
              <w:ind w:right="30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A0C4DA"/>
          </w:tcPr>
          <w:p>
            <w:pPr>
              <w:spacing w:after="0"/>
              <w:rPr>
                <w:sz w:val="19"/>
                <w:szCs w:val="19"/>
                <w:color w:val="auto"/>
              </w:rPr>
            </w:pPr>
          </w:p>
        </w:tc>
        <w:tc>
          <w:tcPr>
            <w:tcW w:w="220" w:type="dxa"/>
            <w:vAlign w:val="bottom"/>
            <w:shd w:val="clear" w:color="auto" w:fill="A0C4DA"/>
          </w:tcPr>
          <w:p>
            <w:pPr>
              <w:spacing w:after="0"/>
              <w:rPr>
                <w:sz w:val="19"/>
                <w:szCs w:val="19"/>
                <w:color w:val="auto"/>
              </w:rPr>
            </w:pPr>
          </w:p>
        </w:tc>
        <w:tc>
          <w:tcPr>
            <w:tcW w:w="800" w:type="dxa"/>
            <w:vAlign w:val="bottom"/>
            <w:gridSpan w:val="2"/>
            <w:shd w:val="clear" w:color="auto" w:fill="A0C4DA"/>
          </w:tcPr>
          <w:p>
            <w:pPr>
              <w:jc w:val="right"/>
              <w:ind w:right="3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Difference in property and equipment basis</w:t>
            </w:r>
          </w:p>
        </w:tc>
        <w:tc>
          <w:tcPr>
            <w:tcW w:w="18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A0C4DA"/>
          </w:tcPr>
          <w:p>
            <w:pPr>
              <w:spacing w:after="0"/>
              <w:rPr>
                <w:sz w:val="18"/>
                <w:szCs w:val="18"/>
                <w:color w:val="auto"/>
              </w:rPr>
            </w:pPr>
          </w:p>
        </w:tc>
        <w:tc>
          <w:tcPr>
            <w:tcW w:w="720" w:type="dxa"/>
            <w:vAlign w:val="bottom"/>
            <w:tcBorders>
              <w:bottom w:val="single" w:sz="8" w:color="auto"/>
            </w:tcBorders>
            <w:gridSpan w:val="2"/>
            <w:shd w:val="clear" w:color="auto" w:fill="A0C4DA"/>
          </w:tcPr>
          <w:p>
            <w:pPr>
              <w:jc w:val="right"/>
              <w:ind w:right="208"/>
              <w:spacing w:after="0"/>
              <w:rPr>
                <w:sz w:val="20"/>
                <w:szCs w:val="20"/>
                <w:color w:val="auto"/>
              </w:rPr>
            </w:pPr>
            <w:r>
              <w:rPr>
                <w:rFonts w:ascii="Arial" w:cs="Arial" w:eastAsia="Arial" w:hAnsi="Arial"/>
                <w:sz w:val="18"/>
                <w:szCs w:val="18"/>
                <w:color w:val="auto"/>
              </w:rPr>
              <w:t>291</w:t>
            </w:r>
          </w:p>
        </w:tc>
        <w:tc>
          <w:tcPr>
            <w:tcW w:w="280" w:type="dxa"/>
            <w:vAlign w:val="bottom"/>
            <w:tcBorders>
              <w:bottom w:val="single" w:sz="8" w:color="A0C4DA"/>
            </w:tcBorders>
            <w:shd w:val="clear" w:color="auto" w:fill="A0C4DA"/>
          </w:tcPr>
          <w:p>
            <w:pPr>
              <w:spacing w:after="0"/>
              <w:rPr>
                <w:sz w:val="18"/>
                <w:szCs w:val="18"/>
                <w:color w:val="auto"/>
              </w:rPr>
            </w:pPr>
          </w:p>
        </w:tc>
        <w:tc>
          <w:tcPr>
            <w:tcW w:w="140" w:type="dxa"/>
            <w:vAlign w:val="bottom"/>
            <w:tcBorders>
              <w:bottom w:val="single" w:sz="8" w:color="auto"/>
            </w:tcBorders>
            <w:shd w:val="clear" w:color="auto" w:fill="A0C4DA"/>
          </w:tcPr>
          <w:p>
            <w:pPr>
              <w:spacing w:after="0"/>
              <w:rPr>
                <w:sz w:val="18"/>
                <w:szCs w:val="18"/>
                <w:color w:val="auto"/>
              </w:rPr>
            </w:pPr>
          </w:p>
        </w:tc>
        <w:tc>
          <w:tcPr>
            <w:tcW w:w="780" w:type="dxa"/>
            <w:vAlign w:val="bottom"/>
            <w:tcBorders>
              <w:bottom w:val="single" w:sz="8" w:color="auto"/>
            </w:tcBorders>
            <w:gridSpan w:val="2"/>
            <w:shd w:val="clear" w:color="auto" w:fill="A0C4DA"/>
          </w:tcPr>
          <w:p>
            <w:pPr>
              <w:jc w:val="right"/>
              <w:ind w:right="168"/>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0C4DA"/>
            </w:tcBorders>
            <w:shd w:val="clear" w:color="auto" w:fill="A0C4DA"/>
          </w:tcPr>
          <w:p>
            <w:pPr>
              <w:spacing w:after="0"/>
              <w:rPr>
                <w:sz w:val="18"/>
                <w:szCs w:val="18"/>
                <w:color w:val="auto"/>
              </w:rPr>
            </w:pPr>
          </w:p>
        </w:tc>
        <w:tc>
          <w:tcPr>
            <w:tcW w:w="940" w:type="dxa"/>
            <w:vAlign w:val="bottom"/>
            <w:tcBorders>
              <w:bottom w:val="single" w:sz="8" w:color="auto"/>
            </w:tcBorders>
            <w:gridSpan w:val="2"/>
            <w:shd w:val="clear" w:color="auto" w:fill="A0C4DA"/>
          </w:tcPr>
          <w:p>
            <w:pPr>
              <w:jc w:val="right"/>
              <w:ind w:right="300"/>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A0C4DA"/>
            </w:tcBorders>
            <w:shd w:val="clear" w:color="auto" w:fill="A0C4DA"/>
          </w:tcPr>
          <w:p>
            <w:pPr>
              <w:spacing w:after="0"/>
              <w:rPr>
                <w:sz w:val="18"/>
                <w:szCs w:val="18"/>
                <w:color w:val="auto"/>
              </w:rPr>
            </w:pPr>
          </w:p>
        </w:tc>
        <w:tc>
          <w:tcPr>
            <w:tcW w:w="220" w:type="dxa"/>
            <w:vAlign w:val="bottom"/>
            <w:tcBorders>
              <w:bottom w:val="single" w:sz="8" w:color="auto"/>
            </w:tcBorders>
            <w:shd w:val="clear" w:color="auto" w:fill="A0C4DA"/>
          </w:tcPr>
          <w:p>
            <w:pPr>
              <w:spacing w:after="0"/>
              <w:rPr>
                <w:sz w:val="18"/>
                <w:szCs w:val="18"/>
                <w:color w:val="auto"/>
              </w:rPr>
            </w:pPr>
          </w:p>
        </w:tc>
        <w:tc>
          <w:tcPr>
            <w:tcW w:w="800" w:type="dxa"/>
            <w:vAlign w:val="bottom"/>
            <w:tcBorders>
              <w:bottom w:val="single" w:sz="8" w:color="auto"/>
            </w:tcBorders>
            <w:gridSpan w:val="2"/>
            <w:shd w:val="clear" w:color="auto" w:fill="A0C4DA"/>
          </w:tcPr>
          <w:p>
            <w:pPr>
              <w:jc w:val="right"/>
              <w:ind w:right="360"/>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net deferred income tax asset</w:t>
            </w:r>
          </w:p>
        </w:tc>
        <w:tc>
          <w:tcPr>
            <w:tcW w:w="18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w w:val="93"/>
              </w:rPr>
              <w:t>2,987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1,857</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auto"/>
            </w:tcBorders>
            <w:shd w:val="clear" w:color="auto" w:fill="A0C4DA"/>
          </w:tcPr>
          <w:p>
            <w:pPr>
              <w:spacing w:after="0"/>
              <w:rPr>
                <w:sz w:val="18"/>
                <w:szCs w:val="18"/>
                <w:color w:val="auto"/>
              </w:rPr>
            </w:pPr>
          </w:p>
        </w:tc>
        <w:tc>
          <w:tcPr>
            <w:tcW w:w="720" w:type="dxa"/>
            <w:vAlign w:val="bottom"/>
            <w:tcBorders>
              <w:bottom w:val="single" w:sz="8" w:color="auto"/>
            </w:tcBorders>
            <w:gridSpan w:val="2"/>
            <w:shd w:val="clear" w:color="auto" w:fill="A0C4DA"/>
          </w:tcPr>
          <w:p>
            <w:pPr>
              <w:jc w:val="right"/>
              <w:ind w:right="20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0C4DA"/>
            </w:tcBorders>
            <w:shd w:val="clear" w:color="auto" w:fill="A0C4DA"/>
          </w:tcPr>
          <w:p>
            <w:pPr>
              <w:spacing w:after="0"/>
              <w:rPr>
                <w:sz w:val="18"/>
                <w:szCs w:val="18"/>
                <w:color w:val="auto"/>
              </w:rPr>
            </w:pPr>
          </w:p>
        </w:tc>
        <w:tc>
          <w:tcPr>
            <w:tcW w:w="140" w:type="dxa"/>
            <w:vAlign w:val="bottom"/>
            <w:tcBorders>
              <w:bottom w:val="single" w:sz="8" w:color="auto"/>
            </w:tcBorders>
            <w:shd w:val="clear" w:color="auto" w:fill="A0C4DA"/>
          </w:tcPr>
          <w:p>
            <w:pPr>
              <w:spacing w:after="0"/>
              <w:rPr>
                <w:sz w:val="18"/>
                <w:szCs w:val="18"/>
                <w:color w:val="auto"/>
              </w:rPr>
            </w:pPr>
          </w:p>
        </w:tc>
        <w:tc>
          <w:tcPr>
            <w:tcW w:w="780" w:type="dxa"/>
            <w:vAlign w:val="bottom"/>
            <w:tcBorders>
              <w:bottom w:val="single" w:sz="8" w:color="auto"/>
            </w:tcBorders>
            <w:gridSpan w:val="2"/>
            <w:shd w:val="clear" w:color="auto" w:fill="A0C4DA"/>
          </w:tcPr>
          <w:p>
            <w:pPr>
              <w:jc w:val="right"/>
              <w:ind w:right="128"/>
              <w:spacing w:after="0"/>
              <w:rPr>
                <w:sz w:val="20"/>
                <w:szCs w:val="20"/>
                <w:color w:val="auto"/>
              </w:rPr>
            </w:pPr>
            <w:r>
              <w:rPr>
                <w:rFonts w:ascii="Arial" w:cs="Arial" w:eastAsia="Arial" w:hAnsi="Arial"/>
                <w:sz w:val="18"/>
                <w:szCs w:val="18"/>
                <w:color w:val="auto"/>
                <w:w w:val="98"/>
              </w:rPr>
              <w:t>(1,066)</w:t>
            </w:r>
          </w:p>
        </w:tc>
        <w:tc>
          <w:tcPr>
            <w:tcW w:w="200" w:type="dxa"/>
            <w:vAlign w:val="bottom"/>
            <w:tcBorders>
              <w:bottom w:val="single" w:sz="8" w:color="A0C4DA"/>
            </w:tcBorders>
            <w:shd w:val="clear" w:color="auto" w:fill="A0C4DA"/>
          </w:tcPr>
          <w:p>
            <w:pPr>
              <w:spacing w:after="0"/>
              <w:rPr>
                <w:sz w:val="18"/>
                <w:szCs w:val="18"/>
                <w:color w:val="auto"/>
              </w:rPr>
            </w:pPr>
          </w:p>
        </w:tc>
        <w:tc>
          <w:tcPr>
            <w:tcW w:w="940" w:type="dxa"/>
            <w:vAlign w:val="bottom"/>
            <w:tcBorders>
              <w:bottom w:val="single" w:sz="8" w:color="auto"/>
            </w:tcBorders>
            <w:gridSpan w:val="2"/>
            <w:shd w:val="clear" w:color="auto" w:fill="A0C4DA"/>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0C4DA"/>
            </w:tcBorders>
            <w:shd w:val="clear" w:color="auto" w:fill="A0C4DA"/>
          </w:tcPr>
          <w:p>
            <w:pPr>
              <w:spacing w:after="0"/>
              <w:rPr>
                <w:sz w:val="18"/>
                <w:szCs w:val="18"/>
                <w:color w:val="auto"/>
              </w:rPr>
            </w:pPr>
          </w:p>
        </w:tc>
        <w:tc>
          <w:tcPr>
            <w:tcW w:w="220" w:type="dxa"/>
            <w:vAlign w:val="bottom"/>
            <w:tcBorders>
              <w:bottom w:val="single" w:sz="8" w:color="auto"/>
            </w:tcBorders>
            <w:shd w:val="clear" w:color="auto" w:fill="A0C4DA"/>
          </w:tcPr>
          <w:p>
            <w:pPr>
              <w:spacing w:after="0"/>
              <w:rPr>
                <w:sz w:val="18"/>
                <w:szCs w:val="18"/>
                <w:color w:val="auto"/>
              </w:rPr>
            </w:pPr>
          </w:p>
        </w:tc>
        <w:tc>
          <w:tcPr>
            <w:tcW w:w="800" w:type="dxa"/>
            <w:vAlign w:val="bottom"/>
            <w:tcBorders>
              <w:bottom w:val="single" w:sz="8" w:color="auto"/>
            </w:tcBorders>
            <w:gridSpan w:val="2"/>
            <w:shd w:val="clear" w:color="auto" w:fill="A0C4DA"/>
          </w:tcPr>
          <w:p>
            <w:pPr>
              <w:jc w:val="right"/>
              <w:ind w:right="320"/>
              <w:spacing w:after="0"/>
              <w:rPr>
                <w:sz w:val="20"/>
                <w:szCs w:val="20"/>
                <w:color w:val="auto"/>
              </w:rPr>
            </w:pPr>
            <w:r>
              <w:rPr>
                <w:rFonts w:ascii="Arial" w:cs="Arial" w:eastAsia="Arial" w:hAnsi="Arial"/>
                <w:sz w:val="18"/>
                <w:szCs w:val="18"/>
                <w:color w:val="auto"/>
              </w:rPr>
              <w:t>(944)</w:t>
            </w:r>
          </w:p>
        </w:tc>
      </w:tr>
      <w:tr>
        <w:trPr>
          <w:trHeight w:val="196"/>
        </w:trPr>
        <w:tc>
          <w:tcPr>
            <w:tcW w:w="20" w:type="dxa"/>
            <w:vAlign w:val="bottom"/>
          </w:tcPr>
          <w:p>
            <w:pPr>
              <w:spacing w:after="0"/>
              <w:rPr>
                <w:sz w:val="17"/>
                <w:szCs w:val="17"/>
                <w:color w:val="auto"/>
              </w:rPr>
            </w:pPr>
          </w:p>
        </w:tc>
        <w:tc>
          <w:tcPr>
            <w:tcW w:w="4100" w:type="dxa"/>
            <w:vAlign w:val="bottom"/>
          </w:tcPr>
          <w:p>
            <w:pPr>
              <w:spacing w:after="0" w:line="196" w:lineRule="exact"/>
              <w:rPr>
                <w:sz w:val="20"/>
                <w:szCs w:val="20"/>
                <w:color w:val="auto"/>
              </w:rPr>
            </w:pPr>
            <w:r>
              <w:rPr>
                <w:rFonts w:ascii="Arial" w:cs="Arial" w:eastAsia="Arial" w:hAnsi="Arial"/>
                <w:sz w:val="18"/>
                <w:szCs w:val="18"/>
                <w:color w:val="auto"/>
              </w:rPr>
              <w:t>Net deferred income tax asset (liability)</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8"/>
              <w:spacing w:after="0" w:line="196" w:lineRule="exact"/>
              <w:rPr>
                <w:sz w:val="20"/>
                <w:szCs w:val="20"/>
                <w:color w:val="auto"/>
              </w:rPr>
            </w:pPr>
            <w:r>
              <w:rPr>
                <w:rFonts w:ascii="Arial" w:cs="Arial" w:eastAsia="Arial" w:hAnsi="Arial"/>
                <w:sz w:val="18"/>
                <w:szCs w:val="18"/>
                <w:color w:val="auto"/>
                <w:w w:val="93"/>
              </w:rPr>
              <w:t>2,987</w:t>
            </w:r>
          </w:p>
        </w:tc>
        <w:tc>
          <w:tcPr>
            <w:tcW w:w="4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8"/>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9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$3,389</w:t>
            </w:r>
          </w:p>
        </w:tc>
        <w:tc>
          <w:tcPr>
            <w:tcW w:w="20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913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20" w:right="1139"/>
        <w:spacing w:after="0" w:line="277" w:lineRule="auto"/>
        <w:rPr>
          <w:sz w:val="20"/>
          <w:szCs w:val="20"/>
          <w:color w:val="auto"/>
        </w:rPr>
      </w:pPr>
      <w:r>
        <w:rPr>
          <w:rFonts w:ascii="Arial" w:cs="Arial" w:eastAsia="Arial" w:hAnsi="Arial"/>
          <w:sz w:val="19"/>
          <w:szCs w:val="19"/>
          <w:color w:val="auto"/>
        </w:rPr>
        <w:t xml:space="preserve">The Company has not provided for U.S. deferred income taxes or foreign withholding taxes on undistributed earnings of its non-U.S. subsidiary located in Hong Kong since these earnings are intended to be reinvested indefinitely in operations in Hong Kong, in accordance with guidelines contained in ASC Topic 740, </w:t>
      </w:r>
      <w:r>
        <w:rPr>
          <w:rFonts w:ascii="Arial" w:cs="Arial" w:eastAsia="Arial" w:hAnsi="Arial"/>
          <w:sz w:val="19"/>
          <w:szCs w:val="19"/>
          <w:i w:val="1"/>
          <w:iCs w:val="1"/>
          <w:color w:val="auto"/>
        </w:rPr>
        <w:t>Accounting for Income Taxes</w:t>
      </w:r>
      <w:r>
        <w:rPr>
          <w:rFonts w:ascii="Arial" w:cs="Arial" w:eastAsia="Arial" w:hAnsi="Arial"/>
          <w:sz w:val="19"/>
          <w:szCs w:val="19"/>
          <w:color w:val="auto"/>
        </w:rPr>
        <w:t>. It is not practical to estimate the amount of additional taxes that might be payable on such undistributed earnings. For other non-U.S. subsidiaries the Company provides for U.S. deferred income taxes or foreign withholding taxes on undistributed earnings. As of December 31, 2011 there were no significant earnings on which to provide U.S. taxes.</w:t>
      </w:r>
    </w:p>
    <w:p>
      <w:pPr>
        <w:spacing w:after="0" w:line="180" w:lineRule="exact"/>
        <w:rPr>
          <w:sz w:val="20"/>
          <w:szCs w:val="20"/>
          <w:color w:val="auto"/>
        </w:rPr>
      </w:pPr>
    </w:p>
    <w:p>
      <w:pPr>
        <w:ind w:left="20" w:right="1379"/>
        <w:spacing w:after="0" w:line="236" w:lineRule="auto"/>
        <w:rPr>
          <w:sz w:val="20"/>
          <w:szCs w:val="20"/>
          <w:color w:val="auto"/>
        </w:rPr>
      </w:pPr>
      <w:r>
        <w:rPr>
          <w:rFonts w:ascii="Arial" w:cs="Arial" w:eastAsia="Arial" w:hAnsi="Arial"/>
          <w:sz w:val="22"/>
          <w:szCs w:val="22"/>
          <w:color w:val="auto"/>
        </w:rPr>
        <w:t>In accordance with ASC Topic 740, the Company analyzed its valuation allowance at December 31, 2011 and determined that, based upon available evidence, it is more likely than not that certain of its deferred tax assets may not be realized and, as such, has established a valuation allowance against certain deferred tax assets. These deferred tax assets include capital loss carryovers and state research and development credits.</w:t>
      </w:r>
    </w:p>
    <w:p>
      <w:pPr>
        <w:spacing w:after="0" w:line="215" w:lineRule="exact"/>
        <w:rPr>
          <w:sz w:val="20"/>
          <w:szCs w:val="20"/>
          <w:color w:val="auto"/>
        </w:rPr>
      </w:pPr>
    </w:p>
    <w:p>
      <w:pPr>
        <w:ind w:left="20" w:right="1399"/>
        <w:spacing w:after="0" w:line="297" w:lineRule="auto"/>
        <w:rPr>
          <w:sz w:val="20"/>
          <w:szCs w:val="20"/>
          <w:color w:val="auto"/>
        </w:rPr>
      </w:pPr>
      <w:r>
        <w:rPr>
          <w:rFonts w:ascii="Arial" w:cs="Arial" w:eastAsia="Arial" w:hAnsi="Arial"/>
          <w:sz w:val="19"/>
          <w:szCs w:val="19"/>
          <w:color w:val="auto"/>
        </w:rPr>
        <w:t>As of December 31, 2011, the Company had state research credit carryforwards of $1,033,which will begin to expire in 2016 if not utilized. The Company has federal net operating loss (“NOL”) carryforwards of approximately $1,070. The federal NOL carryforwards will begin to expire in 2028.</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1"/>
          <w:szCs w:val="21"/>
          <w:color w:val="auto"/>
        </w:rPr>
        <w:t>The Company adopted the provisions of Topic 740 related to uncertain tax positions on July 1,</w:t>
      </w:r>
    </w:p>
    <w:p>
      <w:pPr>
        <w:spacing w:after="0" w:line="20" w:lineRule="exact"/>
        <w:rPr>
          <w:sz w:val="20"/>
          <w:szCs w:val="20"/>
          <w:color w:val="auto"/>
        </w:rPr>
      </w:pPr>
    </w:p>
    <w:p>
      <w:pPr>
        <w:ind w:left="20" w:right="1199"/>
        <w:spacing w:after="0" w:line="249" w:lineRule="auto"/>
        <w:rPr>
          <w:sz w:val="20"/>
          <w:szCs w:val="20"/>
          <w:color w:val="auto"/>
        </w:rPr>
      </w:pPr>
      <w:r>
        <w:rPr>
          <w:rFonts w:ascii="Arial" w:cs="Arial" w:eastAsia="Arial" w:hAnsi="Arial"/>
          <w:sz w:val="21"/>
          <w:szCs w:val="21"/>
          <w:color w:val="auto"/>
        </w:rPr>
        <w:t>2007. This interpretation clarifies the accounting for uncertain tax positions and requires companies to recognize the impact of a tax position in their financial statements if that position is more likely than not of being sustained on audit, based on the technical merits of the position.</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total liability for unrecognized tax benefits at December 31, 2011 and 2010, including temporary tax</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9"/>
          <w:szCs w:val="19"/>
          <w:color w:val="auto"/>
        </w:rPr>
        <w:t>differences, was $548 and $421, respectively, of which $548 and $421, respectively, would favorably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impact our effective tax rate if recognized. As of December 31, 2011 and 2010, we accrued $24 and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$17, respectively, in interest and penalties related to unrecognized tax benefits. We account for interest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expense and penalties for unrecognized tax benefits as part of our income tax provision. We do not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anticipate that unrecognized tax benefits will significantly increase or decrease within 12 months of the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reporting date.</w:t>
      </w:r>
    </w:p>
    <w:p>
      <w:pPr>
        <w:sectPr>
          <w:pgSz w:w="11900" w:h="16838" w:orient="portrait"/>
          <w:cols w:equalWidth="0" w:num="1">
            <w:col w:w="10239"/>
          </w:cols>
          <w:pgMar w:left="22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365F91"/>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236855</wp:posOffset>
            </wp:positionV>
            <wp:extent cx="576326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39"/>
          </w:cols>
          <w:pgMar w:left="220" w:top="112" w:right="1440" w:bottom="1440" w:gutter="0" w:footer="0" w:header="0"/>
          <w:type w:val="continuous"/>
        </w:sectPr>
      </w:pPr>
    </w:p>
    <w:bookmarkStart w:id="88" w:name="page89"/>
    <w:bookmarkEnd w:id="88"/>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10" w:lineRule="exact"/>
        <w:rPr>
          <w:sz w:val="20"/>
          <w:szCs w:val="20"/>
          <w:color w:val="auto"/>
        </w:rPr>
      </w:pPr>
    </w:p>
    <w:p>
      <w:pPr>
        <w:ind w:right="1179"/>
        <w:spacing w:after="0" w:line="247" w:lineRule="auto"/>
        <w:rPr>
          <w:sz w:val="20"/>
          <w:szCs w:val="20"/>
          <w:color w:val="auto"/>
        </w:rPr>
      </w:pPr>
      <w:r>
        <w:rPr>
          <w:rFonts w:ascii="Arial" w:cs="Arial" w:eastAsia="Arial" w:hAnsi="Arial"/>
          <w:sz w:val="21"/>
          <w:szCs w:val="21"/>
          <w:color w:val="auto"/>
        </w:rPr>
        <w:t>During the twelve month period ended December 31, 2011, we increased our liability for unrecognized tax benefits by $127. This increase in our unrecognized tax benefits is mainly a result of utilizing certain tax attributes for which we typically record an unrecognized tax benefit. We recorded an unrecognized tax benefit related to the lapse of applicable statute of limitations of $22 which favorably impacted our effective tax rate. We also added $229 which had an unfavorable impact on our effective tax rate. We recorded an unrecognized tax benefit of $88 related to changes in position regarding federal research and development credits.</w:t>
      </w:r>
    </w:p>
    <w:p>
      <w:pPr>
        <w:spacing w:after="0" w:line="205" w:lineRule="exact"/>
        <w:rPr>
          <w:sz w:val="20"/>
          <w:szCs w:val="20"/>
          <w:color w:val="auto"/>
        </w:rPr>
      </w:pPr>
    </w:p>
    <w:p>
      <w:pPr>
        <w:ind w:right="1259"/>
        <w:spacing w:after="0" w:line="246" w:lineRule="auto"/>
        <w:rPr>
          <w:sz w:val="20"/>
          <w:szCs w:val="20"/>
          <w:color w:val="auto"/>
        </w:rPr>
      </w:pPr>
      <w:r>
        <w:rPr>
          <w:rFonts w:ascii="Arial" w:cs="Arial" w:eastAsia="Arial" w:hAnsi="Arial"/>
          <w:sz w:val="21"/>
          <w:szCs w:val="21"/>
          <w:color w:val="auto"/>
        </w:rPr>
        <w:t>During the twelve month period ended December 31, 2010, we decreased our liability for unrecognized tax benefits by $883. This decrease in our unrecognized tax benefits is mainly a result of a settlement with taxing authorities on the utilization of certain tax attributes for which we typically record an unrecognized tax benefit. We recorded a benefit related to the settlement of $937, of which $864 favorably impacted our effective tax rate. We also recorded an unrecognized tax benefit related to the lapse of applicable statute of limitations of $99, of which $99 favorably impacted our effective tax rate. We also added $220 to our liability for unrecognized tax benefits, of which $220 had an unfavorable impact on our effective tax rate.</w:t>
      </w:r>
    </w:p>
    <w:p>
      <w:pPr>
        <w:spacing w:after="0" w:line="208" w:lineRule="exact"/>
        <w:rPr>
          <w:sz w:val="20"/>
          <w:szCs w:val="20"/>
          <w:color w:val="auto"/>
        </w:rPr>
      </w:pPr>
    </w:p>
    <w:p>
      <w:pPr>
        <w:ind w:right="1259"/>
        <w:spacing w:after="0" w:line="252" w:lineRule="auto"/>
        <w:rPr>
          <w:sz w:val="20"/>
          <w:szCs w:val="20"/>
          <w:color w:val="auto"/>
        </w:rPr>
      </w:pPr>
      <w:r>
        <w:rPr>
          <w:rFonts w:ascii="Arial" w:cs="Arial" w:eastAsia="Arial" w:hAnsi="Arial"/>
          <w:sz w:val="21"/>
          <w:szCs w:val="21"/>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201" w:lineRule="exact"/>
        <w:rPr>
          <w:sz w:val="20"/>
          <w:szCs w:val="20"/>
          <w:color w:val="auto"/>
        </w:rPr>
      </w:pPr>
    </w:p>
    <w:p>
      <w:pPr>
        <w:ind w:right="1139"/>
        <w:spacing w:after="0" w:line="251" w:lineRule="auto"/>
        <w:rPr>
          <w:sz w:val="20"/>
          <w:szCs w:val="20"/>
          <w:color w:val="auto"/>
        </w:rPr>
      </w:pPr>
      <w:r>
        <w:rPr>
          <w:rFonts w:ascii="Arial" w:cs="Arial" w:eastAsia="Arial" w:hAnsi="Arial"/>
          <w:sz w:val="22"/>
          <w:szCs w:val="22"/>
          <w:color w:val="auto"/>
        </w:rPr>
        <w:t>A reconciliation of the beginning and ending amount of liabilities associated with uncertain tax positions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r>
      <w:tr>
        <w:trPr>
          <w:trHeight w:val="223"/>
        </w:trPr>
        <w:tc>
          <w:tcPr>
            <w:tcW w:w="20" w:type="dxa"/>
            <w:vAlign w:val="bottom"/>
          </w:tcPr>
          <w:p>
            <w:pPr>
              <w:spacing w:after="0"/>
              <w:rPr>
                <w:sz w:val="19"/>
                <w:szCs w:val="19"/>
                <w:color w:val="auto"/>
              </w:rPr>
            </w:pPr>
          </w:p>
        </w:tc>
        <w:tc>
          <w:tcPr>
            <w:tcW w:w="4020" w:type="dxa"/>
            <w:vAlign w:val="bottom"/>
            <w:shd w:val="clear" w:color="auto" w:fill="A0C4DA"/>
          </w:tcPr>
          <w:p>
            <w:pPr>
              <w:spacing w:after="0"/>
              <w:rPr>
                <w:sz w:val="20"/>
                <w:szCs w:val="20"/>
                <w:color w:val="auto"/>
              </w:rPr>
            </w:pPr>
            <w:r>
              <w:rPr>
                <w:rFonts w:ascii="Arial" w:cs="Arial" w:eastAsia="Arial" w:hAnsi="Arial"/>
                <w:sz w:val="18"/>
                <w:szCs w:val="18"/>
                <w:color w:val="auto"/>
              </w:rPr>
              <w:t>Unrecognized tax benefits, beginning balance</w:t>
            </w:r>
          </w:p>
        </w:tc>
        <w:tc>
          <w:tcPr>
            <w:tcW w:w="400" w:type="dxa"/>
            <w:vAlign w:val="bottom"/>
            <w:shd w:val="clear" w:color="auto" w:fill="A0C4DA"/>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A0C4DA"/>
          </w:tcPr>
          <w:p>
            <w:pPr>
              <w:jc w:val="right"/>
              <w:ind w:right="194"/>
              <w:spacing w:after="0"/>
              <w:rPr>
                <w:sz w:val="20"/>
                <w:szCs w:val="20"/>
                <w:color w:val="auto"/>
              </w:rPr>
            </w:pPr>
            <w:r>
              <w:rPr>
                <w:rFonts w:ascii="Arial" w:cs="Arial" w:eastAsia="Arial" w:hAnsi="Arial"/>
                <w:sz w:val="18"/>
                <w:szCs w:val="18"/>
                <w:color w:val="auto"/>
              </w:rPr>
              <w:t>404</w:t>
            </w:r>
          </w:p>
        </w:tc>
        <w:tc>
          <w:tcPr>
            <w:tcW w:w="460" w:type="dxa"/>
            <w:vAlign w:val="bottom"/>
            <w:shd w:val="clear" w:color="auto" w:fill="A0C4DA"/>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A0C4DA"/>
          </w:tcPr>
          <w:p>
            <w:pPr>
              <w:jc w:val="right"/>
              <w:ind w:right="272"/>
              <w:spacing w:after="0"/>
              <w:rPr>
                <w:sz w:val="20"/>
                <w:szCs w:val="20"/>
                <w:color w:val="auto"/>
              </w:rPr>
            </w:pPr>
            <w:r>
              <w:rPr>
                <w:rFonts w:ascii="Arial" w:cs="Arial" w:eastAsia="Arial" w:hAnsi="Arial"/>
                <w:sz w:val="18"/>
                <w:szCs w:val="18"/>
                <w:color w:val="auto"/>
              </w:rPr>
              <w:t>1,220</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Tax positions taken in a prior period:</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A0C4DA"/>
          </w:tcPr>
          <w:p>
            <w:pPr>
              <w:ind w:left="160"/>
              <w:spacing w:after="0"/>
              <w:rPr>
                <w:sz w:val="20"/>
                <w:szCs w:val="20"/>
                <w:color w:val="auto"/>
              </w:rPr>
            </w:pPr>
            <w:r>
              <w:rPr>
                <w:rFonts w:ascii="Arial" w:cs="Arial" w:eastAsia="Arial" w:hAnsi="Arial"/>
                <w:sz w:val="18"/>
                <w:szCs w:val="18"/>
                <w:color w:val="auto"/>
              </w:rPr>
              <w:t>Gross increases</w:t>
            </w:r>
          </w:p>
        </w:tc>
        <w:tc>
          <w:tcPr>
            <w:tcW w:w="400" w:type="dxa"/>
            <w:vAlign w:val="bottom"/>
            <w:shd w:val="clear" w:color="auto" w:fill="A0C4DA"/>
          </w:tcPr>
          <w:p>
            <w:pPr>
              <w:spacing w:after="0"/>
              <w:rPr>
                <w:sz w:val="19"/>
                <w:szCs w:val="19"/>
                <w:color w:val="auto"/>
              </w:rPr>
            </w:pPr>
          </w:p>
        </w:tc>
        <w:tc>
          <w:tcPr>
            <w:tcW w:w="980" w:type="dxa"/>
            <w:vAlign w:val="bottom"/>
            <w:shd w:val="clear" w:color="auto" w:fill="A0C4DA"/>
          </w:tcPr>
          <w:p>
            <w:pPr>
              <w:jc w:val="right"/>
              <w:ind w:right="194"/>
              <w:spacing w:after="0"/>
              <w:rPr>
                <w:sz w:val="20"/>
                <w:szCs w:val="20"/>
                <w:color w:val="auto"/>
              </w:rPr>
            </w:pPr>
            <w:r>
              <w:rPr>
                <w:rFonts w:ascii="Arial" w:cs="Arial" w:eastAsia="Arial" w:hAnsi="Arial"/>
                <w:sz w:val="18"/>
                <w:szCs w:val="18"/>
                <w:color w:val="auto"/>
              </w:rPr>
              <w:t>-</w:t>
            </w:r>
          </w:p>
        </w:tc>
        <w:tc>
          <w:tcPr>
            <w:tcW w:w="460" w:type="dxa"/>
            <w:vAlign w:val="bottom"/>
            <w:shd w:val="clear" w:color="auto" w:fill="A0C4DA"/>
          </w:tcPr>
          <w:p>
            <w:pPr>
              <w:spacing w:after="0"/>
              <w:rPr>
                <w:sz w:val="19"/>
                <w:szCs w:val="19"/>
                <w:color w:val="auto"/>
              </w:rPr>
            </w:pPr>
          </w:p>
        </w:tc>
        <w:tc>
          <w:tcPr>
            <w:tcW w:w="920" w:type="dxa"/>
            <w:vAlign w:val="bottom"/>
            <w:shd w:val="clear" w:color="auto" w:fill="A0C4DA"/>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Gross decreases</w:t>
            </w:r>
          </w:p>
        </w:tc>
        <w:tc>
          <w:tcPr>
            <w:tcW w:w="40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20" w:type="dxa"/>
            <w:vAlign w:val="bottom"/>
            <w:shd w:val="clear" w:color="auto" w:fill="A0C4DA"/>
          </w:tcPr>
          <w:p>
            <w:pPr>
              <w:spacing w:after="0"/>
              <w:rPr>
                <w:sz w:val="20"/>
                <w:szCs w:val="20"/>
                <w:color w:val="auto"/>
              </w:rPr>
            </w:pPr>
            <w:r>
              <w:rPr>
                <w:rFonts w:ascii="Arial" w:cs="Arial" w:eastAsia="Arial" w:hAnsi="Arial"/>
                <w:sz w:val="18"/>
                <w:szCs w:val="18"/>
                <w:color w:val="auto"/>
              </w:rPr>
              <w:t>Tax positions taken in the current period:</w:t>
            </w:r>
          </w:p>
        </w:tc>
        <w:tc>
          <w:tcPr>
            <w:tcW w:w="400" w:type="dxa"/>
            <w:vAlign w:val="bottom"/>
            <w:shd w:val="clear" w:color="auto" w:fill="A0C4DA"/>
          </w:tcPr>
          <w:p>
            <w:pPr>
              <w:spacing w:after="0"/>
              <w:rPr>
                <w:sz w:val="19"/>
                <w:szCs w:val="19"/>
                <w:color w:val="auto"/>
              </w:rPr>
            </w:pPr>
          </w:p>
        </w:tc>
        <w:tc>
          <w:tcPr>
            <w:tcW w:w="980" w:type="dxa"/>
            <w:vAlign w:val="bottom"/>
            <w:shd w:val="clear" w:color="auto" w:fill="A0C4DA"/>
          </w:tcPr>
          <w:p>
            <w:pPr>
              <w:spacing w:after="0"/>
              <w:rPr>
                <w:sz w:val="19"/>
                <w:szCs w:val="19"/>
                <w:color w:val="auto"/>
              </w:rPr>
            </w:pPr>
          </w:p>
        </w:tc>
        <w:tc>
          <w:tcPr>
            <w:tcW w:w="460" w:type="dxa"/>
            <w:vAlign w:val="bottom"/>
            <w:shd w:val="clear" w:color="auto" w:fill="A0C4DA"/>
          </w:tcPr>
          <w:p>
            <w:pPr>
              <w:spacing w:after="0"/>
              <w:rPr>
                <w:sz w:val="19"/>
                <w:szCs w:val="19"/>
                <w:color w:val="auto"/>
              </w:rPr>
            </w:pPr>
          </w:p>
        </w:tc>
        <w:tc>
          <w:tcPr>
            <w:tcW w:w="920" w:type="dxa"/>
            <w:vAlign w:val="bottom"/>
            <w:shd w:val="clear" w:color="auto" w:fill="A0C4DA"/>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Gross increases</w:t>
            </w:r>
          </w:p>
        </w:tc>
        <w:tc>
          <w:tcPr>
            <w:tcW w:w="4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229</w:t>
            </w:r>
          </w:p>
        </w:tc>
        <w:tc>
          <w:tcPr>
            <w:tcW w:w="46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220</w:t>
            </w:r>
          </w:p>
        </w:tc>
      </w:tr>
      <w:tr>
        <w:trPr>
          <w:trHeight w:val="230"/>
        </w:trPr>
        <w:tc>
          <w:tcPr>
            <w:tcW w:w="20" w:type="dxa"/>
            <w:vAlign w:val="bottom"/>
          </w:tcPr>
          <w:p>
            <w:pPr>
              <w:spacing w:after="0"/>
              <w:rPr>
                <w:sz w:val="19"/>
                <w:szCs w:val="19"/>
                <w:color w:val="auto"/>
              </w:rPr>
            </w:pPr>
          </w:p>
        </w:tc>
        <w:tc>
          <w:tcPr>
            <w:tcW w:w="4020" w:type="dxa"/>
            <w:vAlign w:val="bottom"/>
            <w:shd w:val="clear" w:color="auto" w:fill="A0C4DA"/>
          </w:tcPr>
          <w:p>
            <w:pPr>
              <w:ind w:left="160"/>
              <w:spacing w:after="0"/>
              <w:rPr>
                <w:sz w:val="20"/>
                <w:szCs w:val="20"/>
                <w:color w:val="auto"/>
              </w:rPr>
            </w:pPr>
            <w:r>
              <w:rPr>
                <w:rFonts w:ascii="Arial" w:cs="Arial" w:eastAsia="Arial" w:hAnsi="Arial"/>
                <w:sz w:val="18"/>
                <w:szCs w:val="18"/>
                <w:color w:val="auto"/>
              </w:rPr>
              <w:t>Gross decreases</w:t>
            </w:r>
          </w:p>
        </w:tc>
        <w:tc>
          <w:tcPr>
            <w:tcW w:w="400" w:type="dxa"/>
            <w:vAlign w:val="bottom"/>
            <w:shd w:val="clear" w:color="auto" w:fill="A0C4DA"/>
          </w:tcPr>
          <w:p>
            <w:pPr>
              <w:spacing w:after="0"/>
              <w:rPr>
                <w:sz w:val="19"/>
                <w:szCs w:val="19"/>
                <w:color w:val="auto"/>
              </w:rPr>
            </w:pPr>
          </w:p>
        </w:tc>
        <w:tc>
          <w:tcPr>
            <w:tcW w:w="980" w:type="dxa"/>
            <w:vAlign w:val="bottom"/>
            <w:shd w:val="clear" w:color="auto" w:fill="A0C4DA"/>
          </w:tcPr>
          <w:p>
            <w:pPr>
              <w:jc w:val="right"/>
              <w:ind w:right="194"/>
              <w:spacing w:after="0"/>
              <w:rPr>
                <w:sz w:val="20"/>
                <w:szCs w:val="20"/>
                <w:color w:val="auto"/>
              </w:rPr>
            </w:pPr>
            <w:r>
              <w:rPr>
                <w:rFonts w:ascii="Arial" w:cs="Arial" w:eastAsia="Arial" w:hAnsi="Arial"/>
                <w:sz w:val="18"/>
                <w:szCs w:val="18"/>
                <w:color w:val="auto"/>
              </w:rPr>
              <w:t>-</w:t>
            </w:r>
          </w:p>
        </w:tc>
        <w:tc>
          <w:tcPr>
            <w:tcW w:w="460" w:type="dxa"/>
            <w:vAlign w:val="bottom"/>
            <w:shd w:val="clear" w:color="auto" w:fill="A0C4DA"/>
          </w:tcPr>
          <w:p>
            <w:pPr>
              <w:spacing w:after="0"/>
              <w:rPr>
                <w:sz w:val="19"/>
                <w:szCs w:val="19"/>
                <w:color w:val="auto"/>
              </w:rPr>
            </w:pPr>
          </w:p>
        </w:tc>
        <w:tc>
          <w:tcPr>
            <w:tcW w:w="920" w:type="dxa"/>
            <w:vAlign w:val="bottom"/>
            <w:shd w:val="clear" w:color="auto" w:fill="A0C4DA"/>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4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(937)</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0C4DA"/>
            </w:tcBorders>
            <w:shd w:val="clear" w:color="auto" w:fill="A0C4DA"/>
          </w:tcPr>
          <w:p>
            <w:pPr>
              <w:spacing w:after="0"/>
              <w:rPr>
                <w:sz w:val="20"/>
                <w:szCs w:val="20"/>
                <w:color w:val="auto"/>
              </w:rPr>
            </w:pPr>
            <w:r>
              <w:rPr>
                <w:rFonts w:ascii="Arial" w:cs="Arial" w:eastAsia="Arial" w:hAnsi="Arial"/>
                <w:sz w:val="18"/>
                <w:szCs w:val="18"/>
                <w:color w:val="auto"/>
              </w:rPr>
              <w:t>Lapse of applicable statute of limitations</w:t>
            </w:r>
          </w:p>
        </w:tc>
        <w:tc>
          <w:tcPr>
            <w:tcW w:w="400" w:type="dxa"/>
            <w:vAlign w:val="bottom"/>
            <w:tcBorders>
              <w:bottom w:val="single" w:sz="8" w:color="auto"/>
            </w:tcBorders>
            <w:shd w:val="clear" w:color="auto" w:fill="A0C4DA"/>
          </w:tcPr>
          <w:p>
            <w:pPr>
              <w:spacing w:after="0"/>
              <w:rPr>
                <w:sz w:val="18"/>
                <w:szCs w:val="18"/>
                <w:color w:val="auto"/>
              </w:rPr>
            </w:pPr>
          </w:p>
        </w:tc>
        <w:tc>
          <w:tcPr>
            <w:tcW w:w="980" w:type="dxa"/>
            <w:vAlign w:val="bottom"/>
            <w:tcBorders>
              <w:bottom w:val="single" w:sz="8" w:color="auto"/>
            </w:tcBorders>
            <w:shd w:val="clear" w:color="auto" w:fill="A0C4DA"/>
          </w:tcPr>
          <w:p>
            <w:pPr>
              <w:jc w:val="right"/>
              <w:ind w:right="134"/>
              <w:spacing w:after="0"/>
              <w:rPr>
                <w:sz w:val="20"/>
                <w:szCs w:val="20"/>
                <w:color w:val="auto"/>
              </w:rPr>
            </w:pPr>
            <w:r>
              <w:rPr>
                <w:rFonts w:ascii="Arial" w:cs="Arial" w:eastAsia="Arial" w:hAnsi="Arial"/>
                <w:sz w:val="18"/>
                <w:szCs w:val="18"/>
                <w:color w:val="auto"/>
              </w:rPr>
              <w:t>(22)</w:t>
            </w:r>
          </w:p>
        </w:tc>
        <w:tc>
          <w:tcPr>
            <w:tcW w:w="460" w:type="dxa"/>
            <w:vAlign w:val="bottom"/>
            <w:tcBorders>
              <w:bottom w:val="single" w:sz="8" w:color="auto"/>
            </w:tcBorders>
            <w:shd w:val="clear" w:color="auto" w:fill="A0C4DA"/>
          </w:tcPr>
          <w:p>
            <w:pPr>
              <w:spacing w:after="0"/>
              <w:rPr>
                <w:sz w:val="18"/>
                <w:szCs w:val="18"/>
                <w:color w:val="auto"/>
              </w:rPr>
            </w:pPr>
          </w:p>
        </w:tc>
        <w:tc>
          <w:tcPr>
            <w:tcW w:w="920" w:type="dxa"/>
            <w:vAlign w:val="bottom"/>
            <w:tcBorders>
              <w:bottom w:val="single" w:sz="8" w:color="auto"/>
            </w:tcBorders>
            <w:shd w:val="clear" w:color="auto" w:fill="A0C4DA"/>
          </w:tcPr>
          <w:p>
            <w:pPr>
              <w:jc w:val="right"/>
              <w:ind w:right="232"/>
              <w:spacing w:after="0"/>
              <w:rPr>
                <w:sz w:val="20"/>
                <w:szCs w:val="20"/>
                <w:color w:val="auto"/>
              </w:rPr>
            </w:pPr>
            <w:r>
              <w:rPr>
                <w:rFonts w:ascii="Arial" w:cs="Arial" w:eastAsia="Arial" w:hAnsi="Arial"/>
                <w:sz w:val="18"/>
                <w:szCs w:val="18"/>
                <w:color w:val="auto"/>
              </w:rPr>
              <w:t>(99)</w:t>
            </w:r>
          </w:p>
        </w:tc>
      </w:tr>
      <w:tr>
        <w:trPr>
          <w:trHeight w:val="183"/>
        </w:trPr>
        <w:tc>
          <w:tcPr>
            <w:tcW w:w="20" w:type="dxa"/>
            <w:vAlign w:val="bottom"/>
          </w:tcPr>
          <w:p>
            <w:pPr>
              <w:spacing w:after="0"/>
              <w:rPr>
                <w:sz w:val="15"/>
                <w:szCs w:val="15"/>
                <w:color w:val="auto"/>
              </w:rPr>
            </w:pPr>
          </w:p>
        </w:tc>
        <w:tc>
          <w:tcPr>
            <w:tcW w:w="4020" w:type="dxa"/>
            <w:vAlign w:val="bottom"/>
          </w:tcPr>
          <w:p>
            <w:pPr>
              <w:spacing w:after="0" w:line="182" w:lineRule="exact"/>
              <w:rPr>
                <w:sz w:val="20"/>
                <w:szCs w:val="20"/>
                <w:color w:val="auto"/>
              </w:rPr>
            </w:pPr>
            <w:r>
              <w:rPr>
                <w:rFonts w:ascii="Arial" w:cs="Arial" w:eastAsia="Arial" w:hAnsi="Arial"/>
                <w:sz w:val="18"/>
                <w:szCs w:val="18"/>
                <w:color w:val="auto"/>
              </w:rPr>
              <w:t>Unrecognized tax benefits, ending balance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4"/>
              <w:spacing w:after="0" w:line="182" w:lineRule="exact"/>
              <w:rPr>
                <w:sz w:val="20"/>
                <w:szCs w:val="20"/>
                <w:color w:val="auto"/>
              </w:rPr>
            </w:pPr>
            <w:r>
              <w:rPr>
                <w:rFonts w:ascii="Arial" w:cs="Arial" w:eastAsia="Arial" w:hAnsi="Arial"/>
                <w:sz w:val="18"/>
                <w:szCs w:val="18"/>
                <w:color w:val="auto"/>
              </w:rPr>
              <w:t>523</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2"/>
              <w:spacing w:after="0" w:line="182" w:lineRule="exact"/>
              <w:rPr>
                <w:sz w:val="20"/>
                <w:szCs w:val="20"/>
                <w:color w:val="auto"/>
              </w:rPr>
            </w:pPr>
            <w:r>
              <w:rPr>
                <w:rFonts w:ascii="Arial" w:cs="Arial" w:eastAsia="Arial" w:hAnsi="Arial"/>
                <w:sz w:val="18"/>
                <w:szCs w:val="18"/>
                <w:color w:val="auto"/>
              </w:rPr>
              <w:t>404</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199"/>
        <w:spacing w:after="0" w:line="235" w:lineRule="auto"/>
        <w:rPr>
          <w:sz w:val="20"/>
          <w:szCs w:val="20"/>
          <w:color w:val="auto"/>
        </w:rPr>
      </w:pPr>
      <w:r>
        <w:rPr>
          <w:rFonts w:ascii="Arial" w:cs="Arial" w:eastAsia="Arial" w:hAnsi="Arial"/>
          <w:sz w:val="22"/>
          <w:szCs w:val="22"/>
          <w:color w:val="auto"/>
        </w:rPr>
        <w:t>The Company’s U.S. federal income tax returns for 2008 through 2011 are open tax years. The Company also files in various state and foreign jurisdictions. With few exceptions, the Company is no longer subject to federal, state, or non-U.S. income tax examinations by tax authorities for years prior to 2007. The Company completed its audit by the Internal Revenue Service (“IRS”) for its 2007 tax return in 2010. As a result of the audit by the IRS, there were no material adjustments made to the Company’s tax return.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Geographic Sales Information</w:t>
      </w:r>
    </w:p>
    <w:p>
      <w:pPr>
        <w:spacing w:after="0" w:line="239" w:lineRule="exact"/>
        <w:rPr>
          <w:sz w:val="20"/>
          <w:szCs w:val="20"/>
          <w:color w:val="auto"/>
        </w:rPr>
      </w:pPr>
    </w:p>
    <w:p>
      <w:pPr>
        <w:ind w:right="1279"/>
        <w:spacing w:after="0"/>
        <w:rPr>
          <w:sz w:val="20"/>
          <w:szCs w:val="20"/>
          <w:color w:val="auto"/>
        </w:rPr>
      </w:pPr>
      <w:r>
        <w:rPr>
          <w:rFonts w:ascii="Arial" w:cs="Arial" w:eastAsia="Arial" w:hAnsi="Arial"/>
          <w:sz w:val="22"/>
          <w:szCs w:val="22"/>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20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r>
      <w:tr>
        <w:trPr>
          <w:trHeight w:val="223"/>
        </w:trPr>
        <w:tc>
          <w:tcPr>
            <w:tcW w:w="2020" w:type="dxa"/>
            <w:vAlign w:val="bottom"/>
            <w:shd w:val="clear" w:color="auto" w:fill="A0C4DA"/>
          </w:tcPr>
          <w:p>
            <w:pPr>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A0C4DA"/>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A0C4DA"/>
          </w:tcPr>
          <w:p>
            <w:pPr>
              <w:jc w:val="right"/>
              <w:ind w:right="157"/>
              <w:spacing w:after="0"/>
              <w:rPr>
                <w:sz w:val="20"/>
                <w:szCs w:val="20"/>
                <w:color w:val="auto"/>
              </w:rPr>
            </w:pPr>
            <w:r>
              <w:rPr>
                <w:rFonts w:ascii="Arial" w:cs="Arial" w:eastAsia="Arial" w:hAnsi="Arial"/>
                <w:sz w:val="18"/>
                <w:szCs w:val="18"/>
                <w:color w:val="auto"/>
              </w:rPr>
              <w:t>29,220</w:t>
            </w:r>
          </w:p>
        </w:tc>
        <w:tc>
          <w:tcPr>
            <w:tcW w:w="420" w:type="dxa"/>
            <w:vAlign w:val="bottom"/>
            <w:shd w:val="clear" w:color="auto" w:fill="A0C4DA"/>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A0C4DA"/>
          </w:tcPr>
          <w:p>
            <w:pPr>
              <w:jc w:val="right"/>
              <w:ind w:right="254"/>
              <w:spacing w:after="0"/>
              <w:rPr>
                <w:sz w:val="20"/>
                <w:szCs w:val="20"/>
                <w:color w:val="auto"/>
              </w:rPr>
            </w:pPr>
            <w:r>
              <w:rPr>
                <w:rFonts w:ascii="Arial" w:cs="Arial" w:eastAsia="Arial" w:hAnsi="Arial"/>
                <w:sz w:val="18"/>
                <w:szCs w:val="18"/>
                <w:color w:val="auto"/>
              </w:rPr>
              <w:t>26,123</w:t>
            </w:r>
          </w:p>
        </w:tc>
      </w:tr>
      <w:tr>
        <w:trPr>
          <w:trHeight w:val="230"/>
        </w:trPr>
        <w:tc>
          <w:tcPr>
            <w:tcW w:w="2020" w:type="dxa"/>
            <w:vAlign w:val="bottom"/>
            <w:tcBorders>
              <w:bottom w:val="single" w:sz="8" w:color="A0C4DA"/>
            </w:tcBorders>
          </w:tcPr>
          <w:p>
            <w:pPr>
              <w:spacing w:after="0"/>
              <w:rPr>
                <w:sz w:val="20"/>
                <w:szCs w:val="20"/>
                <w:color w:val="auto"/>
              </w:rPr>
            </w:pPr>
            <w:r>
              <w:rPr>
                <w:rFonts w:ascii="Arial" w:cs="Arial" w:eastAsia="Arial" w:hAnsi="Arial"/>
                <w:sz w:val="18"/>
                <w:szCs w:val="18"/>
                <w:color w:val="auto"/>
              </w:rPr>
              <w:t>All other countries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16,847</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15,161</w:t>
            </w:r>
          </w:p>
        </w:tc>
      </w:tr>
      <w:tr>
        <w:trPr>
          <w:trHeight w:val="223"/>
        </w:trPr>
        <w:tc>
          <w:tcPr>
            <w:tcW w:w="2020" w:type="dxa"/>
            <w:vAlign w:val="bottom"/>
            <w:tcBorders>
              <w:bottom w:val="single" w:sz="8" w:color="A0C4DA"/>
            </w:tcBorders>
            <w:shd w:val="clear" w:color="auto" w:fill="A0C4DA"/>
          </w:tcPr>
          <w:p>
            <w:pPr>
              <w:spacing w:after="0" w:line="182"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A0C4DA"/>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A0C4DA"/>
          </w:tcPr>
          <w:p>
            <w:pPr>
              <w:jc w:val="right"/>
              <w:ind w:right="157"/>
              <w:spacing w:after="0" w:line="182" w:lineRule="exact"/>
              <w:rPr>
                <w:sz w:val="20"/>
                <w:szCs w:val="20"/>
                <w:color w:val="auto"/>
              </w:rPr>
            </w:pPr>
            <w:r>
              <w:rPr>
                <w:rFonts w:ascii="Arial" w:cs="Arial" w:eastAsia="Arial" w:hAnsi="Arial"/>
                <w:sz w:val="18"/>
                <w:szCs w:val="18"/>
                <w:color w:val="auto"/>
              </w:rPr>
              <w:t>46,067</w:t>
            </w:r>
          </w:p>
        </w:tc>
        <w:tc>
          <w:tcPr>
            <w:tcW w:w="420" w:type="dxa"/>
            <w:vAlign w:val="bottom"/>
            <w:tcBorders>
              <w:bottom w:val="single" w:sz="8" w:color="auto"/>
            </w:tcBorders>
            <w:shd w:val="clear" w:color="auto" w:fill="A0C4DA"/>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A0C4DA"/>
          </w:tcPr>
          <w:p>
            <w:pPr>
              <w:jc w:val="right"/>
              <w:ind w:right="254"/>
              <w:spacing w:after="0" w:line="182" w:lineRule="exact"/>
              <w:rPr>
                <w:sz w:val="20"/>
                <w:szCs w:val="20"/>
                <w:color w:val="auto"/>
              </w:rPr>
            </w:pPr>
            <w:r>
              <w:rPr>
                <w:rFonts w:ascii="Arial" w:cs="Arial" w:eastAsia="Arial" w:hAnsi="Arial"/>
                <w:sz w:val="18"/>
                <w:szCs w:val="18"/>
                <w:color w:val="auto"/>
              </w:rPr>
              <w:t>41,284</w:t>
            </w:r>
          </w:p>
        </w:tc>
      </w:tr>
    </w:tbl>
    <w:p>
      <w:pPr>
        <w:spacing w:after="0" w:line="200" w:lineRule="exact"/>
        <w:rPr>
          <w:sz w:val="20"/>
          <w:szCs w:val="20"/>
          <w:color w:val="auto"/>
        </w:rPr>
      </w:pPr>
    </w:p>
    <w:p>
      <w:pPr>
        <w:sectPr>
          <w:pgSz w:w="11900" w:h="16838" w:orient="portrait"/>
          <w:cols w:equalWidth="0" w:num="1">
            <w:col w:w="10219"/>
          </w:cols>
          <w:pgMar w:left="240" w:top="111" w:right="14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365F91"/>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576326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571" w:gutter="0" w:footer="0" w:header="0"/>
          <w:type w:val="continuous"/>
        </w:sectPr>
      </w:pPr>
    </w:p>
    <w:bookmarkStart w:id="89" w:name="page90"/>
    <w:bookmarkEnd w:id="89"/>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(Dollars in thousands, except per share amounts)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Subsequent Events</w:t>
      </w:r>
    </w:p>
    <w:p>
      <w:pPr>
        <w:spacing w:after="0" w:line="239" w:lineRule="exact"/>
        <w:rPr>
          <w:sz w:val="20"/>
          <w:szCs w:val="20"/>
          <w:color w:val="auto"/>
        </w:rPr>
      </w:pPr>
    </w:p>
    <w:p>
      <w:pPr>
        <w:ind w:right="1179"/>
        <w:spacing w:after="0" w:line="235" w:lineRule="auto"/>
        <w:rPr>
          <w:sz w:val="20"/>
          <w:szCs w:val="20"/>
          <w:color w:val="auto"/>
        </w:rPr>
      </w:pPr>
      <w:r>
        <w:rPr>
          <w:rFonts w:ascii="Arial" w:cs="Arial" w:eastAsia="Arial" w:hAnsi="Arial"/>
          <w:sz w:val="22"/>
          <w:szCs w:val="22"/>
          <w:color w:val="auto"/>
        </w:rPr>
        <w:t>The Company acquired substantially all of the assets of VCON Video Conferencing, Ltd., a company incorporated in Israel (“VCON”). The Company entered into an Asset Purchase Agreement on January 26, 2012 to buy all the assets including intellectual property, property and equipment and inventory for a consideration in the amount of $4,500 in cash, subject to working capital adjustment for any working capital exceeding the targeted amount of $250. The acquisition closed on February 16, 2012 and $4,600 was paid towards the acquisition.</w:t>
      </w:r>
    </w:p>
    <w:p>
      <w:pPr>
        <w:spacing w:after="0" w:line="215" w:lineRule="exact"/>
        <w:rPr>
          <w:sz w:val="20"/>
          <w:szCs w:val="20"/>
          <w:color w:val="auto"/>
        </w:rPr>
      </w:pPr>
    </w:p>
    <w:p>
      <w:pPr>
        <w:ind w:right="1319"/>
        <w:spacing w:after="0" w:line="251" w:lineRule="auto"/>
        <w:rPr>
          <w:sz w:val="20"/>
          <w:szCs w:val="20"/>
          <w:color w:val="auto"/>
        </w:rPr>
      </w:pPr>
      <w:r>
        <w:rPr>
          <w:rFonts w:ascii="Arial" w:cs="Arial" w:eastAsia="Arial" w:hAnsi="Arial"/>
          <w:sz w:val="22"/>
          <w:szCs w:val="22"/>
          <w:color w:val="auto"/>
        </w:rPr>
        <w:t>The following table summarizes the estimated fair values of the assets acquired and liabilities assumed at the acquisition 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shd w:val="clear" w:color="auto" w:fill="A0C4DA"/>
          </w:tcPr>
          <w:p>
            <w:pPr>
              <w:spacing w:after="0"/>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A0C4DA"/>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A0C4DA"/>
          </w:tcPr>
          <w:p>
            <w:pPr>
              <w:jc w:val="right"/>
              <w:ind w:right="250"/>
              <w:spacing w:after="0"/>
              <w:rPr>
                <w:sz w:val="20"/>
                <w:szCs w:val="20"/>
                <w:color w:val="auto"/>
              </w:rPr>
            </w:pPr>
            <w:r>
              <w:rPr>
                <w:rFonts w:ascii="Arial" w:cs="Arial" w:eastAsia="Arial" w:hAnsi="Arial"/>
                <w:sz w:val="18"/>
                <w:szCs w:val="18"/>
                <w:color w:val="auto"/>
              </w:rPr>
              <w:t>70</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Product Warranty Liability</w:t>
            </w:r>
          </w:p>
        </w:tc>
        <w:tc>
          <w:tcPr>
            <w:tcW w:w="44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(8)</w:t>
            </w:r>
          </w:p>
        </w:tc>
      </w:tr>
      <w:tr>
        <w:trPr>
          <w:trHeight w:val="230"/>
        </w:trPr>
        <w:tc>
          <w:tcPr>
            <w:tcW w:w="3420" w:type="dxa"/>
            <w:vAlign w:val="bottom"/>
            <w:shd w:val="clear" w:color="auto" w:fill="A0C4DA"/>
          </w:tcPr>
          <w:p>
            <w:pPr>
              <w:spacing w:after="0"/>
              <w:rPr>
                <w:sz w:val="20"/>
                <w:szCs w:val="20"/>
                <w:color w:val="auto"/>
              </w:rPr>
            </w:pPr>
            <w:r>
              <w:rPr>
                <w:rFonts w:ascii="Arial" w:cs="Arial" w:eastAsia="Arial" w:hAnsi="Arial"/>
                <w:sz w:val="18"/>
                <w:szCs w:val="18"/>
                <w:color w:val="auto"/>
              </w:rPr>
              <w:t>Inventory</w:t>
            </w:r>
          </w:p>
        </w:tc>
        <w:tc>
          <w:tcPr>
            <w:tcW w:w="4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50"/>
              <w:spacing w:after="0"/>
              <w:rPr>
                <w:sz w:val="20"/>
                <w:szCs w:val="20"/>
                <w:color w:val="auto"/>
              </w:rPr>
            </w:pPr>
            <w:r>
              <w:rPr>
                <w:rFonts w:ascii="Arial" w:cs="Arial" w:eastAsia="Arial" w:hAnsi="Arial"/>
                <w:sz w:val="18"/>
                <w:szCs w:val="18"/>
                <w:color w:val="auto"/>
              </w:rPr>
              <w:t>320</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Tradename</w:t>
            </w:r>
          </w:p>
        </w:tc>
        <w:tc>
          <w:tcPr>
            <w:tcW w:w="44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500</w:t>
            </w:r>
          </w:p>
        </w:tc>
      </w:tr>
      <w:tr>
        <w:trPr>
          <w:trHeight w:val="230"/>
        </w:trPr>
        <w:tc>
          <w:tcPr>
            <w:tcW w:w="3420" w:type="dxa"/>
            <w:vAlign w:val="bottom"/>
            <w:shd w:val="clear" w:color="auto" w:fill="A0C4DA"/>
          </w:tcPr>
          <w:p>
            <w:pPr>
              <w:spacing w:after="0"/>
              <w:rPr>
                <w:sz w:val="20"/>
                <w:szCs w:val="20"/>
                <w:color w:val="auto"/>
              </w:rPr>
            </w:pPr>
            <w:r>
              <w:rPr>
                <w:rFonts w:ascii="Arial" w:cs="Arial" w:eastAsia="Arial" w:hAnsi="Arial"/>
                <w:sz w:val="18"/>
                <w:szCs w:val="18"/>
                <w:color w:val="auto"/>
              </w:rPr>
              <w:t>Patents &amp; Technological know-how</w:t>
            </w:r>
          </w:p>
        </w:tc>
        <w:tc>
          <w:tcPr>
            <w:tcW w:w="440" w:type="dxa"/>
            <w:vAlign w:val="bottom"/>
            <w:shd w:val="clear" w:color="auto" w:fill="A0C4DA"/>
          </w:tcPr>
          <w:p>
            <w:pPr>
              <w:spacing w:after="0"/>
              <w:rPr>
                <w:sz w:val="19"/>
                <w:szCs w:val="19"/>
                <w:color w:val="auto"/>
              </w:rPr>
            </w:pPr>
          </w:p>
        </w:tc>
        <w:tc>
          <w:tcPr>
            <w:tcW w:w="1000" w:type="dxa"/>
            <w:vAlign w:val="bottom"/>
            <w:shd w:val="clear" w:color="auto" w:fill="A0C4DA"/>
          </w:tcPr>
          <w:p>
            <w:pPr>
              <w:jc w:val="right"/>
              <w:ind w:right="250"/>
              <w:spacing w:after="0"/>
              <w:rPr>
                <w:sz w:val="20"/>
                <w:szCs w:val="20"/>
                <w:color w:val="auto"/>
              </w:rPr>
            </w:pPr>
            <w:r>
              <w:rPr>
                <w:rFonts w:ascii="Arial" w:cs="Arial" w:eastAsia="Arial" w:hAnsi="Arial"/>
                <w:sz w:val="18"/>
                <w:szCs w:val="18"/>
                <w:color w:val="auto"/>
              </w:rPr>
              <w:t>2,300</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Proprietary Software</w:t>
            </w:r>
          </w:p>
        </w:tc>
        <w:tc>
          <w:tcPr>
            <w:tcW w:w="44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700</w:t>
            </w:r>
          </w:p>
        </w:tc>
      </w:tr>
      <w:tr>
        <w:trPr>
          <w:trHeight w:val="230"/>
        </w:trPr>
        <w:tc>
          <w:tcPr>
            <w:tcW w:w="3420" w:type="dxa"/>
            <w:vAlign w:val="bottom"/>
            <w:shd w:val="clear" w:color="auto" w:fill="A0C4DA"/>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A0C4DA"/>
          </w:tcPr>
          <w:p>
            <w:pPr>
              <w:spacing w:after="0"/>
              <w:rPr>
                <w:sz w:val="19"/>
                <w:szCs w:val="19"/>
                <w:color w:val="auto"/>
              </w:rPr>
            </w:pPr>
          </w:p>
        </w:tc>
        <w:tc>
          <w:tcPr>
            <w:tcW w:w="1000" w:type="dxa"/>
            <w:vAlign w:val="bottom"/>
            <w:tcBorders>
              <w:bottom w:val="single" w:sz="8" w:color="auto"/>
            </w:tcBorders>
            <w:shd w:val="clear" w:color="auto" w:fill="A0C4DA"/>
          </w:tcPr>
          <w:p>
            <w:pPr>
              <w:jc w:val="right"/>
              <w:ind w:right="250"/>
              <w:spacing w:after="0"/>
              <w:rPr>
                <w:sz w:val="20"/>
                <w:szCs w:val="20"/>
                <w:color w:val="auto"/>
              </w:rPr>
            </w:pPr>
            <w:r>
              <w:rPr>
                <w:rFonts w:ascii="Arial" w:cs="Arial" w:eastAsia="Arial" w:hAnsi="Arial"/>
                <w:sz w:val="18"/>
                <w:szCs w:val="18"/>
                <w:color w:val="auto"/>
              </w:rPr>
              <w:t>750</w:t>
            </w:r>
          </w:p>
        </w:tc>
      </w:tr>
      <w:tr>
        <w:trPr>
          <w:trHeight w:val="183"/>
        </w:trPr>
        <w:tc>
          <w:tcPr>
            <w:tcW w:w="3420" w:type="dxa"/>
            <w:vAlign w:val="bottom"/>
          </w:tcPr>
          <w:p>
            <w:pPr>
              <w:spacing w:after="0"/>
              <w:rPr>
                <w:sz w:val="15"/>
                <w:szCs w:val="15"/>
                <w:color w:val="auto"/>
              </w:rPr>
            </w:pPr>
          </w:p>
        </w:tc>
        <w:tc>
          <w:tcPr>
            <w:tcW w:w="4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4,632</w:t>
            </w:r>
          </w:p>
        </w:tc>
      </w:tr>
      <w:tr>
        <w:trPr>
          <w:trHeight w:val="20"/>
        </w:trPr>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139"/>
        <w:spacing w:after="0" w:line="246" w:lineRule="auto"/>
        <w:rPr>
          <w:sz w:val="20"/>
          <w:szCs w:val="20"/>
          <w:color w:val="auto"/>
        </w:rPr>
      </w:pPr>
      <w:r>
        <w:rPr>
          <w:rFonts w:ascii="Arial" w:cs="Arial" w:eastAsia="Arial" w:hAnsi="Arial"/>
          <w:sz w:val="21"/>
          <w:szCs w:val="21"/>
          <w:color w:val="auto"/>
        </w:rPr>
        <w:t>The estimated fair values of assets acquired and liabilities assumed are provisional and are based on the information that was available as of the acquisition date to estimate the fair value of assets acquired and liabilities assumed. The Company believes that information provides a reasonable basis for estimating the fair values of assets acquired and liabilities assumed, but the Company is waiting for additional information necessary to finalize those fair values. Therefore, the provisional measurements of fair value reflected are subject to change and such changes could be significant. The Company expects to finalize the valuation and complete the purchase price allocation as soon as practicable but no later than one year from the acquisition date.</w:t>
      </w:r>
    </w:p>
    <w:p>
      <w:pPr>
        <w:spacing w:after="0" w:line="208" w:lineRule="exact"/>
        <w:rPr>
          <w:sz w:val="20"/>
          <w:szCs w:val="20"/>
          <w:color w:val="auto"/>
        </w:rPr>
      </w:pPr>
    </w:p>
    <w:p>
      <w:pPr>
        <w:ind w:right="1559"/>
        <w:spacing w:after="0" w:line="252" w:lineRule="auto"/>
        <w:rPr>
          <w:sz w:val="20"/>
          <w:szCs w:val="20"/>
          <w:color w:val="auto"/>
        </w:rPr>
      </w:pPr>
      <w:r>
        <w:rPr>
          <w:rFonts w:ascii="Arial" w:cs="Arial" w:eastAsia="Arial" w:hAnsi="Arial"/>
          <w:sz w:val="21"/>
          <w:szCs w:val="21"/>
          <w:color w:val="auto"/>
        </w:rPr>
        <w:t xml:space="preserve">The amount of goodwill deductible for tax purposes is $750. The goodwill of $750 is comprised of expected synergies in utilizing VCON technology in ClearOne products and </w:t>
      </w:r>
      <w:r>
        <w:rPr>
          <w:rFonts w:ascii="Arial" w:cs="Arial" w:eastAsia="Arial" w:hAnsi="Arial"/>
          <w:sz w:val="21"/>
          <w:szCs w:val="21"/>
          <w:i w:val="1"/>
          <w:iCs w:val="1"/>
          <w:color w:val="auto"/>
        </w:rPr>
        <w:t>vice versa</w:t>
      </w:r>
      <w:r>
        <w:rPr>
          <w:rFonts w:ascii="Arial" w:cs="Arial" w:eastAsia="Arial" w:hAnsi="Arial"/>
          <w:sz w:val="21"/>
          <w:szCs w:val="21"/>
          <w:color w:val="auto"/>
        </w:rPr>
        <w:t>, reduction in combined research and product development expenses, and intangible assets including acquired workforce that do not qualify for separate recognition.</w:t>
      </w:r>
    </w:p>
    <w:p>
      <w:pPr>
        <w:spacing w:after="0" w:line="201" w:lineRule="exact"/>
        <w:rPr>
          <w:sz w:val="20"/>
          <w:szCs w:val="20"/>
          <w:color w:val="auto"/>
        </w:rPr>
      </w:pPr>
    </w:p>
    <w:p>
      <w:pPr>
        <w:ind w:right="1199"/>
        <w:spacing w:after="0" w:line="251" w:lineRule="auto"/>
        <w:rPr>
          <w:sz w:val="20"/>
          <w:szCs w:val="20"/>
          <w:color w:val="auto"/>
        </w:rPr>
      </w:pPr>
      <w:r>
        <w:rPr>
          <w:rFonts w:ascii="Arial" w:cs="Arial" w:eastAsia="Arial" w:hAnsi="Arial"/>
          <w:sz w:val="22"/>
          <w:szCs w:val="22"/>
          <w:color w:val="auto"/>
        </w:rPr>
        <w:t>With this acquisition, ClearOne is now well positioned to expand its suite of solutions that it can offer to its customers.</w:t>
      </w:r>
    </w:p>
    <w:p>
      <w:pPr>
        <w:spacing w:after="0" w:line="200" w:lineRule="exact"/>
        <w:rPr>
          <w:sz w:val="20"/>
          <w:szCs w:val="20"/>
          <w:color w:val="auto"/>
        </w:rPr>
      </w:pPr>
    </w:p>
    <w:p>
      <w:pPr>
        <w:jc w:val="both"/>
        <w:ind w:right="1259"/>
        <w:spacing w:after="0" w:line="238" w:lineRule="auto"/>
        <w:rPr>
          <w:sz w:val="20"/>
          <w:szCs w:val="20"/>
          <w:color w:val="auto"/>
        </w:rPr>
      </w:pPr>
      <w:r>
        <w:rPr>
          <w:rFonts w:ascii="Arial" w:cs="Arial" w:eastAsia="Arial" w:hAnsi="Arial"/>
          <w:sz w:val="22"/>
          <w:szCs w:val="22"/>
          <w:color w:val="auto"/>
        </w:rPr>
        <w:t>The Company evaluated its Consolidated Financial Statements as of and for the year ended December 31, 2011 for subsequent events through the date the Financial Statements were issued. The Company is not aware of any other subsequent events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365F91"/>
        </w:rPr>
        <w:t>F-26</w:t>
      </w:r>
    </w:p>
    <w:p>
      <w:pPr>
        <w:sectPr>
          <w:pgSz w:w="11900" w:h="16838" w:orient="portrait"/>
          <w:cols w:equalWidth="0" w:num="1">
            <w:col w:w="10219"/>
          </w:cols>
          <w:pgMar w:left="240" w:top="111" w:right="1440" w:bottom="1440" w:gutter="0" w:footer="0" w:header="0"/>
        </w:sectPr>
      </w:pPr>
    </w:p>
    <w:bookmarkStart w:id="90" w:name="page91"/>
    <w:bookmarkEnd w:id="90"/>
    <w:p>
      <w:pPr>
        <w:jc w:val="right"/>
        <w:ind w:right="1779"/>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SUBSIDIARIES OF THE REGISTRANT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NetStreams, Inc. (DE)</w:t>
      </w:r>
    </w:p>
    <w:p>
      <w:pPr>
        <w:spacing w:after="0" w:line="238" w:lineRule="auto"/>
        <w:rPr>
          <w:sz w:val="20"/>
          <w:szCs w:val="20"/>
          <w:color w:val="auto"/>
        </w:rPr>
      </w:pPr>
      <w:r>
        <w:rPr>
          <w:rFonts w:ascii="Arial" w:cs="Arial" w:eastAsia="Arial" w:hAnsi="Arial"/>
          <w:sz w:val="22"/>
          <w:szCs w:val="22"/>
          <w:color w:val="auto"/>
        </w:rPr>
        <w:t>NetStreams, LLC. (TX)</w:t>
      </w:r>
    </w:p>
    <w:p>
      <w:pPr>
        <w:spacing w:after="0" w:line="230" w:lineRule="auto"/>
        <w:rPr>
          <w:sz w:val="20"/>
          <w:szCs w:val="20"/>
          <w:color w:val="auto"/>
        </w:rPr>
      </w:pPr>
      <w:r>
        <w:rPr>
          <w:rFonts w:ascii="Arial" w:cs="Arial" w:eastAsia="Arial" w:hAnsi="Arial"/>
          <w:sz w:val="22"/>
          <w:szCs w:val="22"/>
          <w:color w:val="auto"/>
        </w:rPr>
        <w:t>ClearOne Web Solutions, Inc. (DE)</w:t>
      </w:r>
    </w:p>
    <w:p>
      <w:pPr>
        <w:spacing w:after="0" w:line="231" w:lineRule="auto"/>
        <w:rPr>
          <w:sz w:val="20"/>
          <w:szCs w:val="20"/>
          <w:color w:val="auto"/>
        </w:rPr>
      </w:pPr>
      <w:r>
        <w:rPr>
          <w:rFonts w:ascii="Arial" w:cs="Arial" w:eastAsia="Arial" w:hAnsi="Arial"/>
          <w:sz w:val="22"/>
          <w:szCs w:val="22"/>
          <w:color w:val="auto"/>
        </w:rPr>
        <w:t>ClearOne Communications Hong Kong Limited (Hong Kong)</w:t>
      </w:r>
    </w:p>
    <w:p>
      <w:pPr>
        <w:spacing w:after="0" w:line="231" w:lineRule="auto"/>
        <w:rPr>
          <w:sz w:val="20"/>
          <w:szCs w:val="20"/>
          <w:color w:val="auto"/>
        </w:rPr>
      </w:pPr>
      <w:r>
        <w:rPr>
          <w:rFonts w:ascii="Arial" w:cs="Arial" w:eastAsia="Arial" w:hAnsi="Arial"/>
          <w:sz w:val="22"/>
          <w:szCs w:val="22"/>
          <w:color w:val="auto"/>
        </w:rPr>
        <w:t>ClearOne Communications Limited (United Kingdom)</w:t>
      </w:r>
    </w:p>
    <w:p>
      <w:pPr>
        <w:spacing w:after="0" w:line="230" w:lineRule="auto"/>
        <w:rPr>
          <w:sz w:val="20"/>
          <w:szCs w:val="20"/>
          <w:color w:val="auto"/>
        </w:rPr>
      </w:pPr>
      <w:r>
        <w:rPr>
          <w:rFonts w:ascii="Arial" w:cs="Arial" w:eastAsia="Arial" w:hAnsi="Arial"/>
          <w:sz w:val="22"/>
          <w:szCs w:val="22"/>
          <w:color w:val="auto"/>
        </w:rPr>
        <w:t>C-V Private (Israel), Ltd.</w:t>
      </w:r>
    </w:p>
    <w:p>
      <w:pPr>
        <w:spacing w:after="0" w:line="231" w:lineRule="auto"/>
        <w:rPr>
          <w:sz w:val="20"/>
          <w:szCs w:val="20"/>
          <w:color w:val="auto"/>
        </w:rPr>
      </w:pPr>
      <w:r>
        <w:rPr>
          <w:rFonts w:ascii="Arial" w:cs="Arial" w:eastAsia="Arial" w:hAnsi="Arial"/>
          <w:sz w:val="22"/>
          <w:szCs w:val="22"/>
          <w:color w:val="auto"/>
        </w:rPr>
        <w:t>Gentner Communications Limited (Ireland)</w:t>
      </w:r>
    </w:p>
    <w:p>
      <w:pPr>
        <w:spacing w:after="0" w:line="231" w:lineRule="auto"/>
        <w:rPr>
          <w:sz w:val="20"/>
          <w:szCs w:val="20"/>
          <w:color w:val="auto"/>
        </w:rPr>
      </w:pPr>
      <w:r>
        <w:rPr>
          <w:rFonts w:ascii="Arial" w:cs="Arial" w:eastAsia="Arial" w:hAnsi="Arial"/>
          <w:sz w:val="22"/>
          <w:szCs w:val="22"/>
          <w:color w:val="auto"/>
        </w:rPr>
        <w:t>Gentner Ventures, Inc. (UT)</w:t>
      </w:r>
    </w:p>
    <w:p>
      <w:pPr>
        <w:spacing w:after="0"/>
        <w:rPr>
          <w:sz w:val="20"/>
          <w:szCs w:val="20"/>
          <w:color w:val="auto"/>
        </w:rPr>
      </w:pPr>
      <w:r>
        <w:rPr>
          <w:rFonts w:ascii="Arial" w:cs="Arial" w:eastAsia="Arial" w:hAnsi="Arial"/>
          <w:sz w:val="22"/>
          <w:szCs w:val="22"/>
          <w:color w:val="auto"/>
        </w:rPr>
        <w:t>E.mergent, Inc. (DE)</w:t>
      </w:r>
    </w:p>
    <w:p>
      <w:pPr>
        <w:sectPr>
          <w:pgSz w:w="11900" w:h="16838" w:orient="portrait"/>
          <w:cols w:equalWidth="0" w:num="1">
            <w:col w:w="10219"/>
          </w:cols>
          <w:pgMar w:left="240" w:top="111" w:right="1440" w:bottom="1440" w:gutter="0" w:footer="0" w:header="0"/>
        </w:sectPr>
      </w:pPr>
    </w:p>
    <w:bookmarkStart w:id="91" w:name="page92"/>
    <w:bookmarkEnd w:id="91"/>
    <w:p>
      <w:pPr>
        <w:ind w:left="7080"/>
        <w:spacing w:after="0"/>
        <w:rPr>
          <w:sz w:val="20"/>
          <w:szCs w:val="20"/>
          <w:color w:val="auto"/>
        </w:rPr>
      </w:pPr>
      <w:r>
        <w:rPr>
          <w:rFonts w:ascii="Arial" w:cs="Arial" w:eastAsia="Arial" w:hAnsi="Arial"/>
          <w:sz w:val="22"/>
          <w:szCs w:val="22"/>
          <w:b w:val="1"/>
          <w:bCs w:val="1"/>
          <w:color w:val="auto"/>
        </w:rPr>
        <w:t>EXHIBIT 23.1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ClearOne Communications, Inc.</w:t>
      </w:r>
    </w:p>
    <w:p>
      <w:pPr>
        <w:spacing w:after="0" w:line="233" w:lineRule="exact"/>
        <w:rPr>
          <w:sz w:val="20"/>
          <w:szCs w:val="20"/>
          <w:color w:val="auto"/>
        </w:rPr>
      </w:pPr>
    </w:p>
    <w:p>
      <w:pPr>
        <w:ind w:right="2099"/>
        <w:spacing w:after="0" w:line="287" w:lineRule="auto"/>
        <w:rPr>
          <w:sz w:val="20"/>
          <w:szCs w:val="20"/>
          <w:color w:val="auto"/>
        </w:rPr>
      </w:pPr>
      <w:r>
        <w:rPr>
          <w:rFonts w:ascii="Arial" w:cs="Arial" w:eastAsia="Arial" w:hAnsi="Arial"/>
          <w:sz w:val="19"/>
          <w:szCs w:val="19"/>
          <w:color w:val="auto"/>
        </w:rPr>
        <w:t>We consent to the incorporation by reference in Registration Statement Nos. 333-148789 and 333-137859 of ClearOne Communications, Inc. on Forms S-8 of our financial statement audit report dated March 30, 2012, appearing in this annual report on Form 10-K of ClearOne Communications, Inc. for the years ended December 31, 2011 and 2010.</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0"/>
          <w:szCs w:val="10"/>
          <w:i w:val="1"/>
          <w:iCs w:val="1"/>
          <w:color w:val="auto"/>
        </w:rPr>
        <w:t>JONES SIMKINS, P.C.</w:t>
      </w:r>
    </w:p>
    <w:p>
      <w:pPr>
        <w:spacing w:after="0" w:line="238" w:lineRule="auto"/>
        <w:rPr>
          <w:sz w:val="20"/>
          <w:szCs w:val="20"/>
          <w:color w:val="auto"/>
        </w:rPr>
      </w:pPr>
      <w:r>
        <w:rPr>
          <w:rFonts w:ascii="Arial" w:cs="Arial" w:eastAsia="Arial" w:hAnsi="Arial"/>
          <w:sz w:val="22"/>
          <w:szCs w:val="22"/>
          <w:color w:val="auto"/>
        </w:rPr>
        <w:t>JONES SIMKINS, P.C.</w:t>
      </w:r>
    </w:p>
    <w:p>
      <w:pPr>
        <w:spacing w:after="0" w:line="230" w:lineRule="auto"/>
        <w:rPr>
          <w:sz w:val="20"/>
          <w:szCs w:val="20"/>
          <w:color w:val="auto"/>
        </w:rPr>
      </w:pPr>
      <w:r>
        <w:rPr>
          <w:rFonts w:ascii="Arial" w:cs="Arial" w:eastAsia="Arial" w:hAnsi="Arial"/>
          <w:sz w:val="22"/>
          <w:szCs w:val="22"/>
          <w:color w:val="auto"/>
        </w:rPr>
        <w:t>Logan, Utah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30, 2012</w:t>
      </w:r>
    </w:p>
    <w:p>
      <w:pPr>
        <w:sectPr>
          <w:pgSz w:w="11900" w:h="16838" w:orient="portrait"/>
          <w:cols w:equalWidth="0" w:num="1">
            <w:col w:w="10219"/>
          </w:cols>
          <w:pgMar w:left="240" w:top="112" w:right="1440" w:bottom="1440" w:gutter="0" w:footer="0" w:header="0"/>
        </w:sectPr>
      </w:pPr>
    </w:p>
    <w:bookmarkStart w:id="92" w:name="page93"/>
    <w:bookmarkEnd w:id="92"/>
    <w:p>
      <w:pPr>
        <w:jc w:val="right"/>
        <w:ind w:right="1779"/>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Zeynep Hakimoglu, certify that:</w:t>
      </w:r>
    </w:p>
    <w:p>
      <w:pPr>
        <w:spacing w:after="0" w:line="85" w:lineRule="exact"/>
        <w:rPr>
          <w:sz w:val="20"/>
          <w:szCs w:val="20"/>
          <w:color w:val="auto"/>
        </w:rPr>
      </w:pPr>
    </w:p>
    <w:p>
      <w:pPr>
        <w:ind w:left="800" w:hanging="468"/>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9"/>
          <w:szCs w:val="19"/>
          <w:color w:val="auto"/>
        </w:rPr>
        <w:t>I have reviewed this annual report of ClearOne Communications, Inc. on Form 10-K;</w:t>
      </w:r>
    </w:p>
    <w:p>
      <w:pPr>
        <w:spacing w:after="0" w:line="132" w:lineRule="exact"/>
        <w:rPr>
          <w:rFonts w:ascii="Arial" w:cs="Arial" w:eastAsia="Arial" w:hAnsi="Arial"/>
          <w:sz w:val="18"/>
          <w:szCs w:val="18"/>
          <w:color w:val="auto"/>
        </w:rPr>
      </w:pPr>
    </w:p>
    <w:p>
      <w:pPr>
        <w:ind w:left="820" w:right="1819" w:hanging="488"/>
        <w:spacing w:after="0" w:line="238" w:lineRule="auto"/>
        <w:tabs>
          <w:tab w:leader="none" w:pos="793" w:val="left"/>
        </w:tabs>
        <w:numPr>
          <w:ilvl w:val="0"/>
          <w:numId w:val="30"/>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20"/>
          <w:szCs w:val="20"/>
          <w:color w:val="auto"/>
        </w:rPr>
      </w:pPr>
    </w:p>
    <w:p>
      <w:pPr>
        <w:ind w:left="820" w:right="2179" w:hanging="488"/>
        <w:spacing w:after="0" w:line="238" w:lineRule="auto"/>
        <w:tabs>
          <w:tab w:leader="none" w:pos="793" w:val="left"/>
        </w:tabs>
        <w:numPr>
          <w:ilvl w:val="0"/>
          <w:numId w:val="30"/>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20"/>
          <w:szCs w:val="20"/>
          <w:color w:val="auto"/>
        </w:rPr>
      </w:pPr>
    </w:p>
    <w:p>
      <w:pPr>
        <w:ind w:left="820" w:right="1839" w:hanging="488"/>
        <w:spacing w:after="0" w:line="287" w:lineRule="auto"/>
        <w:tabs>
          <w:tab w:leader="none" w:pos="793" w:val="left"/>
        </w:tabs>
        <w:numPr>
          <w:ilvl w:val="0"/>
          <w:numId w:val="30"/>
        </w:numPr>
        <w:rPr>
          <w:rFonts w:ascii="Arial" w:cs="Arial" w:eastAsia="Arial" w:hAnsi="Arial"/>
          <w:sz w:val="18"/>
          <w:szCs w:val="18"/>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820" w:right="1879" w:hanging="488"/>
        <w:spacing w:after="0" w:line="236" w:lineRule="auto"/>
        <w:tabs>
          <w:tab w:leader="none" w:pos="793" w:val="left"/>
        </w:tabs>
        <w:numPr>
          <w:ilvl w:val="0"/>
          <w:numId w:val="31"/>
        </w:numPr>
        <w:rPr>
          <w:rFonts w:ascii="Arial" w:cs="Arial" w:eastAsia="Arial" w:hAnsi="Arial"/>
          <w:sz w:val="20"/>
          <w:szCs w:val="20"/>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20"/>
          <w:szCs w:val="20"/>
          <w:color w:val="auto"/>
        </w:rPr>
      </w:pPr>
    </w:p>
    <w:p>
      <w:pPr>
        <w:ind w:left="820" w:right="1819" w:hanging="488"/>
        <w:spacing w:after="0" w:line="236" w:lineRule="auto"/>
        <w:tabs>
          <w:tab w:leader="none" w:pos="793" w:val="left"/>
        </w:tabs>
        <w:numPr>
          <w:ilvl w:val="0"/>
          <w:numId w:val="31"/>
        </w:numPr>
        <w:rPr>
          <w:rFonts w:ascii="Arial" w:cs="Arial" w:eastAsia="Arial" w:hAnsi="Arial"/>
          <w:sz w:val="20"/>
          <w:szCs w:val="20"/>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20"/>
          <w:szCs w:val="20"/>
          <w:color w:val="auto"/>
        </w:rPr>
      </w:pPr>
    </w:p>
    <w:p>
      <w:pPr>
        <w:ind w:left="820" w:right="2079" w:hanging="488"/>
        <w:spacing w:after="0" w:line="238" w:lineRule="auto"/>
        <w:tabs>
          <w:tab w:leader="none" w:pos="793" w:val="left"/>
        </w:tabs>
        <w:numPr>
          <w:ilvl w:val="0"/>
          <w:numId w:val="31"/>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20"/>
          <w:szCs w:val="20"/>
          <w:color w:val="auto"/>
        </w:rPr>
      </w:pPr>
    </w:p>
    <w:p>
      <w:pPr>
        <w:ind w:left="820" w:right="1799" w:hanging="488"/>
        <w:spacing w:after="0" w:line="236" w:lineRule="auto"/>
        <w:tabs>
          <w:tab w:leader="none" w:pos="793" w:val="left"/>
        </w:tabs>
        <w:numPr>
          <w:ilvl w:val="0"/>
          <w:numId w:val="31"/>
        </w:numPr>
        <w:rPr>
          <w:rFonts w:ascii="Arial" w:cs="Arial" w:eastAsia="Arial" w:hAnsi="Arial"/>
          <w:sz w:val="20"/>
          <w:szCs w:val="20"/>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6" w:lineRule="exact"/>
        <w:rPr>
          <w:sz w:val="20"/>
          <w:szCs w:val="20"/>
          <w:color w:val="auto"/>
        </w:rPr>
      </w:pPr>
    </w:p>
    <w:p>
      <w:pPr>
        <w:ind w:left="820" w:right="1959" w:hanging="488"/>
        <w:spacing w:after="0" w:line="238" w:lineRule="auto"/>
        <w:tabs>
          <w:tab w:leader="none" w:pos="793" w:val="left"/>
        </w:tabs>
        <w:numPr>
          <w:ilvl w:val="0"/>
          <w:numId w:val="32"/>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sz w:val="20"/>
          <w:szCs w:val="20"/>
          <w:color w:val="auto"/>
        </w:rPr>
      </w:pPr>
    </w:p>
    <w:p>
      <w:pPr>
        <w:ind w:left="820" w:right="1899" w:hanging="488"/>
        <w:spacing w:after="0" w:line="238" w:lineRule="auto"/>
        <w:tabs>
          <w:tab w:leader="none" w:pos="793" w:val="left"/>
        </w:tabs>
        <w:numPr>
          <w:ilvl w:val="0"/>
          <w:numId w:val="33"/>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20"/>
          <w:szCs w:val="20"/>
          <w:color w:val="auto"/>
        </w:rPr>
      </w:pPr>
    </w:p>
    <w:p>
      <w:pPr>
        <w:ind w:left="820" w:right="1899" w:hanging="488"/>
        <w:spacing w:after="0" w:line="328" w:lineRule="auto"/>
        <w:tabs>
          <w:tab w:leader="none" w:pos="793" w:val="left"/>
        </w:tabs>
        <w:numPr>
          <w:ilvl w:val="0"/>
          <w:numId w:val="33"/>
        </w:numPr>
        <w:rPr>
          <w:rFonts w:ascii="Arial" w:cs="Arial" w:eastAsia="Arial" w:hAnsi="Arial"/>
          <w:sz w:val="18"/>
          <w:szCs w:val="18"/>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March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111" w:right="1440" w:bottom="1440" w:gutter="0" w:footer="0" w:header="0"/>
        </w:sectPr>
      </w:pP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0219"/>
          </w:cols>
          <w:pgMar w:left="240" w:top="111" w:right="1440" w:bottom="1440" w:gutter="0" w:footer="0" w:header="0"/>
          <w:type w:val="continuous"/>
        </w:sectPr>
      </w:pPr>
    </w:p>
    <w:bookmarkStart w:id="93" w:name="page94"/>
    <w:bookmarkEnd w:id="93"/>
    <w:p>
      <w:pPr>
        <w:jc w:val="right"/>
        <w:ind w:right="1779"/>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Narsi Narayanan, certify that:</w:t>
      </w:r>
    </w:p>
    <w:p>
      <w:pPr>
        <w:spacing w:after="0" w:line="85" w:lineRule="exact"/>
        <w:rPr>
          <w:sz w:val="20"/>
          <w:szCs w:val="20"/>
          <w:color w:val="auto"/>
        </w:rPr>
      </w:pPr>
    </w:p>
    <w:p>
      <w:pPr>
        <w:ind w:left="800" w:hanging="468"/>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9"/>
          <w:szCs w:val="19"/>
          <w:color w:val="auto"/>
        </w:rPr>
        <w:t>I have reviewed this annual report of ClearOne Communications, Inc. on Form 10-K;</w:t>
      </w:r>
    </w:p>
    <w:p>
      <w:pPr>
        <w:spacing w:after="0" w:line="132" w:lineRule="exact"/>
        <w:rPr>
          <w:rFonts w:ascii="Arial" w:cs="Arial" w:eastAsia="Arial" w:hAnsi="Arial"/>
          <w:sz w:val="18"/>
          <w:szCs w:val="18"/>
          <w:color w:val="auto"/>
        </w:rPr>
      </w:pPr>
    </w:p>
    <w:p>
      <w:pPr>
        <w:ind w:left="820" w:right="1819" w:hanging="488"/>
        <w:spacing w:after="0" w:line="238" w:lineRule="auto"/>
        <w:tabs>
          <w:tab w:leader="none" w:pos="793" w:val="left"/>
        </w:tabs>
        <w:numPr>
          <w:ilvl w:val="0"/>
          <w:numId w:val="34"/>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20"/>
          <w:szCs w:val="20"/>
          <w:color w:val="auto"/>
        </w:rPr>
      </w:pPr>
    </w:p>
    <w:p>
      <w:pPr>
        <w:ind w:left="820" w:right="2179" w:hanging="488"/>
        <w:spacing w:after="0" w:line="238" w:lineRule="auto"/>
        <w:tabs>
          <w:tab w:leader="none" w:pos="793" w:val="left"/>
        </w:tabs>
        <w:numPr>
          <w:ilvl w:val="0"/>
          <w:numId w:val="34"/>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20"/>
          <w:szCs w:val="20"/>
          <w:color w:val="auto"/>
        </w:rPr>
      </w:pPr>
    </w:p>
    <w:p>
      <w:pPr>
        <w:ind w:left="820" w:right="1839" w:hanging="488"/>
        <w:spacing w:after="0" w:line="287" w:lineRule="auto"/>
        <w:tabs>
          <w:tab w:leader="none" w:pos="793" w:val="left"/>
        </w:tabs>
        <w:numPr>
          <w:ilvl w:val="0"/>
          <w:numId w:val="34"/>
        </w:numPr>
        <w:rPr>
          <w:rFonts w:ascii="Arial" w:cs="Arial" w:eastAsia="Arial" w:hAnsi="Arial"/>
          <w:sz w:val="18"/>
          <w:szCs w:val="18"/>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820" w:right="1879" w:hanging="488"/>
        <w:spacing w:after="0" w:line="236" w:lineRule="auto"/>
        <w:tabs>
          <w:tab w:leader="none" w:pos="793" w:val="left"/>
        </w:tabs>
        <w:numPr>
          <w:ilvl w:val="0"/>
          <w:numId w:val="35"/>
        </w:numPr>
        <w:rPr>
          <w:rFonts w:ascii="Arial" w:cs="Arial" w:eastAsia="Arial" w:hAnsi="Arial"/>
          <w:sz w:val="20"/>
          <w:szCs w:val="20"/>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20"/>
          <w:szCs w:val="20"/>
          <w:color w:val="auto"/>
        </w:rPr>
      </w:pPr>
    </w:p>
    <w:p>
      <w:pPr>
        <w:ind w:left="820" w:right="1819" w:hanging="488"/>
        <w:spacing w:after="0" w:line="236" w:lineRule="auto"/>
        <w:tabs>
          <w:tab w:leader="none" w:pos="793" w:val="left"/>
        </w:tabs>
        <w:numPr>
          <w:ilvl w:val="0"/>
          <w:numId w:val="35"/>
        </w:numPr>
        <w:rPr>
          <w:rFonts w:ascii="Arial" w:cs="Arial" w:eastAsia="Arial" w:hAnsi="Arial"/>
          <w:sz w:val="20"/>
          <w:szCs w:val="20"/>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20"/>
          <w:szCs w:val="20"/>
          <w:color w:val="auto"/>
        </w:rPr>
      </w:pPr>
    </w:p>
    <w:p>
      <w:pPr>
        <w:ind w:left="820" w:right="2079" w:hanging="488"/>
        <w:spacing w:after="0" w:line="238" w:lineRule="auto"/>
        <w:tabs>
          <w:tab w:leader="none" w:pos="793" w:val="left"/>
        </w:tabs>
        <w:numPr>
          <w:ilvl w:val="0"/>
          <w:numId w:val="35"/>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20"/>
          <w:szCs w:val="20"/>
          <w:color w:val="auto"/>
        </w:rPr>
      </w:pPr>
    </w:p>
    <w:p>
      <w:pPr>
        <w:ind w:left="820" w:right="1799" w:hanging="488"/>
        <w:spacing w:after="0" w:line="236" w:lineRule="auto"/>
        <w:tabs>
          <w:tab w:leader="none" w:pos="793" w:val="left"/>
        </w:tabs>
        <w:numPr>
          <w:ilvl w:val="0"/>
          <w:numId w:val="35"/>
        </w:numPr>
        <w:rPr>
          <w:rFonts w:ascii="Arial" w:cs="Arial" w:eastAsia="Arial" w:hAnsi="Arial"/>
          <w:sz w:val="20"/>
          <w:szCs w:val="20"/>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6" w:lineRule="exact"/>
        <w:rPr>
          <w:sz w:val="20"/>
          <w:szCs w:val="20"/>
          <w:color w:val="auto"/>
        </w:rPr>
      </w:pPr>
    </w:p>
    <w:p>
      <w:pPr>
        <w:ind w:left="820" w:right="1959" w:hanging="488"/>
        <w:spacing w:after="0" w:line="238" w:lineRule="auto"/>
        <w:tabs>
          <w:tab w:leader="none" w:pos="793" w:val="left"/>
        </w:tabs>
        <w:numPr>
          <w:ilvl w:val="0"/>
          <w:numId w:val="36"/>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sz w:val="20"/>
          <w:szCs w:val="20"/>
          <w:color w:val="auto"/>
        </w:rPr>
      </w:pPr>
    </w:p>
    <w:p>
      <w:pPr>
        <w:ind w:left="820" w:right="1899" w:hanging="488"/>
        <w:spacing w:after="0" w:line="238" w:lineRule="auto"/>
        <w:tabs>
          <w:tab w:leader="none" w:pos="793" w:val="left"/>
        </w:tabs>
        <w:numPr>
          <w:ilvl w:val="0"/>
          <w:numId w:val="37"/>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20"/>
          <w:szCs w:val="20"/>
          <w:color w:val="auto"/>
        </w:rPr>
      </w:pPr>
    </w:p>
    <w:p>
      <w:pPr>
        <w:ind w:left="820" w:right="1899" w:hanging="488"/>
        <w:spacing w:after="0" w:line="328" w:lineRule="auto"/>
        <w:tabs>
          <w:tab w:leader="none" w:pos="793" w:val="left"/>
        </w:tabs>
        <w:numPr>
          <w:ilvl w:val="0"/>
          <w:numId w:val="37"/>
        </w:numPr>
        <w:rPr>
          <w:rFonts w:ascii="Arial" w:cs="Arial" w:eastAsia="Arial" w:hAnsi="Arial"/>
          <w:sz w:val="18"/>
          <w:szCs w:val="18"/>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March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Vice President of Finance</w:t>
      </w:r>
    </w:p>
    <w:p>
      <w:pPr>
        <w:sectPr>
          <w:pgSz w:w="11900" w:h="16838" w:orient="portrait"/>
          <w:cols w:equalWidth="0" w:num="1">
            <w:col w:w="10219"/>
          </w:cols>
          <w:pgMar w:left="240" w:top="111" w:right="1440" w:bottom="1440" w:gutter="0" w:footer="0" w:header="0"/>
        </w:sectPr>
      </w:pP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0219"/>
          </w:cols>
          <w:pgMar w:left="240" w:top="111" w:right="1440" w:bottom="1440" w:gutter="0" w:footer="0" w:header="0"/>
          <w:type w:val="continuous"/>
        </w:sectPr>
      </w:pPr>
    </w:p>
    <w:bookmarkStart w:id="94" w:name="page95"/>
    <w:bookmarkEnd w:id="94"/>
    <w:p>
      <w:pPr>
        <w:jc w:val="right"/>
        <w:ind w:right="1779"/>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1819"/>
        <w:spacing w:after="0" w:line="234" w:lineRule="auto"/>
        <w:rPr>
          <w:sz w:val="20"/>
          <w:szCs w:val="20"/>
          <w:color w:val="auto"/>
        </w:rPr>
      </w:pPr>
      <w:r>
        <w:rPr>
          <w:rFonts w:ascii="Arial" w:cs="Arial" w:eastAsia="Arial" w:hAnsi="Arial"/>
          <w:sz w:val="22"/>
          <w:szCs w:val="22"/>
          <w:color w:val="auto"/>
        </w:rPr>
        <w:t>I, Zeynep Hakimoglu, certify, to my best knowledge and belief, pursuant to 18 U.S.C. Section 1350, as adopted pursuant to Section 906 of the Sarbanes-Oxley Act of 2002, that the annual report of ClearOne Communications, Inc. on Form 10-K for the year ended December 31, 2011,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March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219"/>
          </w:cols>
          <w:pgMar w:left="240" w:top="112" w:right="1440" w:bottom="1440" w:gutter="0" w:footer="0" w:header="0"/>
        </w:sectPr>
      </w:pPr>
    </w:p>
    <w:bookmarkStart w:id="95" w:name="page96"/>
    <w:bookmarkEnd w:id="95"/>
    <w:p>
      <w:pPr>
        <w:jc w:val="right"/>
        <w:ind w:right="1779"/>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1819"/>
        <w:spacing w:after="0" w:line="234" w:lineRule="auto"/>
        <w:rPr>
          <w:sz w:val="20"/>
          <w:szCs w:val="20"/>
          <w:color w:val="auto"/>
        </w:rPr>
      </w:pPr>
      <w:r>
        <w:rPr>
          <w:rFonts w:ascii="Arial" w:cs="Arial" w:eastAsia="Arial" w:hAnsi="Arial"/>
          <w:sz w:val="22"/>
          <w:szCs w:val="22"/>
          <w:color w:val="auto"/>
        </w:rPr>
        <w:t>I, Narsi Narayanan, certify, to my best knowledge and belief, pursuant to 18 U.S.C. Section 1350, as adopted pursuant to Section 906 of the Sarbanes-Oxley Act of 2002, that the annual report of ClearOne Communications, Inc. on Form 10-K for the year ended December 31, 2011,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March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lowerRoman"/>
      <w:start w:val="1"/>
    </w:lvl>
  </w:abstractNum>
  <w:abstractNum w:abstractNumId="18">
    <w:nsid w:val="2CA88611"/>
    <w:multiLevelType w:val="hybridMultilevel"/>
    <w:lvl w:ilvl="0">
      <w:lvlJc w:val="left"/>
      <w:lvlText w:val="(%1)"/>
      <w:numFmt w:val="decimal"/>
      <w:start w:val="1"/>
    </w:lvl>
    <w:lvl w:ilvl="1">
      <w:lvlJc w:val="left"/>
      <w:lvlText w:val="(%2)"/>
      <w:numFmt w:val="decimal"/>
      <w:start w:val="3"/>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1"/>
      <w:numFmt w:val="decimal"/>
      <w:start w:val="1"/>
    </w:lvl>
    <w:lvl w:ilvl="1">
      <w:lvlJc w:val="left"/>
      <w:lvlText w:val="(%2)"/>
      <w:numFmt w:val="decimal"/>
      <w:start w:val="1"/>
    </w:lvl>
  </w:abstractNum>
  <w:abstractNum w:abstractNumId="22">
    <w:nsid w:val="8138641"/>
    <w:multiLevelType w:val="hybridMultilevel"/>
    <w:lvl w:ilvl="0">
      <w:lvlJc w:val="left"/>
      <w:lvlText w:val="(%1)"/>
      <w:numFmt w:val="decimal"/>
      <w:start w:val="2"/>
    </w:lvl>
    <w:lvl w:ilvl="1">
      <w:lvlJc w:val="left"/>
      <w:lvlText w:val="%2"/>
      <w:numFmt w:val="decimal"/>
      <w:start w:val="1"/>
    </w:lvl>
  </w:abstractNum>
  <w:abstractNum w:abstractNumId="23">
    <w:nsid w:val="1E7FF521"/>
    <w:multiLevelType w:val="hybridMultilevel"/>
    <w:lvl w:ilvl="0">
      <w:lvlJc w:val="left"/>
      <w:lvlText w:val="(%1)"/>
      <w:numFmt w:val="decimal"/>
      <w:start w:val="418"/>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980"/>
    </w:lvl>
  </w:abstractNum>
  <w:abstractNum w:abstractNumId="26">
    <w:nsid w:val="6CEAF087"/>
    <w:multiLevelType w:val="hybridMultilevel"/>
    <w:lvl w:ilvl="0">
      <w:lvlJc w:val="left"/>
      <w:lvlText w:val="(%1)"/>
      <w:numFmt w:val="decimal"/>
      <w:start w:val="380"/>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2019-12-09T10:13:21Z</dcterms:created>
  <dcterms:modified xsi:type="dcterms:W3CDTF">2019-12-09T10:13:21Z</dcterms:modified>
</cp:coreProperties>
</file>