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 ]Check the appropriate box:</w:t>
      </w:r>
    </w:p>
    <w:p>
      <w:pPr>
        <w:sectPr>
          <w:pgSz w:w="11900" w:h="16838" w:orient="portrait"/>
          <w:cols w:equalWidth="0" w:num="1">
            <w:col w:w="11240"/>
          </w:cols>
          <w:pgMar w:left="320" w:top="333" w:right="339" w:bottom="1440" w:gutter="0" w:footer="0" w:header="0"/>
        </w:sectPr>
      </w:pP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Preliminary Proxy Statement.</w:t>
      </w:r>
    </w:p>
    <w:p>
      <w:pPr>
        <w:spacing w:after="0" w:line="144" w:lineRule="exact"/>
        <w:rPr>
          <w:sz w:val="24"/>
          <w:szCs w:val="24"/>
          <w:color w:val="auto"/>
        </w:rPr>
      </w:pPr>
    </w:p>
    <w:p>
      <w:pPr>
        <w:sectPr>
          <w:pgSz w:w="11900" w:h="16838" w:orient="portrait"/>
          <w:cols w:equalWidth="0" w:num="2">
            <w:col w:w="180" w:space="580"/>
            <w:col w:w="10480"/>
          </w:cols>
          <w:pgMar w:left="320" w:top="33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169" w:lineRule="exact"/>
        <w:rPr>
          <w:sz w:val="24"/>
          <w:szCs w:val="24"/>
          <w:color w:val="auto"/>
        </w:rPr>
      </w:pPr>
    </w:p>
    <w:p>
      <w:pPr>
        <w:sectPr>
          <w:pgSz w:w="11900" w:h="16838" w:orient="portrait"/>
          <w:cols w:equalWidth="0" w:num="2">
            <w:col w:w="180" w:space="580"/>
            <w:col w:w="10480"/>
          </w:cols>
          <w:pgMar w:left="320" w:top="333" w:right="339" w:bottom="1440" w:gutter="0" w:footer="0" w:header="0"/>
          <w:type w:val="continuous"/>
        </w:sectPr>
      </w:pPr>
    </w:p>
    <w:p>
      <w:pPr>
        <w:ind w:left="760" w:hanging="752"/>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 ]</w:t>
            </w:r>
          </w:p>
        </w:tc>
        <w:tc>
          <w:tcPr>
            <w:tcW w:w="7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Definitive Additional Materials.</w:t>
            </w:r>
          </w:p>
        </w:tc>
      </w:tr>
      <w:tr>
        <w:trPr>
          <w:trHeight w:val="351"/>
        </w:trPr>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 ]</w:t>
            </w:r>
          </w:p>
        </w:tc>
        <w:tc>
          <w:tcPr>
            <w:tcW w:w="7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Soliciting Material Pursuant to §240.14a-12.</w:t>
            </w:r>
          </w:p>
        </w:tc>
      </w:tr>
      <w:tr>
        <w:trPr>
          <w:trHeight w:val="392"/>
        </w:trPr>
        <w:tc>
          <w:tcPr>
            <w:tcW w:w="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tc>
        <w:tc>
          <w:tcPr>
            <w:tcW w:w="1900" w:type="dxa"/>
            <w:vAlign w:val="bottom"/>
          </w:tcPr>
          <w:p>
            <w:pPr>
              <w:spacing w:after="0"/>
              <w:rPr>
                <w:sz w:val="24"/>
                <w:szCs w:val="24"/>
                <w:color w:val="auto"/>
              </w:rPr>
            </w:pPr>
          </w:p>
        </w:tc>
      </w:tr>
      <w:tr>
        <w:trPr>
          <w:trHeight w:val="218"/>
        </w:trPr>
        <w:tc>
          <w:tcPr>
            <w:tcW w:w="460" w:type="dxa"/>
            <w:vAlign w:val="bottom"/>
          </w:tcPr>
          <w:p>
            <w:pPr>
              <w:spacing w:after="0"/>
              <w:rPr>
                <w:sz w:val="18"/>
                <w:szCs w:val="18"/>
                <w:color w:val="auto"/>
              </w:rPr>
            </w:pPr>
          </w:p>
        </w:tc>
        <w:tc>
          <w:tcPr>
            <w:tcW w:w="7640" w:type="dxa"/>
            <w:vAlign w:val="bottom"/>
            <w:gridSpan w:val="3"/>
          </w:tcPr>
          <w:p>
            <w:pPr>
              <w:jc w:val="center"/>
              <w:ind w:left="259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tc>
      </w:tr>
      <w:tr>
        <w:trPr>
          <w:trHeight w:val="234"/>
        </w:trPr>
        <w:tc>
          <w:tcPr>
            <w:tcW w:w="460" w:type="dxa"/>
            <w:vAlign w:val="bottom"/>
          </w:tcPr>
          <w:p>
            <w:pPr>
              <w:spacing w:after="0"/>
              <w:rPr>
                <w:sz w:val="20"/>
                <w:szCs w:val="20"/>
                <w:color w:val="auto"/>
              </w:rPr>
            </w:pPr>
          </w:p>
        </w:tc>
        <w:tc>
          <w:tcPr>
            <w:tcW w:w="7640" w:type="dxa"/>
            <w:vAlign w:val="bottom"/>
            <w:gridSpan w:val="3"/>
          </w:tcPr>
          <w:p>
            <w:pPr>
              <w:jc w:val="center"/>
              <w:ind w:left="2610"/>
              <w:spacing w:after="0"/>
              <w:rPr>
                <w:sz w:val="20"/>
                <w:szCs w:val="20"/>
                <w:color w:val="auto"/>
              </w:rPr>
            </w:pPr>
            <w:r>
              <w:rPr>
                <w:rFonts w:ascii="Times New Roman" w:cs="Times New Roman" w:eastAsia="Times New Roman" w:hAnsi="Times New Roman"/>
                <w:sz w:val="18"/>
                <w:szCs w:val="18"/>
                <w:color w:val="auto"/>
                <w:w w:val="99"/>
              </w:rPr>
              <w:t>(Name of Person(s) Filing Proxy Statement, if other than Registrant)</w:t>
            </w:r>
          </w:p>
        </w:tc>
      </w:tr>
    </w:tbl>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00" w:lineRule="exact"/>
        <w:rPr>
          <w:sz w:val="24"/>
          <w:szCs w:val="24"/>
          <w:color w:val="auto"/>
        </w:rPr>
      </w:pPr>
    </w:p>
    <w:p>
      <w:pPr>
        <w:spacing w:after="0" w:line="309" w:lineRule="exact"/>
        <w:rPr>
          <w:sz w:val="24"/>
          <w:szCs w:val="24"/>
          <w:color w:val="auto"/>
        </w:rPr>
      </w:pPr>
    </w:p>
    <w:p>
      <w:pPr>
        <w:ind w:left="620" w:hanging="612"/>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Fee computed on table below per Exchange Act Rules 14a-6(i)(4) and 0-11.</w:t>
      </w:r>
    </w:p>
    <w:p>
      <w:pPr>
        <w:spacing w:after="0" w:line="157" w:lineRule="exact"/>
        <w:rPr>
          <w:rFonts w:ascii="Times New Roman" w:cs="Times New Roman" w:eastAsia="Times New Roman" w:hAnsi="Times New Roman"/>
          <w:sz w:val="18"/>
          <w:szCs w:val="18"/>
          <w:color w:val="auto"/>
        </w:rPr>
      </w:pPr>
    </w:p>
    <w:p>
      <w:pPr>
        <w:ind w:left="1420" w:hanging="782"/>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144" w:lineRule="exact"/>
        <w:rPr>
          <w:rFonts w:ascii="Times New Roman" w:cs="Times New Roman" w:eastAsia="Times New Roman" w:hAnsi="Times New Roman"/>
          <w:sz w:val="18"/>
          <w:szCs w:val="18"/>
          <w:color w:val="auto"/>
        </w:rPr>
      </w:pPr>
    </w:p>
    <w:p>
      <w:pPr>
        <w:ind w:left="1420" w:hanging="782"/>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w:t>
      </w:r>
    </w:p>
    <w:p>
      <w:pPr>
        <w:spacing w:after="0" w:line="157" w:lineRule="exact"/>
        <w:rPr>
          <w:rFonts w:ascii="Times New Roman" w:cs="Times New Roman" w:eastAsia="Times New Roman" w:hAnsi="Times New Roman"/>
          <w:sz w:val="18"/>
          <w:szCs w:val="18"/>
          <w:color w:val="auto"/>
        </w:rPr>
      </w:pPr>
    </w:p>
    <w:p>
      <w:pPr>
        <w:ind w:left="1080" w:hanging="442"/>
        <w:spacing w:after="0" w:line="282" w:lineRule="auto"/>
        <w:tabs>
          <w:tab w:leader="none" w:pos="140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80" w:lineRule="exact"/>
        <w:rPr>
          <w:rFonts w:ascii="Times New Roman" w:cs="Times New Roman" w:eastAsia="Times New Roman" w:hAnsi="Times New Roman"/>
          <w:sz w:val="18"/>
          <w:szCs w:val="18"/>
          <w:color w:val="auto"/>
        </w:rPr>
      </w:pPr>
    </w:p>
    <w:p>
      <w:pPr>
        <w:ind w:left="1420" w:hanging="782"/>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157" w:lineRule="exact"/>
        <w:rPr>
          <w:rFonts w:ascii="Times New Roman" w:cs="Times New Roman" w:eastAsia="Times New Roman" w:hAnsi="Times New Roman"/>
          <w:sz w:val="18"/>
          <w:szCs w:val="18"/>
          <w:color w:val="auto"/>
        </w:rPr>
      </w:pPr>
    </w:p>
    <w:p>
      <w:pPr>
        <w:ind w:left="1420" w:hanging="782"/>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158"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Fee paid previously with preliminary materials.</w:t>
      </w:r>
    </w:p>
    <w:p>
      <w:pPr>
        <w:spacing w:after="0" w:line="144" w:lineRule="exact"/>
        <w:rPr>
          <w:sz w:val="24"/>
          <w:szCs w:val="24"/>
          <w:color w:val="auto"/>
        </w:rPr>
      </w:pPr>
    </w:p>
    <w:p>
      <w:pPr>
        <w:ind w:left="640" w:hanging="632"/>
        <w:spacing w:after="0" w:line="282" w:lineRule="auto"/>
        <w:tabs>
          <w:tab w:leader="none" w:pos="9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4" w:lineRule="exact"/>
        <w:rPr>
          <w:rFonts w:ascii="Times New Roman" w:cs="Times New Roman" w:eastAsia="Times New Roman" w:hAnsi="Times New Roman"/>
          <w:sz w:val="18"/>
          <w:szCs w:val="18"/>
          <w:color w:val="auto"/>
        </w:rPr>
      </w:pPr>
    </w:p>
    <w:p>
      <w:pPr>
        <w:ind w:left="1420" w:hanging="782"/>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157" w:lineRule="exact"/>
        <w:rPr>
          <w:rFonts w:ascii="Times New Roman" w:cs="Times New Roman" w:eastAsia="Times New Roman" w:hAnsi="Times New Roman"/>
          <w:sz w:val="18"/>
          <w:szCs w:val="18"/>
          <w:color w:val="auto"/>
        </w:rPr>
      </w:pPr>
    </w:p>
    <w:p>
      <w:pPr>
        <w:ind w:left="1420" w:hanging="782"/>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144" w:lineRule="exact"/>
        <w:rPr>
          <w:rFonts w:ascii="Times New Roman" w:cs="Times New Roman" w:eastAsia="Times New Roman" w:hAnsi="Times New Roman"/>
          <w:sz w:val="18"/>
          <w:szCs w:val="18"/>
          <w:color w:val="auto"/>
        </w:rPr>
      </w:pPr>
    </w:p>
    <w:p>
      <w:pPr>
        <w:ind w:left="1420" w:hanging="782"/>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157" w:lineRule="exact"/>
        <w:rPr>
          <w:rFonts w:ascii="Times New Roman" w:cs="Times New Roman" w:eastAsia="Times New Roman" w:hAnsi="Times New Roman"/>
          <w:sz w:val="18"/>
          <w:szCs w:val="18"/>
          <w:color w:val="auto"/>
        </w:rPr>
      </w:pPr>
    </w:p>
    <w:p>
      <w:pPr>
        <w:ind w:left="1420" w:hanging="782"/>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3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6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9"/>
              </w:rPr>
              <w:t>CLEARONE, INC.</w:t>
            </w:r>
          </w:p>
        </w:tc>
        <w:tc>
          <w:tcPr>
            <w:tcW w:w="0" w:type="dxa"/>
            <w:vAlign w:val="bottom"/>
          </w:tcPr>
          <w:p>
            <w:pPr>
              <w:spacing w:after="0"/>
              <w:rPr>
                <w:sz w:val="1"/>
                <w:szCs w:val="1"/>
                <w:color w:val="auto"/>
              </w:rPr>
            </w:pPr>
          </w:p>
        </w:tc>
      </w:tr>
      <w:tr>
        <w:trPr>
          <w:trHeight w:val="220"/>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760" w:type="dxa"/>
            <w:vAlign w:val="bottom"/>
          </w:tcPr>
          <w:p>
            <w:pPr>
              <w:spacing w:after="0"/>
              <w:rPr>
                <w:sz w:val="19"/>
                <w:szCs w:val="19"/>
                <w:color w:val="auto"/>
              </w:rPr>
            </w:pPr>
          </w:p>
        </w:tc>
        <w:tc>
          <w:tcPr>
            <w:tcW w:w="886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tc>
        <w:tc>
          <w:tcPr>
            <w:tcW w:w="0" w:type="dxa"/>
            <w:vAlign w:val="bottom"/>
          </w:tcPr>
          <w:p>
            <w:pPr>
              <w:spacing w:after="0"/>
              <w:rPr>
                <w:sz w:val="1"/>
                <w:szCs w:val="1"/>
                <w:color w:val="auto"/>
              </w:rPr>
            </w:pPr>
          </w:p>
        </w:tc>
      </w:tr>
      <w:tr>
        <w:trPr>
          <w:trHeight w:val="234"/>
        </w:trPr>
        <w:tc>
          <w:tcPr>
            <w:tcW w:w="1620" w:type="dxa"/>
            <w:vAlign w:val="bottom"/>
            <w:vMerge w:val="continue"/>
          </w:tcPr>
          <w:p>
            <w:pPr>
              <w:spacing w:after="0"/>
              <w:rPr>
                <w:sz w:val="20"/>
                <w:szCs w:val="20"/>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December 29, 2025</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w:t>
            </w: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9:30 a.m. Mountain time</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Website</w:t>
            </w: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www.colonialstock.com/clroinc2025</w:t>
            </w:r>
          </w:p>
        </w:tc>
        <w:tc>
          <w:tcPr>
            <w:tcW w:w="0" w:type="dxa"/>
            <w:vAlign w:val="bottom"/>
          </w:tcPr>
          <w:p>
            <w:pPr>
              <w:spacing w:after="0"/>
              <w:rPr>
                <w:sz w:val="1"/>
                <w:szCs w:val="1"/>
                <w:color w:val="auto"/>
              </w:rPr>
            </w:pPr>
          </w:p>
        </w:tc>
      </w:tr>
      <w:tr>
        <w:trPr>
          <w:trHeight w:val="414"/>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December 11, 2025. Only shareholders of record at the close of business on the record date are entitled to receive notice of, and</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 vote at, the Annual Meeting.</w:t>
            </w:r>
          </w:p>
        </w:tc>
        <w:tc>
          <w:tcPr>
            <w:tcW w:w="0" w:type="dxa"/>
            <w:vAlign w:val="bottom"/>
          </w:tcPr>
          <w:p>
            <w:pPr>
              <w:spacing w:after="0"/>
              <w:rPr>
                <w:sz w:val="1"/>
                <w:szCs w:val="1"/>
                <w:color w:val="auto"/>
              </w:rPr>
            </w:pPr>
          </w:p>
        </w:tc>
      </w:tr>
      <w:tr>
        <w:trPr>
          <w:trHeight w:val="414"/>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Proxy voting</w:t>
            </w: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This proxy statement (“Proxy Statement”) is being furnished to the shareholders (the “Shareholders”) of ClearOne, Inc., a</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Delaware corporation (the “Company” or “ClearOne”), in connection with the solicitation of proxies by the Board of Directors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of the Company (the “Board”) from the Shareholders for use at the Annual Meeting of Shareholders to be held at 9:30 a.m.,</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Mountain Time, on Monday, December 29, 2025, and any continuations, postponements or adjournments thereof (the “Annual</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Meeting”). The Annual Meeting will be held exclusively online, via a live audio-only webcast. If you plan to attend the virtual</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meeting, please see the information below as well as the attendance and registration instructions in the proxy statement. There</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will be no physical location for this meeting.</w:t>
            </w:r>
          </w:p>
        </w:tc>
        <w:tc>
          <w:tcPr>
            <w:tcW w:w="0" w:type="dxa"/>
            <w:vAlign w:val="bottom"/>
          </w:tcPr>
          <w:p>
            <w:pPr>
              <w:spacing w:after="0"/>
              <w:rPr>
                <w:sz w:val="1"/>
                <w:szCs w:val="1"/>
                <w:color w:val="auto"/>
              </w:rPr>
            </w:pPr>
          </w:p>
        </w:tc>
      </w:tr>
      <w:tr>
        <w:trPr>
          <w:trHeight w:val="302"/>
        </w:trPr>
        <w:tc>
          <w:tcPr>
            <w:tcW w:w="1620" w:type="dxa"/>
            <w:vAlign w:val="bottom"/>
          </w:tcPr>
          <w:p>
            <w:pPr>
              <w:spacing w:after="0"/>
              <w:rPr>
                <w:sz w:val="24"/>
                <w:szCs w:val="24"/>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OUR  ANNUAL</w:t>
            </w: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MEETING TO BE HELD ON DECEMBER 29, 2025.</w:t>
            </w:r>
          </w:p>
        </w:tc>
        <w:tc>
          <w:tcPr>
            <w:tcW w:w="0" w:type="dxa"/>
            <w:vAlign w:val="bottom"/>
          </w:tcPr>
          <w:p>
            <w:pPr>
              <w:spacing w:after="0"/>
              <w:rPr>
                <w:sz w:val="1"/>
                <w:szCs w:val="1"/>
                <w:color w:val="auto"/>
              </w:rPr>
            </w:pPr>
          </w:p>
        </w:tc>
      </w:tr>
      <w:tr>
        <w:trPr>
          <w:trHeight w:val="306"/>
        </w:trPr>
        <w:tc>
          <w:tcPr>
            <w:tcW w:w="1620" w:type="dxa"/>
            <w:vAlign w:val="bottom"/>
          </w:tcPr>
          <w:p>
            <w:pPr>
              <w:spacing w:after="0"/>
              <w:rPr>
                <w:sz w:val="24"/>
                <w:szCs w:val="24"/>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Because we have elected to utilize the “full set delivery” option, we are delivering to all Shareholders paper copies of all of our</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proxy materials, including a proxy card, as well as providing access to our proxy materials on a publicly accessible website. Our</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proxy statement, form of proxy card, and Annual Report on Form 10-K for the year ended December 31, 2024 (the “2024</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Annual Report”) are available online at www.colonialstock.com/clroinc2025. On or about December 17, 2025, we will have sent</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 our Shareholders a proxy statement, a form of proxy card, and the 2024 Annual Report. Whether or not you plan to attend the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virtual Annual Meeting, the Company urges you to read this material carefully and vote your shares. Shareholders will have the</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opportunity to present questions, including regarding the 2024 Annual Report, to management at the Annual Meeting.</w:t>
            </w:r>
          </w:p>
        </w:tc>
        <w:tc>
          <w:tcPr>
            <w:tcW w:w="0" w:type="dxa"/>
            <w:vAlign w:val="bottom"/>
          </w:tcPr>
          <w:p>
            <w:pPr>
              <w:spacing w:after="0"/>
              <w:rPr>
                <w:sz w:val="1"/>
                <w:szCs w:val="1"/>
                <w:color w:val="auto"/>
              </w:rPr>
            </w:pP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w:t>
            </w:r>
          </w:p>
        </w:tc>
        <w:tc>
          <w:tcPr>
            <w:tcW w:w="8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elect five members of our Board of Directors;</w:t>
            </w:r>
          </w:p>
        </w:tc>
        <w:tc>
          <w:tcPr>
            <w:tcW w:w="0" w:type="dxa"/>
            <w:vAlign w:val="bottom"/>
          </w:tcPr>
          <w:p>
            <w:pPr>
              <w:spacing w:after="0"/>
              <w:rPr>
                <w:sz w:val="1"/>
                <w:szCs w:val="1"/>
                <w:color w:val="auto"/>
              </w:rPr>
            </w:pPr>
          </w:p>
        </w:tc>
      </w:tr>
      <w:tr>
        <w:trPr>
          <w:trHeight w:val="391"/>
        </w:trPr>
        <w:tc>
          <w:tcPr>
            <w:tcW w:w="1620" w:type="dxa"/>
            <w:vAlign w:val="bottom"/>
          </w:tcPr>
          <w:p>
            <w:pPr>
              <w:spacing w:after="0"/>
              <w:rPr>
                <w:sz w:val="24"/>
                <w:szCs w:val="24"/>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w:t>
            </w:r>
          </w:p>
        </w:tc>
        <w:tc>
          <w:tcPr>
            <w:tcW w:w="8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tc>
        <w:tc>
          <w:tcPr>
            <w:tcW w:w="0" w:type="dxa"/>
            <w:vAlign w:val="bottom"/>
          </w:tcPr>
          <w:p>
            <w:pPr>
              <w:spacing w:after="0"/>
              <w:rPr>
                <w:sz w:val="1"/>
                <w:szCs w:val="1"/>
                <w:color w:val="auto"/>
              </w:rPr>
            </w:pPr>
          </w:p>
        </w:tc>
      </w:tr>
      <w:tr>
        <w:trPr>
          <w:trHeight w:val="405"/>
        </w:trPr>
        <w:tc>
          <w:tcPr>
            <w:tcW w:w="1620" w:type="dxa"/>
            <w:vAlign w:val="bottom"/>
          </w:tcPr>
          <w:p>
            <w:pPr>
              <w:spacing w:after="0"/>
              <w:rPr>
                <w:sz w:val="24"/>
                <w:szCs w:val="24"/>
                <w:color w:val="auto"/>
              </w:rPr>
            </w:pPr>
          </w:p>
        </w:tc>
        <w:tc>
          <w:tcPr>
            <w:tcW w:w="9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items of business are more fully described in the proxy statement accompanying this notice.</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Brewer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proxy statement is solicited by and on behalf of the Board of Directors of ClearOne, Inc., a Delaware corporation (hereinafter referred to as the “Company,” “ClearOne,” “we,” “us” or “our”), for use at the Annual Meeting of Shareholders (the “Annual Meeting”), to be held on Monday, December 29, 2025. The Annual Meeting will be held exclusively online, via a live audio-only webcast. If you plan to attend the virtual meeting, please see the information below as well as the attendance and registration instructions in the proxy statement. There will be no physical location for this meeting.</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proxy solicitation materials will be distributed on or about December 17, 2025 to all shareholders entitled to vote at the meeting.</w:t>
      </w:r>
    </w:p>
    <w:p>
      <w:pPr>
        <w:spacing w:after="0" w:line="221" w:lineRule="exact"/>
        <w:rPr>
          <w:sz w:val="20"/>
          <w:szCs w:val="20"/>
          <w:color w:val="auto"/>
        </w:rPr>
      </w:pPr>
    </w:p>
    <w:p>
      <w:pPr>
        <w:ind w:right="5500"/>
        <w:spacing w:after="0" w:line="417" w:lineRule="auto"/>
        <w:rPr>
          <w:sz w:val="20"/>
          <w:szCs w:val="20"/>
          <w:color w:val="auto"/>
        </w:rPr>
      </w:pPr>
      <w:r>
        <w:rPr>
          <w:rFonts w:ascii="Times New Roman" w:cs="Times New Roman" w:eastAsia="Times New Roman" w:hAnsi="Times New Roman"/>
          <w:sz w:val="18"/>
          <w:szCs w:val="18"/>
          <w:b w:val="1"/>
          <w:bCs w:val="1"/>
          <w:color w:val="auto"/>
        </w:rPr>
        <w:t>QUESTIONS AND ANSWERS REGARDING THE ANNUAL MEETING How is ClearOne distributing the proxy materials?</w:t>
      </w: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ClearOne has elected to utilize the “full set delivery” option. We are delivering to all shareholders paper copies of all of our proxy materials, including a proxy card, as well as providing access to our proxy materials on a publicly accessible website. Our proxy statement, form of proxy card, and Annual Report on Form 10-K for the year ended December 31, 2024 are available online at </w:t>
      </w:r>
      <w:r>
        <w:rPr>
          <w:rFonts w:ascii="Times New Roman" w:cs="Times New Roman" w:eastAsia="Times New Roman" w:hAnsi="Times New Roman"/>
          <w:sz w:val="18"/>
          <w:szCs w:val="18"/>
          <w:u w:val="single" w:color="auto"/>
          <w:color w:val="auto"/>
        </w:rPr>
        <w:t>www.colonialstock.com/clroinc2025</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or about December 17, 2025, we will have sent to our stockholders a proxy statement, a form of proxy card, and the Annual Report on Form 10-K for the year ended December 31, 2024 (the “2024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this Proxy Statement and accompanying Proxy?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with full power of substitution as proxies for the Annual Meeting. These officers are Derek L. Graham and Simon Brewer.</w:t>
      </w:r>
    </w:p>
    <w:p>
      <w:pPr>
        <w:spacing w:after="0" w:line="1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is soliciting your proxy to give all shareholders of record the opportunity to vote on matters that will be presented at the Annual Meeting. This Proxy Statement provides you with information on these matters to assist you in voting your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the Annual Meeting is to:</w:t>
      </w:r>
    </w:p>
    <w:p>
      <w:pPr>
        <w:spacing w:after="0" w:line="158" w:lineRule="exact"/>
        <w:rPr>
          <w:sz w:val="20"/>
          <w:szCs w:val="20"/>
          <w:color w:val="auto"/>
        </w:rPr>
      </w:pPr>
    </w:p>
    <w:p>
      <w:pPr>
        <w:ind w:left="840" w:hanging="184"/>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members of our Board of Directors; and</w:t>
      </w:r>
    </w:p>
    <w:p>
      <w:pPr>
        <w:spacing w:after="0" w:line="144"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15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Although the Board of Directors does not anticipate that any other issues will come before the Annual Meeting, your completed and executed proxy gives the official proxies the right to vote your shares that you are entitled to vote in accordance with your instructions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record date for voting at the Annual Meeting?</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record date for purposes of determining the number of outstanding shares of our common stock eligible to vote at the Annual Meeting, and for determining the shareholders entitled to vote at the Annual Meeting, is the close of business on December 11, 2025 (the “Record Date”). As of the Record Date, 2,237,912 shares of common stock were issued and outstanding. Holders of the shares of common stock have no preemptive rights. The transfer agent for the common stock is: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549" w:right="33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color w:val="auto"/>
        </w:rPr>
        <w:t>Colonial Stock Transfer Company,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7840 S. 700 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Sandy, UT 84070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Phone: 801-355-5740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 801-355-6505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Annual Meeting?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quorum must be present at the meeting in order for the shareholders to take official action. Under Delaware law and our Certificate of Incorporation and Bylaws, a quorum will exist if a majority of the total number of shares entitled to vote are present, in person or by proxy.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broker non-vote and how is it counted?</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applicable rules, brokers are permitted to vote their customers’ stock held in street name on routine matters when the brokers have not received voting instructions from their customers. However, brokers are not allowed 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routine matters will be voted on at the Annual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routine matters on which brokers may vote in their discretion on behalf of customers who have not provided voting instructions.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non-routine matters will be voted on at the Annual Meeting?</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matters to be voted upon at the Annual Meeting are non-routine matters on which brokers are not allowed to vote unless they have received voting instructions from their customers. Your broker will not be allowed to vote your shares on any non-routine matters without your specific instructions. Accordingly, it is particularly important that beneficial owners instruct their brokers how they wish to vote their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all matters, except as otherwise provided by Delaware law, each holder of common stock will be entitled to one vote for each share of common stock held on the Record Date. Assuming that a quorum is present, the votes needed to approve each Proposal are set forth below.</w:t>
      </w:r>
    </w:p>
    <w:p>
      <w:pPr>
        <w:spacing w:after="0" w:line="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1 – The Election of Directors: </w:t>
      </w:r>
      <w:r>
        <w:rPr>
          <w:rFonts w:ascii="Times New Roman" w:cs="Times New Roman" w:eastAsia="Times New Roman" w:hAnsi="Times New Roman"/>
          <w:sz w:val="18"/>
          <w:szCs w:val="18"/>
          <w:color w:val="auto"/>
        </w:rPr>
        <w:t>In the election of directors, shareholders will not be allowed to cumulate their votes. The election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will be determined by plurality vote. Abstentions and broker non-votes will not affect the outcome of the election of directors.</w:t>
      </w:r>
    </w:p>
    <w:p>
      <w:pPr>
        <w:spacing w:after="0" w:line="8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Proposal 2 – Other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matter properly presented for approval by the shareholders at the Annual Meeting will generally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if the number of votes cast in favor of such matter exceeds the number of votes cast in opposition. With respect to any such matter, abstentions and broker non-votes are not likely to affect the outcome of a vote on such matter. We are not currently aware of any other matters to be presented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Board of Director’s recommendations on the Proposals?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recommends that shareholders cast their votes on the Proposals as follows:</w:t>
      </w:r>
    </w:p>
    <w:p>
      <w:pPr>
        <w:spacing w:after="0" w:line="154" w:lineRule="exact"/>
        <w:rPr>
          <w:sz w:val="20"/>
          <w:szCs w:val="20"/>
          <w:color w:val="auto"/>
        </w:rPr>
      </w:pPr>
    </w:p>
    <w:p>
      <w:pPr>
        <w:ind w:left="900" w:hanging="100"/>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1 – ”FOR” </w:t>
      </w:r>
      <w:r>
        <w:rPr>
          <w:rFonts w:ascii="Times New Roman" w:cs="Times New Roman" w:eastAsia="Times New Roman" w:hAnsi="Times New Roman"/>
          <w:sz w:val="18"/>
          <w:szCs w:val="18"/>
          <w:color w:val="auto"/>
        </w:rPr>
        <w:t>the election of all five director nominees; and</w:t>
      </w:r>
    </w:p>
    <w:p>
      <w:pPr>
        <w:spacing w:after="0" w:line="157" w:lineRule="exact"/>
        <w:rPr>
          <w:rFonts w:ascii="Times New Roman" w:cs="Times New Roman" w:eastAsia="Times New Roman" w:hAnsi="Times New Roman"/>
          <w:sz w:val="18"/>
          <w:szCs w:val="18"/>
          <w:color w:val="auto"/>
        </w:rPr>
      </w:pPr>
    </w:p>
    <w:p>
      <w:pPr>
        <w:ind w:left="900" w:hanging="100"/>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2 – “FOR” </w:t>
      </w:r>
      <w:r>
        <w:rPr>
          <w:rFonts w:ascii="Times New Roman" w:cs="Times New Roman" w:eastAsia="Times New Roman" w:hAnsi="Times New Roman"/>
          <w:sz w:val="18"/>
          <w:szCs w:val="18"/>
          <w:color w:val="auto"/>
        </w:rPr>
        <w:t>such other matters properly presented by the Board of Directors for approval by the Shareholders at the Annual Meeting.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55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a “shareholder of record” and a “street name” holder?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terms describe how your shares are held. If your shares are registered directly in your name with Colonial, our transfer agent, you are a “shareholder of record.” If your shares are held in the name of a brokerage, bank, trust or other nominee as a custodian, you are a “street name”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get more than one copy of the proxy statement or annual report if there are multiple shareholders at my address?</w:t>
      </w:r>
    </w:p>
    <w:p>
      <w:pPr>
        <w:spacing w:after="0" w:line="14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some cases, only one copy of this proxy statement or 2024 Annual Report is being delivered to multiple shareholders sharing an address unless we have received contrary instructions from one or more of the shareholders. We will deliver promptly, upon a written or oral request, a separate copy of this proxy statement or the 2024 Annual Report to a shareholder at a shared address to which a single copy of the document was delivered. Shareholders sharing an address may also submit requests for delivery of a single copy of the proxy statement or 2024 Annual Report, but in such event will still receive separate proxies for each account. To request separate or single delivery of these materials now or in the future, a shareholder may submit a written request to the Corporate Secretary, ClearOne, Inc., 5225 Wiley Post Way, Suite 500, Salt Lake City, Utah 84116 or a shareholder may make a request by calling the Corporate Secretary at (801) 975-7200, or by contacting our transfer agent, Colonial Stock Transfer Company, Inc, 7840 S. 700 E., Sandy, UT 84070 or calling (801) 355-5740.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attend the meeting?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has decided that the Annual Meeting will be a completely virtual meeting of stockholders, which will be conducted exclusively online via a live audio-only webcast. There will be no physical location for the Annual Meeting. You are entitled to participate in the annual meeting only if you were a stockholder as of the close of business on the Record Date, or if you hold a valid proxy for the Annual Meeting. The virtual Annual Meeting has been designed to provide substantially the same rights to participate as you would have at an in-person meeting.</w:t>
      </w:r>
    </w:p>
    <w:p>
      <w:pPr>
        <w:spacing w:after="0" w:line="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you are a stockholder, you can attend the Annual Meeting online, vote and submit your questions prior to and during the meeting by visiting </w:t>
      </w:r>
      <w:r>
        <w:rPr>
          <w:rFonts w:ascii="Times New Roman" w:cs="Times New Roman" w:eastAsia="Times New Roman" w:hAnsi="Times New Roman"/>
          <w:sz w:val="18"/>
          <w:szCs w:val="18"/>
          <w:u w:val="single" w:color="auto"/>
          <w:color w:val="auto"/>
        </w:rPr>
        <w:t>www.colonialstock.com/clroinc2025</w:t>
      </w:r>
      <w:r>
        <w:rPr>
          <w:rFonts w:ascii="Times New Roman" w:cs="Times New Roman" w:eastAsia="Times New Roman" w:hAnsi="Times New Roman"/>
          <w:sz w:val="18"/>
          <w:szCs w:val="18"/>
          <w:color w:val="auto"/>
        </w:rPr>
        <w:t>. Please follow the login and registration instructions outlined below. You will need a 15-digit control number to participate in the Annual Meeting.</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Anyone may enter the virtual Annual Meeting as a guest in listen-only mode at </w:t>
      </w:r>
      <w:r>
        <w:rPr>
          <w:rFonts w:ascii="Times New Roman" w:cs="Times New Roman" w:eastAsia="Times New Roman" w:hAnsi="Times New Roman"/>
          <w:sz w:val="18"/>
          <w:szCs w:val="18"/>
          <w:u w:val="single" w:color="auto"/>
          <w:color w:val="auto"/>
        </w:rPr>
        <w:t>www.colonialstock.com/clroinc2025</w:t>
      </w:r>
      <w:r>
        <w:rPr>
          <w:rFonts w:ascii="Times New Roman" w:cs="Times New Roman" w:eastAsia="Times New Roman" w:hAnsi="Times New Roman"/>
          <w:sz w:val="18"/>
          <w:szCs w:val="18"/>
          <w:color w:val="auto"/>
        </w:rPr>
        <w:t>, but only stockholders of record and beneficial owners of shares who have registered for the meeting may participate in the Annual Meeting.</w:t>
      </w:r>
    </w:p>
    <w:p>
      <w:pPr>
        <w:spacing w:after="0" w:line="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online meeting will begin promptly at 9:30 a.m., Central Time on Monday, December 29, 2025. We encourage you to access the meeting prior to the start time to provide ample time for logging 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trouble accessing the Annual Meeting virtually?</w:t>
      </w:r>
    </w:p>
    <w:p>
      <w:pPr>
        <w:spacing w:after="0" w:line="14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have difficulties logging into the Annual Meeting virtually, you can utilize the technical resources available on the log-in webpage for the virtual annual meeting at </w:t>
      </w:r>
      <w:r>
        <w:rPr>
          <w:rFonts w:ascii="Times New Roman" w:cs="Times New Roman" w:eastAsia="Times New Roman" w:hAnsi="Times New Roman"/>
          <w:sz w:val="18"/>
          <w:szCs w:val="18"/>
          <w:u w:val="single" w:color="auto"/>
          <w:color w:val="auto"/>
        </w:rPr>
        <w:t>www.colonialstock.com/clroinc2025</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there are any technical issues in convening or hosting the annual meeting, we will promptly post information to our website, https://investors.clearone.com/press-releases, under the press releases heading, including information on when the meeting will be reconvened.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your shares of common stock are held in street name by a broker, bank or other nominee, you will receive information from your nominee as to how to instruct them to vote your shares of common stock for each of the Proposals discussed in this proxy statement.</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shareholder of record and hold common stock in your own name, you may give instructions on how to vote your shares of common stock by following the instructions on the proxy card on how to vote over the Internet, by phone, or by mail by completing, signing, dating and returning the proxy card.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65" w:right="339" w:bottom="1440" w:gutter="0" w:footer="0" w:header="0"/>
        </w:sectPr>
      </w:pPr>
    </w:p>
    <w:bookmarkStart w:id="5" w:name="page6"/>
    <w:bookmarkEnd w:id="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By completing and submitting the proxy (whether over the internet, by telephone, or by signing, dating and mailing the accompanying proxy card), the shareholder authorizes Derek L. Graham, Chief Executive Officer, and Simon Brewer, Corporate Secretary and Chief Financial Officer, as designated on the face of the proxy, to vote all shares for the shareholder. All proxies that are properly completed and submitted will be voted as the shareholder directs. If no direction is given, executed proxies will be voted FOR the election of all five director nominees and FOR Proposal 2. Votes will be tabulated by Colonial.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revoke your proxy before the vote is taken at the Annual Meeting by:</w:t>
      </w:r>
    </w:p>
    <w:p>
      <w:pPr>
        <w:spacing w:after="0" w:line="117" w:lineRule="exact"/>
        <w:rPr>
          <w:sz w:val="20"/>
          <w:szCs w:val="20"/>
          <w:color w:val="auto"/>
        </w:rPr>
      </w:pPr>
    </w:p>
    <w:p>
      <w:pPr>
        <w:ind w:left="540" w:hanging="100"/>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signing and submitting a new proxy with a later date;</w:t>
      </w:r>
    </w:p>
    <w:p>
      <w:pPr>
        <w:spacing w:after="0" w:line="117" w:lineRule="exact"/>
        <w:rPr>
          <w:rFonts w:ascii="Times New Roman" w:cs="Times New Roman" w:eastAsia="Times New Roman" w:hAnsi="Times New Roman"/>
          <w:sz w:val="18"/>
          <w:szCs w:val="18"/>
          <w:color w:val="auto"/>
        </w:rPr>
      </w:pPr>
    </w:p>
    <w:p>
      <w:pPr>
        <w:ind w:left="540" w:hanging="100"/>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virtual Annual Meeting and voting a ballot; or</w:t>
      </w:r>
    </w:p>
    <w:p>
      <w:pPr>
        <w:spacing w:after="0" w:line="117" w:lineRule="exact"/>
        <w:rPr>
          <w:rFonts w:ascii="Times New Roman" w:cs="Times New Roman" w:eastAsia="Times New Roman" w:hAnsi="Times New Roman"/>
          <w:sz w:val="18"/>
          <w:szCs w:val="18"/>
          <w:color w:val="auto"/>
        </w:rPr>
      </w:pPr>
    </w:p>
    <w:p>
      <w:pPr>
        <w:ind w:left="540" w:hanging="100"/>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signed, written notice of revocation with the Corporate Secretary of the Company.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attendance at the virtual Annual Meeting will not automatically revoke your proxy.</w:t>
      </w:r>
    </w:p>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common stock you own is held on your behalf by a broker, bank or other nominee, you must contact the nominee to receive instructions as to how you can revoke your proxy.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You may obtain an additional proxy card by writing to Corporate Secretary, ClearOne, Inc., 5225 Wiley Post Way, Suite 500, Salt Lake City, Utah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84116.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will announce the preliminary voting results at the Annual Meeting and disclose the final voting results in a current report on Form 8-K filed with the SEC within four (4) business days of the date of the Annual Meeting, unless only preliminary voting results are available at that time. To the extent necessary, we will file an amended report on Form 8-K to disclose the final voting results within four business days after the final voting results are known. You may access or obtain a copy of these and our other reports filed with the SEC free of charge on our web site at </w:t>
      </w:r>
      <w:r>
        <w:rPr>
          <w:rFonts w:ascii="Times New Roman" w:cs="Times New Roman" w:eastAsia="Times New Roman" w:hAnsi="Times New Roman"/>
          <w:sz w:val="18"/>
          <w:szCs w:val="18"/>
          <w:i w:val="1"/>
          <w:iCs w:val="1"/>
          <w:color w:val="auto"/>
        </w:rPr>
        <w:t>http://www.clearone.com</w:t>
      </w:r>
      <w:r>
        <w:rPr>
          <w:rFonts w:ascii="Times New Roman" w:cs="Times New Roman" w:eastAsia="Times New Roman" w:hAnsi="Times New Roman"/>
          <w:sz w:val="18"/>
          <w:szCs w:val="18"/>
          <w:color w:val="auto"/>
        </w:rPr>
        <w:t xml:space="preserve">. Also, such Form 8-K, any amendments thereto and other reports we file with the SEC are available to you over the Internet at the SEC’s web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view the shareholder list?</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complete list of shareholders of record entitled to vote at the Annual Meeting will be available, by appointment, for viewing during ordinary business hours for a period of ten (10) days before the Annual Meeting at our offices located at 5225 Wiley Post Way, Suite 500, Salt Lake City, Utah 84116.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for the proxy solicitation related to the Annual Meeting?</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bear the costs of the solicitation. The solicitation of proxies by the Board of Directors will be conducted primarily by mail and through the Internet. Additionally, our officers, directors and employees may solicit proxies personally or by telephone, email or other forms of wire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obtain a copy of the 2024 Annual Report?</w:t>
      </w:r>
    </w:p>
    <w:p>
      <w:pPr>
        <w:spacing w:after="0" w:line="14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mailing the 2024 Annual Report along with a proxy statement and a proxy card. We will also provide, without charge, a printed copy of our 2024 Annual Report, to each shareholder of record as of the record date that requests a copy in writing. Any such requests should be directed to our Corporate Secretary at our corporate offices set forth in this proxy statement.</w:t>
      </w:r>
    </w:p>
    <w:p>
      <w:pPr>
        <w:spacing w:after="0" w:line="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may also access or obtain a copy of our 2024 Annual Report and other reports filed with the SEC free of charge on our web site at http://www.clearone.com, or at the SEC’s web site at http://www.sec.gov. The 2024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Board of Directors shall consist of not less than three or more than nine members as determined by the Board of Directors or our shareholders from time to time. The Board of Directors has currently fixed the number of directors at five.</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nominated current directors Ms. Higley, Mr. Robinson and Mr. Whaley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Nominees for Director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five nominees for election as directors at the Annual Meeting, including our five current directors continuing in office.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Age</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05"/>
        </w:trPr>
        <w:tc>
          <w:tcPr>
            <w:tcW w:w="50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Eric. L Robinson</w:t>
            </w: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7"/>
                <w:szCs w:val="17"/>
                <w:color w:val="auto"/>
              </w:rPr>
            </w:pPr>
          </w:p>
        </w:tc>
        <w:tc>
          <w:tcPr>
            <w:tcW w:w="3580" w:type="dxa"/>
            <w:vAlign w:val="bottom"/>
            <w:tcBorders>
              <w:top w:val="single" w:sz="8" w:color="auto"/>
            </w:tcBorders>
          </w:tcPr>
          <w:p>
            <w:pPr>
              <w:spacing w:after="0" w:line="204" w:lineRule="exact"/>
              <w:rPr>
                <w:sz w:val="20"/>
                <w:szCs w:val="20"/>
                <w:color w:val="auto"/>
              </w:rPr>
            </w:pPr>
            <w:r>
              <w:rPr>
                <w:rFonts w:ascii="Times New Roman" w:cs="Times New Roman" w:eastAsia="Times New Roman" w:hAnsi="Times New Roman"/>
                <w:sz w:val="17"/>
                <w:szCs w:val="17"/>
                <w:color w:val="auto"/>
              </w:rPr>
              <w:t xml:space="preserve">Chairman and Director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2015</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Eric Boehnke</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Lisa B. Higley</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Youngsun Park</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700" w:type="dxa"/>
            <w:vAlign w:val="bottom"/>
            <w:gridSpan w:val="2"/>
          </w:tcPr>
          <w:p>
            <w:pPr>
              <w:spacing w:after="0" w:line="229" w:lineRule="exact"/>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24"/>
                <w:szCs w:val="24"/>
                <w:color w:val="auto"/>
                <w:vertAlign w:val="superscript"/>
              </w:rPr>
              <w:t>(2)</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r>
      <w:tr>
        <w:trPr>
          <w:trHeight w:val="315"/>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Bruce Whaley</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24"/>
                <w:szCs w:val="24"/>
                <w:color w:val="auto"/>
                <w:vertAlign w:val="superscript"/>
              </w:rPr>
              <w:t>(1)</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r>
    </w:tbl>
    <w:p>
      <w:pPr>
        <w:spacing w:after="0" w:line="123"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and Compliance Committee, Compensation Committee and Nominating Committee.</w:t>
      </w:r>
    </w:p>
    <w:p>
      <w:pPr>
        <w:spacing w:after="0" w:line="14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and Compliance Committee.</w:t>
      </w:r>
    </w:p>
    <w:p>
      <w:pPr>
        <w:spacing w:after="0" w:line="1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Eric. L Robinson </w:t>
      </w:r>
      <w:r>
        <w:rPr>
          <w:rFonts w:ascii="Times New Roman" w:cs="Times New Roman" w:eastAsia="Times New Roman" w:hAnsi="Times New Roman"/>
          <w:sz w:val="18"/>
          <w:szCs w:val="18"/>
          <w:color w:val="auto"/>
        </w:rPr>
        <w:t>has served as a director of our company since July 2015 and was named Chairman of the Board in February 2022.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Robinson spent fourteen years in private practice as a corporate attorney, including eleven years as a partner in the Salt Lake City, Utah law firm of Blackburn &amp; Stoll, LC. Mr. Robinson’s law practice focused on securities, corporate and other business transactions. For the past five years, Mr. Robinson has been principally employed by MicroPower Global Limited, a company in the semiconductor business, OUR Rescue, Inc. and as a private attorney. At MicroPower, Mr. Robinson acted as General Counsel, Chief Financial Officer and a director. At OUR Rescue, Inc. he acts as VP of Legal Affairs. Mr. Robinson also maintains a law practice and serves as counsel to a number of companies in the fields of regenerative medicine and commercial construction.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included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second largest shareholder, Edward D. Bagley.</w:t>
      </w:r>
    </w:p>
    <w:p>
      <w:pPr>
        <w:spacing w:after="0" w:line="12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Eric Boehnke </w:t>
      </w:r>
      <w:r>
        <w:rPr>
          <w:rFonts w:ascii="Times New Roman" w:cs="Times New Roman" w:eastAsia="Times New Roman" w:hAnsi="Times New Roman"/>
          <w:sz w:val="18"/>
          <w:szCs w:val="18"/>
          <w:color w:val="auto"/>
        </w:rPr>
        <w:t>has served as the principal of Big Sky Management Ltd., a firm providing corporate finance advisory services to private and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since 1999. Over a 25-year career, Mr. Boehnke has been an officer and director of several public companies, assisting them in financing, mergers and acquisitions. Mr. Boehnke was a founder of Terrace Energy a company listed on the Toronto Stock Exchange and served as their CEO from June 2011 through October 2013. With Terrace, Mr. Boehnke was involved in raising more than $150 million of capital through both debt and equity financings and was instrumental in developing the Company’s portfolio of oil and gas assets and hiring of all the executive management. Holding various executive roles, Mr. Boehnke demonstrated team management skills while successfully advancing multiple projects at the same time. Mr. Boehnke has provided financial solutions for both small and large cap companies across all business sectors and across the entire capital structure, including financings (debt, equity, IPO) and mergers and acquisitions. Mr. Boehnke holds a BSc from the University of Toronto.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549" w:right="339" w:bottom="1440" w:gutter="0" w:footer="0" w:header="0"/>
        </w:sectPr>
      </w:pPr>
    </w:p>
    <w:bookmarkStart w:id="7" w:name="page8"/>
    <w:bookmarkEnd w:id="7"/>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Lisa B. Higley </w:t>
      </w:r>
      <w:r>
        <w:rPr>
          <w:rFonts w:ascii="Times New Roman" w:cs="Times New Roman" w:eastAsia="Times New Roman" w:hAnsi="Times New Roman"/>
          <w:sz w:val="18"/>
          <w:szCs w:val="18"/>
          <w:color w:val="auto"/>
        </w:rPr>
        <w:t>was appointed a director of our Company effective July 20, 2020. Ms. Higley has been self-employed as a CPA since June 2009.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she was the CFO for Daisy D’s Paper Company from March 2007 until January 2009, where she managed all aspects of the company’s financial and accounting responsibilities. Additionally, Ms. Higley was the CFO for Tunex International from April 2006 to March 2007 where she was accountable for all financial aspects of the corporation. Prior to that, Ms. Higley was a staff tax accountant at Wisen, Smith, Racker &amp; Prescott LLP from February 2004 to April 2006. Ms. Higley earned her Bachelor of Science in Accounting from the University of Oregon and her MBA from Utah State University, and has been a Utah CPA since 2004. Ms. Higley is the daughter of Edward D. Bagley, our former Chairman of the Board. Mr. Edward D. Bagley beneficially owns 49.60% of our issued and outstanding common stock.</w:t>
      </w:r>
    </w:p>
    <w:p>
      <w:pPr>
        <w:spacing w:after="0" w:line="1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Youngsun “Sunny” Park </w:t>
      </w:r>
      <w:r>
        <w:rPr>
          <w:rFonts w:ascii="Times New Roman" w:cs="Times New Roman" w:eastAsia="Times New Roman" w:hAnsi="Times New Roman"/>
          <w:sz w:val="18"/>
          <w:szCs w:val="18"/>
          <w:color w:val="auto"/>
        </w:rPr>
        <w:t>is a seasoned attorney and trusted advisor with over two decades of experience in estate planning, tax law, civil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litigation, and legal strategy - enhanced by a strong background in public policy and governance. As the first Asian American Pacific Islander (AAPI) woman to serve as Mayor of Buena Park and as a City Council Member (2018 to 2022), she brings unique insight into how legal, business, and governmental systems intersect. Ms. Park currently serves as a housing attorney at Community Legal Aid SoCal, where she handles civil litigation matters, federal housing policy, and property-related disputes. Previously, she was Of Counsel at Asher Law Group in Century City, California, advising high-net-worth individuals and business owners on estate planning, succession strategies, and asset protection from 2007 to 2023. Her LL.M. in Taxation from NYU School of Law has provided her with the technical depth to support complex legal and financial matters throughout her career.</w:t>
      </w:r>
    </w:p>
    <w:p>
      <w:pPr>
        <w:spacing w:after="0" w:line="1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Bruce Whaley </w:t>
      </w:r>
      <w:r>
        <w:rPr>
          <w:rFonts w:ascii="Times New Roman" w:cs="Times New Roman" w:eastAsia="Times New Roman" w:hAnsi="Times New Roman"/>
          <w:sz w:val="18"/>
          <w:szCs w:val="18"/>
          <w:color w:val="auto"/>
        </w:rPr>
        <w:t>was appointed a director of our Company effective April 16, 2019. Mr. Whaley has extensive experience as a stockbroker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nearly five decades. Mr. Whaley is currently a broker trading at Wilson &amp; Davis, a regional brokerage firm based in Salt Lake City, Utah. He has been with Wilson &amp; Davis since 1988. Until March 2023, Mr. Whaley also held a real estate license and worked as a real estate agent for Coldwell Banker. Mr. Whaley attended the University of Utah between 1968 and 1971 and studied many subjects including business administration, accounting and finance. He did not graduate with a degree.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or represented by proxy and entitled to vote on the election of directors. Accordingly, the five nominees receiving the highest number of affirmative votes will be elected. Shares represented by executed proxies will be voted, if authority to do so is not withheld, for the election of the five nominees named above. If any nominee becomes unavailable for election as a result of an unexpected occurrence, shares that would have been voted for that nominee will instead be voted for the election of a substitute nominee proposed by the Company. Each person nominated for election has agreed to serve if elected. The Company’s management has no reason to believe that any nominee will be unable to serve.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center"/>
        <w:ind w:left="340" w:right="2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ELECTION OF ALL FIVE DIRECTOR NOMINEES NAMED HEREIN.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Relating to Corporate Governance and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has determined, after considering all the relevant facts and circumstances, that Messrs. Robinson and Whaley and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Park are independent directors, as “independence” is defined by the listing standards of NASDAQ. This determination was made because Messrs.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Robinson and Whaley and Ms. Park have no relationship with us that would interfere with their exercise of independent judgment.</w:t>
      </w:r>
    </w:p>
    <w:p>
      <w:pPr>
        <w:spacing w:after="0" w:line="12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an Audit and Compliance Committee, a Compensation Committee, and a Nominating Committee, each consisting entirely of independent directors.</w:t>
      </w:r>
    </w:p>
    <w:p>
      <w:pPr>
        <w:spacing w:after="0" w:line="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Times New Roman" w:cs="Times New Roman" w:eastAsia="Times New Roman" w:hAnsi="Times New Roman"/>
          <w:sz w:val="18"/>
          <w:szCs w:val="18"/>
          <w:i w:val="1"/>
          <w:iCs w:val="1"/>
          <w:color w:val="auto"/>
        </w:rPr>
        <w:t>www.clearone.com</w:t>
      </w:r>
      <w:r>
        <w:rPr>
          <w:rFonts w:ascii="Times New Roman" w:cs="Times New Roman" w:eastAsia="Times New Roman" w:hAnsi="Times New Roman"/>
          <w:sz w:val="18"/>
          <w:szCs w:val="18"/>
          <w:color w:val="auto"/>
        </w:rPr>
        <w:t xml:space="preserve"> the charters of our Audit and Compliance, Compensation and Nominating Committees, our Code of Ethics, and any amendments or waivers thereto and any other corporate governance materials contemplated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549"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by SEC or NASDAQ regulations. These documents are also available in print to any shareholder requesting a copy in writing from our Corporate Secretary at our corporate offices located at the address set forth in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4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believes that there is no one best leadership structure model that is most effective in all circumstances. The Board adheres to a flexible approach to the question of whether to separate the positions of Chairman and Chief Executive Officer (“CEO”) and the necessity of a lead independent director, and will consider a variety of factors in making a decision, including, but not limited to, the current performance of the Company and the experience, knowledge and temperament of the Chief Executive Officer. The Board remains flexible and committed to a strong corporate governance structure and board independence. The Board is committed to adopting corporate management and governance policies and strategies that promote our effective and ethical management. In this regard, the Board strongly believes that it should have maximum flexibility in deciding whether the offices of Chairman and Chief Executive Officer are combined or separate and, if separate, whether the Chairman should be an independent director or an employee.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roles of Chairman and Chief Executive Officer were separated in February 2022 when Mr. Robinson was named Chairman of the Board in light of Mr. Robinson’s leadership, experience, and knowledge of the Company and its shareholders. The Board determined and continues to believe that it was in our best interests and our stockholders’ best interests to separate the roles of Chairman and Chief Executive Officer.</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separation of Chief Executive Officer and Chairman together with a Board whose majority of directors are independent, provides the appropriate balance between independent oversight of management and the development of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14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Audit and Compliance Committee. </w:t>
      </w:r>
      <w:r>
        <w:rPr>
          <w:rFonts w:ascii="Times New Roman" w:cs="Times New Roman" w:eastAsia="Times New Roman" w:hAnsi="Times New Roman"/>
          <w:sz w:val="18"/>
          <w:szCs w:val="18"/>
          <w:color w:val="auto"/>
        </w:rPr>
        <w:t>The Audit and Compliance Committee meets to review and discuss our accounting practices and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w:t>
      </w:r>
    </w:p>
    <w:p>
      <w:pPr>
        <w:spacing w:after="0" w:line="1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10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members of the Audit and Compliance Committee are Eric L. Robinson (Chairman), Sunny Park and Bruce Whaley. Each member of the audit committee, in addition to being independent under the standards of NASDAQ, is independent under the standards of the Securities and Exchange Commission’s rules and regulations pertaining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486"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listed company audit committees. The Board of Directors has determined that Eric L. Robinson is an “audit committee financial expert” in accordance with applicable rules and regulations of the SEC.</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Compensation Committee. </w:t>
      </w:r>
      <w:r>
        <w:rPr>
          <w:rFonts w:ascii="Times New Roman" w:cs="Times New Roman" w:eastAsia="Times New Roman" w:hAnsi="Times New Roman"/>
          <w:sz w:val="18"/>
          <w:szCs w:val="18"/>
          <w:color w:val="auto"/>
        </w:rPr>
        <w:t>The Compensation Committee is responsible for overseeing, reviewing, and approving our executive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Bruce Whaley (Chairman) and Eric L. Robinson.</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compensation objectives for executive officers are as follows:</w:t>
      </w:r>
    </w:p>
    <w:p>
      <w:pPr>
        <w:spacing w:after="0" w:line="158" w:lineRule="exact"/>
        <w:rPr>
          <w:sz w:val="20"/>
          <w:szCs w:val="20"/>
          <w:color w:val="auto"/>
        </w:rPr>
      </w:pPr>
    </w:p>
    <w:p>
      <w:pPr>
        <w:ind w:left="540" w:hanging="100"/>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highly qualified individuals capable of making significant contributions to the long-term success of our company;</w:t>
      </w:r>
    </w:p>
    <w:p>
      <w:pPr>
        <w:spacing w:after="0" w:line="157" w:lineRule="exact"/>
        <w:rPr>
          <w:rFonts w:ascii="Times New Roman" w:cs="Times New Roman" w:eastAsia="Times New Roman" w:hAnsi="Times New Roman"/>
          <w:sz w:val="18"/>
          <w:szCs w:val="18"/>
          <w:color w:val="auto"/>
        </w:rPr>
      </w:pPr>
    </w:p>
    <w:p>
      <w:pPr>
        <w:ind w:left="540" w:hanging="100"/>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incentive compensation to reinforce strategic performance objectives;</w:t>
      </w:r>
    </w:p>
    <w:p>
      <w:pPr>
        <w:spacing w:after="0" w:line="144" w:lineRule="exact"/>
        <w:rPr>
          <w:rFonts w:ascii="Times New Roman" w:cs="Times New Roman" w:eastAsia="Times New Roman" w:hAnsi="Times New Roman"/>
          <w:sz w:val="18"/>
          <w:szCs w:val="18"/>
          <w:color w:val="auto"/>
        </w:rPr>
      </w:pPr>
    </w:p>
    <w:p>
      <w:pPr>
        <w:ind w:left="540" w:hanging="100"/>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the interest of our executives with the interests of our shareholders such that the risks and rewards of strategic decisions are shared; and</w:t>
      </w:r>
    </w:p>
    <w:p>
      <w:pPr>
        <w:spacing w:after="0" w:line="157" w:lineRule="exact"/>
        <w:rPr>
          <w:rFonts w:ascii="Times New Roman" w:cs="Times New Roman" w:eastAsia="Times New Roman" w:hAnsi="Times New Roman"/>
          <w:sz w:val="18"/>
          <w:szCs w:val="18"/>
          <w:color w:val="auto"/>
        </w:rPr>
      </w:pPr>
    </w:p>
    <w:p>
      <w:pPr>
        <w:ind w:left="540" w:hanging="100"/>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value of each officer’s position in the marketplace and within our company.</w:t>
      </w:r>
    </w:p>
    <w:p>
      <w:pPr>
        <w:spacing w:after="0" w:line="1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Policies and Practices Related to ClearOne’s Compensation Program</w:t>
      </w:r>
      <w:r>
        <w:rPr>
          <w:rFonts w:ascii="Times New Roman" w:cs="Times New Roman" w:eastAsia="Times New Roman" w:hAnsi="Times New Roman"/>
          <w:sz w:val="18"/>
          <w:szCs w:val="18"/>
          <w:color w:val="auto"/>
        </w:rPr>
        <w:t>. We strive to create an overall compensation package for each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Comparable Companies</w:t>
      </w:r>
      <w:r>
        <w:rPr>
          <w:rFonts w:ascii="Times New Roman" w:cs="Times New Roman" w:eastAsia="Times New Roman" w:hAnsi="Times New Roman"/>
          <w:sz w:val="18"/>
          <w:szCs w:val="18"/>
          <w:color w:val="auto"/>
        </w:rPr>
        <w:t>. In making compensation decisions, including assessing the competitiveness of the total compensation structure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 the Compensation Committee considers compensation survey data from companies that the Compensation Committee has selected as comparable in terms of industry, size and location. The Compensation Committee periodically reviews the companies that are included as comparable companies and makes revisions to the group as appropriate. The Compensation Committee also reviews executive compensation information for several Utah based publicly-traded companies having revenues similar to those of the Company.</w:t>
      </w:r>
    </w:p>
    <w:p>
      <w:pPr>
        <w:spacing w:after="0" w:line="1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Equity Grant Practices</w:t>
      </w:r>
      <w:r>
        <w:rPr>
          <w:rFonts w:ascii="Times New Roman" w:cs="Times New Roman" w:eastAsia="Times New Roman" w:hAnsi="Times New Roman"/>
          <w:sz w:val="18"/>
          <w:szCs w:val="18"/>
          <w:color w:val="auto"/>
        </w:rPr>
        <w:t>. The Compensation Committee recognizes the importance of equity ownership in the alignment of shareholder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establishes the criteria, and directs the implementation, of all compensation program elements for the executive officers. The Compensation Committee considers the Chief Executive Officer’s appraisal of other executive officers’ general performance and looks especially to performance against predetermined goals before making its recommendation to the Board of Directors. The Chief Executive Officer recommends for the Compensation Committee’s approval the stock option grants and compensation related to achievement of non-quantitative goals under non-equity-based incentive plans for other executive officers. The Compensation Committee did not employ any compensation consultants during the year ended December 31, 2024.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486" w:right="339" w:bottom="1440" w:gutter="0" w:footer="0" w:header="0"/>
        </w:sectPr>
      </w:pPr>
    </w:p>
    <w:bookmarkStart w:id="10" w:name="page11"/>
    <w:bookmarkEnd w:id="1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Nominating Committee. </w:t>
      </w:r>
      <w:r>
        <w:rPr>
          <w:rFonts w:ascii="Times New Roman" w:cs="Times New Roman" w:eastAsia="Times New Roman" w:hAnsi="Times New Roman"/>
          <w:sz w:val="18"/>
          <w:szCs w:val="18"/>
          <w:color w:val="auto"/>
        </w:rPr>
        <w:t>The Nominating Committee is responsible for overseeing the nomination of our directors. The Nominating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selects, evaluates, and recommends to the full Board of Directors qualified candidates for election to the Board of Directors. The members of the Nominating Committee are Eric L. Robinson and Bruce Whaley.</w:t>
      </w:r>
    </w:p>
    <w:p>
      <w:pPr>
        <w:spacing w:after="0" w:line="1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All of the current nominees for director were recommended by the Nominating Committee and nominated by the Board of Directors. All director nominees have consented to serve as directors, if elected, until the next annual meeting of shareholders or until their successors are elected and qualified and have consented to be named as nominees.</w:t>
      </w:r>
    </w:p>
    <w:p>
      <w:pPr>
        <w:spacing w:after="0" w:line="10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Special Transaction Committee. </w:t>
      </w:r>
      <w:r>
        <w:rPr>
          <w:rFonts w:ascii="Times New Roman" w:cs="Times New Roman" w:eastAsia="Times New Roman" w:hAnsi="Times New Roman"/>
          <w:sz w:val="18"/>
          <w:szCs w:val="18"/>
          <w:color w:val="auto"/>
        </w:rPr>
        <w:t>In November 2024, the Board of Directors formed a Special Transaction Committee, consisting of Eric 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Robinson, Bruce Whaley and former director Larry Hendricks, who retired from the Board in May 2025, as its members. to oversee the Board’s comprehensive review of strategic alternatives focused on maximizing shareholder value, including but not limited to, equity or debt financing alternatives, merger and acquisition transactions, divestiture of assets, licensing opportunities, joint ventures, collaborations or other partnerships with other companies, or a spin-off of the Company’s current business and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held a total of 9 meetings in 2024.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current Board of Directors attended the 2023 Annual Meeting of Shareholders.In 2024, the Audit and Compliance Committee held 4 meetings, the Compensation Committee held 3 meetings, the Nominating Committee held no meetings and the Special Transaction Committee held no meetings.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we and our Board benefit from diversity with respect to professional background, education, race, ethnicity, gender,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Corporate Governance Committee considers a broad range of perspectives, backgrounds and experiences when considering whether to recommend the nomination of any particular director candidate.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54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9"/>
        </w:trPr>
        <w:tc>
          <w:tcPr>
            <w:tcW w:w="3660" w:type="dxa"/>
            <w:vAlign w:val="bottom"/>
          </w:tcPr>
          <w:p>
            <w:pPr>
              <w:spacing w:after="0"/>
              <w:rPr>
                <w:sz w:val="19"/>
                <w:szCs w:val="19"/>
                <w:color w:val="auto"/>
              </w:rPr>
            </w:pPr>
          </w:p>
        </w:tc>
        <w:tc>
          <w:tcPr>
            <w:tcW w:w="41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Board Diversity Matrix (as of November 30, 2025)</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8"/>
        </w:trPr>
        <w:tc>
          <w:tcPr>
            <w:tcW w:w="36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w w:val="99"/>
              </w:rPr>
              <w:t>Total Number of Directors:</w:t>
            </w:r>
          </w:p>
        </w:tc>
        <w:tc>
          <w:tcPr>
            <w:tcW w:w="1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r>
      <w:tr>
        <w:trPr>
          <w:trHeight w:val="209"/>
        </w:trPr>
        <w:tc>
          <w:tcPr>
            <w:tcW w:w="3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Did Not Disclose Gender</w:t>
            </w:r>
          </w:p>
        </w:tc>
      </w:tr>
      <w:tr>
        <w:trPr>
          <w:trHeight w:val="201"/>
        </w:trPr>
        <w:tc>
          <w:tcPr>
            <w:tcW w:w="366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Gender:</w:t>
            </w:r>
          </w:p>
        </w:tc>
        <w:tc>
          <w:tcPr>
            <w:tcW w:w="1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rPr>
              <w:t>0</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29"/>
        </w:trPr>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76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88"/>
              </w:rPr>
              <w:t>0</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76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88"/>
              </w:rPr>
              <w:t>0</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Asian</w:t>
            </w:r>
          </w:p>
        </w:tc>
        <w:tc>
          <w:tcPr>
            <w:tcW w:w="276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88"/>
              </w:rPr>
              <w:t>1</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Hispanic or Latinx</w:t>
            </w:r>
          </w:p>
        </w:tc>
        <w:tc>
          <w:tcPr>
            <w:tcW w:w="276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88"/>
              </w:rPr>
              <w:t>0</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76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88"/>
              </w:rPr>
              <w:t>0</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White</w:t>
            </w:r>
          </w:p>
        </w:tc>
        <w:tc>
          <w:tcPr>
            <w:tcW w:w="276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88"/>
              </w:rPr>
              <w:t>1</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76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88"/>
              </w:rPr>
              <w:t>0</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LGBTQ+</w:t>
            </w:r>
          </w:p>
        </w:tc>
        <w:tc>
          <w:tcPr>
            <w:tcW w:w="276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88"/>
              </w:rPr>
              <w:t>0</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76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88"/>
              </w:rPr>
              <w:t>0</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furnished to us for the year ended December 31, 2024, we believe that each person who, at any time during such fiscal year was a director, officer, or beneficial owner of more than 10% of our common stock complied with all Section 16(a) filing requirements during such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adopted a code of ethics that applies to our Board of Directors, executive officers, and employees. The Company’s Code of Ethics is posted on our website at www.clearone.com.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adopted a Statement of Policy Regarding Compliance with Insider Trading Laws (the “Insider Trading Policy) that establishes policies and procedures governing the purchase, sale, and/or other dispositions of the Company’s securities by directors, officers and employees. The Insider Trading Policy requires compliance with all applicable laws, rules and regulations governing the offer and sale of securities and prohibits directors, officers and employees from engaging in transactions in the Company’s securities while in possession of material nonpublic information. The Insider Trading Policy establishes quarterly blackout periods during which trading in the Company’s securities is prohibited. These blackout periods begin 15 days prior to the end of each fiscal quarter and ends at the opening of trading on the first business day after the public dissemination of Company’s financial results for that quarter for a full trading day. In addition, the Insider Trading Policy requires senior officers and key employees to obtain pre-approval of any transactions in Company securities from the Company’s Compliance Officer under the Insider Trading Policy, which currently is the Chief Financial Officer.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Procedures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changes have been made to the procedures by which our shareholders may recommend nominees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Compliance Committee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 separate Audit and Compliance Committee and its members are Eric L. Robinson (Chairman), Youngsun Park and Bruce Whaley. The Board of Directors has determined that Eric L. Robinson is an “audit committee financial expert” and each member is independent in accordance with applicable rules and regulations of NASDAQ and the SEC.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56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50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680" w:type="dxa"/>
            <w:vAlign w:val="bottom"/>
          </w:tcPr>
          <w:p>
            <w:pPr>
              <w:spacing w:after="0"/>
              <w:rPr>
                <w:sz w:val="20"/>
                <w:szCs w:val="20"/>
                <w:color w:val="auto"/>
              </w:rPr>
            </w:pPr>
          </w:p>
        </w:tc>
      </w:tr>
      <w:tr>
        <w:trPr>
          <w:trHeight w:val="365"/>
        </w:trPr>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w:t>
            </w:r>
          </w:p>
        </w:tc>
        <w:tc>
          <w:tcPr>
            <w:tcW w:w="1680" w:type="dxa"/>
            <w:vAlign w:val="bottom"/>
          </w:tcPr>
          <w:p>
            <w:pPr>
              <w:spacing w:after="0"/>
              <w:rPr>
                <w:sz w:val="24"/>
                <w:szCs w:val="24"/>
                <w:color w:val="auto"/>
              </w:rPr>
            </w:pPr>
          </w:p>
        </w:tc>
      </w:tr>
      <w:tr>
        <w:trPr>
          <w:trHeight w:val="437"/>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Officer</w:t>
            </w:r>
          </w:p>
        </w:tc>
      </w:t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Age</w:t>
            </w: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191"/>
        </w:trPr>
        <w:tc>
          <w:tcPr>
            <w:tcW w:w="4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L. Graham</w:t>
            </w: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6"/>
                <w:szCs w:val="16"/>
                <w:color w:val="auto"/>
              </w:rPr>
            </w:pPr>
          </w:p>
        </w:tc>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tcPr>
          <w:p>
            <w:pPr>
              <w:spacing w:after="0"/>
              <w:rPr>
                <w:sz w:val="16"/>
                <w:szCs w:val="16"/>
                <w:color w:val="auto"/>
              </w:rPr>
            </w:pPr>
          </w:p>
        </w:tc>
        <w:tc>
          <w:tcPr>
            <w:tcW w:w="1680" w:type="dxa"/>
            <w:vAlign w:val="bottom"/>
            <w:tcBorders>
              <w:top w:val="single" w:sz="8" w:color="auto"/>
            </w:tcBorders>
          </w:tcPr>
          <w:p>
            <w:pPr>
              <w:jc w:val="right"/>
              <w:ind w:right="1230"/>
              <w:spacing w:after="0" w:line="191" w:lineRule="exact"/>
              <w:rPr>
                <w:sz w:val="20"/>
                <w:szCs w:val="20"/>
                <w:color w:val="auto"/>
              </w:rPr>
            </w:pPr>
            <w:r>
              <w:rPr>
                <w:rFonts w:ascii="Times New Roman" w:cs="Times New Roman" w:eastAsia="Times New Roman" w:hAnsi="Times New Roman"/>
                <w:sz w:val="18"/>
                <w:szCs w:val="18"/>
                <w:color w:val="auto"/>
                <w:w w:val="94"/>
              </w:rPr>
              <w:t>2022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Simon Brewer</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47</w:t>
            </w: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Corporate</w:t>
            </w:r>
          </w:p>
        </w:tc>
        <w:tc>
          <w:tcPr>
            <w:tcW w:w="168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Secretary</w:t>
            </w:r>
          </w:p>
        </w:tc>
        <w:tc>
          <w:tcPr>
            <w:tcW w:w="1680" w:type="dxa"/>
            <w:vAlign w:val="bottom"/>
          </w:tcPr>
          <w:p>
            <w:pPr>
              <w:spacing w:after="0"/>
              <w:rPr>
                <w:sz w:val="20"/>
                <w:szCs w:val="20"/>
                <w:color w:val="auto"/>
              </w:rPr>
            </w:pPr>
          </w:p>
        </w:tc>
      </w:tr>
    </w:tbl>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Derek L. Graham </w:t>
      </w:r>
      <w:r>
        <w:rPr>
          <w:rFonts w:ascii="Times New Roman" w:cs="Times New Roman" w:eastAsia="Times New Roman" w:hAnsi="Times New Roman"/>
          <w:sz w:val="18"/>
          <w:szCs w:val="18"/>
          <w:color w:val="auto"/>
        </w:rPr>
        <w:t>is our Chief Executive Officer. He was appointed as Interim CEO in May 2022 and was confirmed as the permanent CEO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2023. He joined our company in July 2003 as Lead Engineer for Conferencing Cameras. In 2004, he was promoted to Engineering Operations Manager. In 2006, he was promoted to Director of Research and Development. In 2007, he was promoted to Sr. Director of Research and Development. In 2009, he was promoted to Vice President of Research and Development. In 2011, he was promoted to Sr. Vice President of Research and Development. In those prior roles, Mr. Graham was responsible for funding, staffing, and execution of parallel engineering programs that resulted in successful development of professionally installed audio and video conferencing, video streaming, wireless microphone, digital signage, and camera products. Mr. Graham is a named inventor on 13 patents. Prior to joining ClearOne, Mr. Graham held engineering and management positions at Intel Corporation in the areas of audio conferencing and telephony technologies. Mr. Graham earned a Bachelor of Science in Electrical Engineering, with highest honors, and a Master’s Degree in Electrical Engineering from the Georgia Institute of Technology.</w:t>
      </w:r>
    </w:p>
    <w:p>
      <w:pPr>
        <w:spacing w:after="0" w:line="1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Simon Brewer </w:t>
      </w:r>
      <w:r>
        <w:rPr>
          <w:rFonts w:ascii="Times New Roman" w:cs="Times New Roman" w:eastAsia="Times New Roman" w:hAnsi="Times New Roman"/>
          <w:sz w:val="18"/>
          <w:szCs w:val="18"/>
          <w:color w:val="auto"/>
        </w:rPr>
        <w:t>was appointed as Chief Financial Officer of ClearOne Inc. in April 2024, bringing over 25 years of experience in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and leadership across technology, manufacturing, e-commerce, biotech, and non-profit sectors. He oversees the company’s finance and accounting functions, helping drive strategic initiatives to position ClearOne for scalable growth. Prior to ClearOne, Mr. Brewer was CFO and COO at an international non-profit dedicated to eradicating human trafficking (2021–2024), and CFO at Predictive Technology Group Inc. (2018–2021), leading its transition to a public company. He also held CFO roles at Norbest LLC (2016–2018) and senior finance and IT positions at Wilson Electronics (2013– 2016) and Backcountry.com (2009–2013), consistently achieving revenue growth and operational efficiencies. Mr. Brewer transitioned to a dedicated accounting career at KPMG LLP (2005–2009), managing audits and advisory for high-profile clients, after beginning his career in 1999 as a programmer and accountant at Prospect Planet Dotcom. He holds a Master of Accounting and a Bachelor of Arts in Accounting (Cum Laude) with a Minor in Russian from the University of Utah and is a Certified Public Accountant (CPA) in Utah and Nevada.</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549" w:right="339" w:bottom="1440" w:gutter="0" w:footer="0" w:header="0"/>
        </w:sectPr>
      </w:pPr>
    </w:p>
    <w:bookmarkStart w:id="13" w:name="page14"/>
    <w:bookmarkEnd w:id="13"/>
    <w:p>
      <w:pPr>
        <w:ind w:left="43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compensation paid or earned by each named executive officer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3620" w:type="dxa"/>
            <w:vAlign w:val="bottom"/>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9"/>
        </w:trPr>
        <w:tc>
          <w:tcPr>
            <w:tcW w:w="3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6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0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6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3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 xml:space="preserve">Derek Graham, Chief Executive Officer </w:t>
            </w:r>
            <w:r>
              <w:rPr>
                <w:rFonts w:ascii="Times New Roman" w:cs="Times New Roman" w:eastAsia="Times New Roman" w:hAnsi="Times New Roman"/>
                <w:sz w:val="22"/>
                <w:szCs w:val="22"/>
                <w:b w:val="1"/>
                <w:bCs w:val="1"/>
                <w:color w:val="auto"/>
                <w:vertAlign w:val="superscript"/>
              </w:rPr>
              <w:t>(1)</w:t>
            </w: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238,621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24,336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 xml:space="preserve">20,096 </w:t>
            </w:r>
            <w:r>
              <w:rPr>
                <w:rFonts w:ascii="Times New Roman" w:cs="Times New Roman" w:eastAsia="Times New Roman" w:hAnsi="Times New Roman"/>
                <w:sz w:val="23"/>
                <w:szCs w:val="23"/>
                <w:color w:val="auto"/>
                <w:vertAlign w:val="superscript"/>
              </w:rPr>
              <w:t>(3)</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283,053</w:t>
            </w:r>
          </w:p>
        </w:tc>
      </w:tr>
      <w:tr>
        <w:trPr>
          <w:trHeight w:val="21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244,147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60"/>
              <w:spacing w:after="0" w:line="212" w:lineRule="exact"/>
              <w:rPr>
                <w:sz w:val="20"/>
                <w:szCs w:val="20"/>
                <w:color w:val="auto"/>
              </w:rPr>
            </w:pPr>
            <w:r>
              <w:rPr>
                <w:rFonts w:ascii="Times New Roman" w:cs="Times New Roman" w:eastAsia="Times New Roman" w:hAnsi="Times New Roman"/>
                <w:sz w:val="18"/>
                <w:szCs w:val="18"/>
                <w:color w:val="auto"/>
              </w:rPr>
              <w:t xml:space="preserve">100,000 </w:t>
            </w:r>
            <w:r>
              <w:rPr>
                <w:rFonts w:ascii="Times New Roman" w:cs="Times New Roman" w:eastAsia="Times New Roman" w:hAnsi="Times New Roman"/>
                <w:sz w:val="23"/>
                <w:szCs w:val="23"/>
                <w:color w:val="auto"/>
                <w:vertAlign w:val="superscript"/>
              </w:rPr>
              <w:t>(3)</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366,047</w:t>
            </w:r>
          </w:p>
        </w:tc>
      </w:tr>
      <w:tr>
        <w:trPr>
          <w:trHeight w:val="220"/>
        </w:trPr>
        <w:tc>
          <w:tcPr>
            <w:tcW w:w="3660" w:type="dxa"/>
            <w:vAlign w:val="bottom"/>
          </w:tcPr>
          <w:p>
            <w:pPr>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Simon Brewer - Chief Financial Officer </w:t>
            </w:r>
            <w:r>
              <w:rPr>
                <w:rFonts w:ascii="Times New Roman" w:cs="Times New Roman" w:eastAsia="Times New Roman" w:hAnsi="Times New Roman"/>
                <w:sz w:val="23"/>
                <w:szCs w:val="23"/>
                <w:b w:val="1"/>
                <w:bCs w:val="1"/>
                <w:color w:val="auto"/>
                <w:vertAlign w:val="superscript"/>
              </w:rPr>
              <w:t>(2)</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193,846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234,406</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Derek L. Graham was appointed as Interim CEO on May 24, 2022 and became permanent CEO on Jan 26, 2023.</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Brewer was appointed Chief Financial Officer on April 15, 2024.</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reflect achievement of specific performance metrics approved by the Compensation Committee.</w:t>
      </w:r>
    </w:p>
    <w:p>
      <w:pPr>
        <w:spacing w:after="0" w:line="20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on the holdings of stock options by the named executive officers as of December 31, 2024.</w:t>
      </w:r>
    </w:p>
    <w:p>
      <w:pPr>
        <w:spacing w:after="0" w:line="200"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b w:val="1"/>
          <w:bCs w:val="1"/>
          <w:color w:val="auto"/>
        </w:rPr>
        <w:t>Number of Securities</w:t>
      </w:r>
    </w:p>
    <w:p>
      <w:pPr>
        <w:jc w:val="center"/>
        <w:ind w:left="1280"/>
        <w:spacing w:after="0" w:line="219" w:lineRule="auto"/>
        <w:rPr>
          <w:sz w:val="20"/>
          <w:szCs w:val="20"/>
          <w:color w:val="auto"/>
        </w:rPr>
      </w:pPr>
      <w:r>
        <w:rPr>
          <w:rFonts w:ascii="Times New Roman" w:cs="Times New Roman" w:eastAsia="Times New Roman" w:hAnsi="Times New Roman"/>
          <w:sz w:val="18"/>
          <w:szCs w:val="18"/>
          <w:b w:val="1"/>
          <w:bCs w:val="1"/>
          <w:color w:val="auto"/>
        </w:rPr>
        <w:t>Underlying</w:t>
      </w:r>
    </w:p>
    <w:tbl>
      <w:tblPr>
        <w:tblLayout w:type="fixed"/>
        <w:tblInd w:w="0" w:type="dxa"/>
        <w:tblCellMar>
          <w:top w:w="0" w:type="dxa"/>
          <w:left w:w="0" w:type="dxa"/>
          <w:bottom w:w="0" w:type="dxa"/>
          <w:right w:w="0" w:type="dxa"/>
        </w:tblCellMar>
      </w:tblPr>
      <w:tr>
        <w:trPr>
          <w:trHeight w:val="187"/>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jc w:val="right"/>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Unexercised Options</w:t>
            </w:r>
          </w:p>
        </w:tc>
        <w:tc>
          <w:tcPr>
            <w:tcW w:w="220" w:type="dxa"/>
            <w:vAlign w:val="bottom"/>
          </w:tcPr>
          <w:p>
            <w:pPr>
              <w:spacing w:after="0"/>
              <w:rPr>
                <w:sz w:val="16"/>
                <w:szCs w:val="16"/>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34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122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7"/>
              </w:rPr>
              <w:t>Grant</w:t>
            </w:r>
          </w:p>
        </w:tc>
        <w:tc>
          <w:tcPr>
            <w:tcW w:w="1140" w:type="dxa"/>
            <w:vAlign w:val="bottom"/>
            <w:gridSpan w:val="2"/>
          </w:tcPr>
          <w:p>
            <w:pPr>
              <w:jc w:val="center"/>
              <w:ind w:right="20"/>
              <w:spacing w:after="0" w:line="180" w:lineRule="exact"/>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11"/>
        </w:trPr>
        <w:tc>
          <w:tcPr>
            <w:tcW w:w="508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28"/>
        </w:trPr>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Derek Graham</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12/14/20</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w:t>
            </w:r>
          </w:p>
        </w:tc>
        <w:tc>
          <w:tcPr>
            <w:tcW w:w="1240" w:type="dxa"/>
            <w:vAlign w:val="bottom"/>
            <w:gridSpan w:val="2"/>
          </w:tcPr>
          <w:p>
            <w:pPr>
              <w:jc w:val="right"/>
              <w:ind w:right="120"/>
              <w:spacing w:after="0" w:line="246" w:lineRule="exact"/>
              <w:rPr>
                <w:sz w:val="20"/>
                <w:szCs w:val="20"/>
                <w:color w:val="auto"/>
              </w:rPr>
            </w:pPr>
            <w:r>
              <w:rPr>
                <w:rFonts w:ascii="Times New Roman" w:cs="Times New Roman" w:eastAsia="Times New Roman" w:hAnsi="Times New Roman"/>
                <w:sz w:val="28"/>
                <w:szCs w:val="28"/>
                <w:color w:val="auto"/>
                <w:vertAlign w:val="subscript"/>
              </w:rPr>
              <w:t>667</w:t>
            </w:r>
            <w:r>
              <w:rPr>
                <w:rFonts w:ascii="Times New Roman" w:cs="Times New Roman" w:eastAsia="Times New Roman" w:hAnsi="Times New Roman"/>
                <w:sz w:val="11"/>
                <w:szCs w:val="11"/>
                <w:color w:val="auto"/>
              </w:rPr>
              <w:t>(1)</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06/15/23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6/15/29</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18"/>
                <w:szCs w:val="18"/>
                <w:color w:val="auto"/>
              </w:rPr>
              <w:t>4,000</w:t>
            </w:r>
            <w:r>
              <w:rPr>
                <w:rFonts w:ascii="Times New Roman" w:cs="Times New Roman" w:eastAsia="Times New Roman" w:hAnsi="Times New Roman"/>
                <w:sz w:val="23"/>
                <w:szCs w:val="23"/>
                <w:color w:val="auto"/>
                <w:vertAlign w:val="superscript"/>
              </w:rPr>
              <w:t>(2)</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11/27/24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11/26/30</w:t>
            </w:r>
          </w:p>
        </w:tc>
        <w:tc>
          <w:tcPr>
            <w:tcW w:w="0" w:type="dxa"/>
            <w:vAlign w:val="bottom"/>
          </w:tcPr>
          <w:p>
            <w:pPr>
              <w:spacing w:after="0"/>
              <w:rPr>
                <w:sz w:val="1"/>
                <w:szCs w:val="1"/>
                <w:color w:val="auto"/>
              </w:rPr>
            </w:pPr>
          </w:p>
        </w:tc>
      </w:tr>
      <w:tr>
        <w:trPr>
          <w:trHeight w:val="32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Brewer</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6,667</w:t>
            </w:r>
            <w:r>
              <w:rPr>
                <w:rFonts w:ascii="Times New Roman" w:cs="Times New Roman" w:eastAsia="Times New Roman" w:hAnsi="Times New Roman"/>
                <w:sz w:val="23"/>
                <w:szCs w:val="23"/>
                <w:color w:val="auto"/>
                <w:vertAlign w:val="superscript"/>
              </w:rPr>
              <w:t>(2)</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11/27/24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11/26/30</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340" w:hanging="332"/>
        <w:spacing w:after="0" w:line="261" w:lineRule="auto"/>
        <w:tabs>
          <w:tab w:leader="none" w:pos="2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shares underlying each stock option vest on the first anniversary of the grant date and the remaining shares vest equally over a period of 24 months following the first anniversary of the grant date.</w:t>
      </w: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underlying each stock option vest on the first anniversary of the grant date or upon a change of control; whichever occurs first.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There were no exercises of stock options by named executive officers during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4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Employment Agreements. </w:t>
      </w:r>
      <w:r>
        <w:rPr>
          <w:rFonts w:ascii="Times New Roman" w:cs="Times New Roman" w:eastAsia="Times New Roman" w:hAnsi="Times New Roman"/>
          <w:sz w:val="18"/>
          <w:szCs w:val="18"/>
          <w:color w:val="auto"/>
        </w:rPr>
        <w:t>As of the year ended December 31, 2024, none of our named executive officers was party to an employment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agreement with us, and each named executive officer’s employment was on an “at-will” basis, permitting either us or the executive to terminate his or her employment for any reason or for no reason.</w:t>
      </w:r>
    </w:p>
    <w:p>
      <w:pPr>
        <w:spacing w:after="0" w:line="10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Accelerated Stock Option Vesting Upon a Change in Control</w:t>
      </w:r>
      <w:r>
        <w:rPr>
          <w:rFonts w:ascii="Times New Roman" w:cs="Times New Roman" w:eastAsia="Times New Roman" w:hAnsi="Times New Roman"/>
          <w:sz w:val="18"/>
          <w:szCs w:val="18"/>
          <w:color w:val="auto"/>
        </w:rPr>
        <w:t>. For certain option grants to executive officers and directors, in the event of a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control, all of such optionee’s unvested stock options will vest and become exercisable immediately prior to the event or the closing of the transaction causing the change in control.</w:t>
      </w:r>
    </w:p>
    <w:p>
      <w:pPr>
        <w:spacing w:after="0" w:line="10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Under the option grants, a “</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xml:space="preserve"> means a change in ownership or control of the Company effected through either of the following transactions: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549" w:right="339" w:bottom="1440" w:gutter="0" w:footer="0" w:header="0"/>
        </w:sectPr>
      </w:pPr>
    </w:p>
    <w:bookmarkStart w:id="14" w:name="page15"/>
    <w:bookmarkEnd w:id="14"/>
    <w:p>
      <w:pPr>
        <w:jc w:val="both"/>
        <w:ind w:left="660" w:hanging="4"/>
        <w:spacing w:after="0" w:line="261" w:lineRule="auto"/>
        <w:tabs>
          <w:tab w:leader="none" w:pos="8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12" w:lineRule="exact"/>
        <w:rPr>
          <w:rFonts w:ascii="Times New Roman" w:cs="Times New Roman" w:eastAsia="Times New Roman" w:hAnsi="Times New Roman"/>
          <w:sz w:val="18"/>
          <w:szCs w:val="18"/>
          <w:color w:val="auto"/>
        </w:rPr>
      </w:pPr>
    </w:p>
    <w:p>
      <w:pPr>
        <w:jc w:val="both"/>
        <w:ind w:left="660" w:hanging="4"/>
        <w:spacing w:after="0" w:line="258" w:lineRule="auto"/>
        <w:tabs>
          <w:tab w:leader="none" w:pos="9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1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our closing stock price on December 31, 2024, none of our named executive officers would have benefited from any potential accelerated vesting of unvested stock options.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4440" w:type="dxa"/>
            <w:vAlign w:val="bottom"/>
            <w:gridSpan w:val="5"/>
          </w:tcPr>
          <w:p>
            <w:pPr>
              <w:ind w:left="1480"/>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962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non-employee directors for the year ended December 31, 2024.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2"/>
        </w:trPr>
        <w:tc>
          <w:tcPr>
            <w:tcW w:w="29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Paid in Cash</w:t>
            </w: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4"/>
          </w:tcPr>
          <w:p>
            <w:pPr>
              <w:jc w:val="center"/>
              <w:ind w:right="276"/>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2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Larry R. Hendricks</w:t>
            </w:r>
          </w:p>
        </w:tc>
        <w:tc>
          <w:tcPr>
            <w:tcW w:w="2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36,400</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right"/>
              <w:ind w:right="812"/>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6"/>
                <w:szCs w:val="16"/>
                <w:color w:val="auto"/>
              </w:rPr>
            </w:pPr>
          </w:p>
        </w:tc>
        <w:tc>
          <w:tcPr>
            <w:tcW w:w="940" w:type="dxa"/>
            <w:vAlign w:val="bottom"/>
            <w:tcBorders>
              <w:top w:val="single" w:sz="8" w:color="auto"/>
            </w:tcBorders>
          </w:tcPr>
          <w:p>
            <w:pPr>
              <w:jc w:val="right"/>
              <w:ind w:right="772"/>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36,400</w:t>
            </w:r>
          </w:p>
        </w:tc>
        <w:tc>
          <w:tcPr>
            <w:tcW w:w="20" w:type="dxa"/>
            <w:vAlign w:val="bottom"/>
          </w:tcPr>
          <w:p>
            <w:pPr>
              <w:spacing w:after="0"/>
              <w:rPr>
                <w:sz w:val="16"/>
                <w:szCs w:val="16"/>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Lisa B. Higley</w:t>
            </w: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58,500</w:t>
            </w:r>
          </w:p>
        </w:tc>
        <w:tc>
          <w:tcPr>
            <w:tcW w:w="98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58,500</w:t>
            </w: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Eric L. Robinson</w:t>
            </w: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70,200</w:t>
            </w:r>
          </w:p>
        </w:tc>
        <w:tc>
          <w:tcPr>
            <w:tcW w:w="98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70,200</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Bruce Whaley</w:t>
            </w: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36,400</w:t>
            </w:r>
          </w:p>
        </w:tc>
        <w:tc>
          <w:tcPr>
            <w:tcW w:w="980" w:type="dxa"/>
            <w:vAlign w:val="bottom"/>
          </w:tcPr>
          <w:p>
            <w:pPr>
              <w:spacing w:after="0"/>
              <w:rPr>
                <w:sz w:val="20"/>
                <w:szCs w:val="20"/>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36,400</w:t>
            </w:r>
          </w:p>
        </w:tc>
      </w:tr>
    </w:tbl>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directors are reimbursed by the Company for their out-of-pocket travel and related expenses, if any, incurred in attending all Board of Directors and committee meetings. However, during 2024 no expenses were reimbursed to any director.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on our website at http://investors.clearone.com/corporate-governance.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with Edward D. Bagley</w:t>
      </w:r>
    </w:p>
    <w:p>
      <w:pPr>
        <w:spacing w:after="0" w:line="14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3, 2015, the Company entered into a Consulting Agreement with Edward D. Bagley, former Chairman of the Board and greater than 10% shareholder (“Consulting Agreement”) which became effective on July 29, 2015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553"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for an initial term of three years which was renewed in 2018 for an additional term of three years and renewed again in 2021 for an additional term of 3 years through 2024. Pursuant to the terms of the Consulting Agreement Mr. Bagley is paid a fee of $5,000 per month and is eligible to participate in our equity incentive programs and will be granted stock options commensurate with grants of stock options made to our directors. During 2024, he was paid $65,000 as consulting fees. During 2024, he did not receive any grant of stock options.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Repurchase Agreements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16, 2025, the Company entered into a Warrant Repurchase Agreement with Edward Bryan Bagley, pursuant to which the Company repurchased certain outstanding common stock purchase warrants previously issued to Mr. Bagley. The repurchased warrants, issued on December 17, 2019, were exercisable for an aggregate of 3,788 shares of the Company’s common stock, par value $0.001 per share. Under the terms of the Agreement, the Company repurchased the warrants for a cash payment of $0.6504 per share underlying the warrants, representing an aggregate purchase price of $2,464. Upon settlement of the transaction, the warrants were cancelled and are of no further force or effect.</w:t>
      </w:r>
    </w:p>
    <w:p>
      <w:pPr>
        <w:spacing w:after="0" w:line="1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17, 2025, the Company entered into a Warrant Repurchase Agreement Edward D. Bagley, pursuant to which the Company repurchased certain outstanding common stock purchase warrants previously issued to Mr. Bagley. The repurchased warrants, issued on September 12, 2021, were exercisable for an aggregate of 18,940 shares of the Company’s common stock, par value $0.001 per share. Under the terms of the Agreement, the Company repurchased the warrants for a cash payment of $0.6504 per share underlying the warrants, representing an aggregate purchase price of $12,319. Upon settlement of the transaction, the warrants were cancelled and are of no further force or effect.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after considering all the relevant facts and circumstances, that Eric Robinson, Sunny Park and Bruce Whaley are independent directors, in accordance with the definition of “independence” under the listing standards of NASDAQ, because they have no relationship with us that would interfere with their exercise of independent judgment.</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an Audit and Compliance Committee, a Compensation Committee, a Nominating Committee, and a Special Transaction Committee, each consisting entirely of independent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COMPLIANCE COMMITTEE REPORT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At the time of issuance of the Company’s Annual Report on Form 10-K for the year ended December 31, 2024, the Audit and Compliance Committee of the Board of Directors was comprised of three directors, all of whom were independent as defined in NASDAQ and SEC rules and regulations. The members of the Audit and Compliance Committee in 2024 and as of the issuance date of this report on and as of May 13, 2025 were Eric L. Robinson (Chair), Larry R. Hendricks, and Bruce Whaley. Eric L. Robinson is the Board of Directors’ designated “audit committee financial expert” as that term is defined in the securities laws. The Audit and Compliance Committee serves as an independent and objective party to monitor and provide general oversight of the Company’s financial accounting and reporting process, selection of critical accounting policies, system of internal control, internal audit function, audit process for monitoring compliance with laws and regulations and the Company’s standards of business conduct. The Audit and Compliance Committee performs these oversight responsibilities in accordance with its charter.</w:t>
      </w:r>
    </w:p>
    <w:p>
      <w:pPr>
        <w:spacing w:after="0" w:line="1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has primary responsibility for preparing the Company’s financial statements and the Company’s financial reporting process, including its system of internal control over financial reporting. The Company’s independent registered public accountants, Tanner LLC, are responsible for expressing an opinion on the conformity of the Company’s 2024 audited financial statements to accounting principles generally accepted in the United States of America.</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and Compliance Committee discussed with the Company’s independent registered public accountants the overall scope and plans for its audits. The Audit and Compliance Committee met with the Company’s independent registered public accountants, with and without management present, to discuss the results of their examinations, their evaluations of the Company’s internal control over financial reporting, and the overall quality of the Company’s financial reporting.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486"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In this context, the Audit and Compliance Committee hereby reports as follows:</w:t>
      </w:r>
    </w:p>
    <w:p>
      <w:pPr>
        <w:spacing w:after="0" w:line="158" w:lineRule="exact"/>
        <w:rPr>
          <w:sz w:val="20"/>
          <w:szCs w:val="20"/>
          <w:color w:val="auto"/>
        </w:rPr>
      </w:pPr>
    </w:p>
    <w:p>
      <w:pPr>
        <w:jc w:val="both"/>
        <w:ind w:firstLine="656"/>
        <w:spacing w:after="0" w:line="266" w:lineRule="auto"/>
        <w:tabs>
          <w:tab w:leader="none" w:pos="8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Compliance Committee has reviewed and discussed the 2024 audited financial statements with the Company’s management, including the quality, not just the acceptability, of the Company’s accounting principles, the reasonableness of significant judgments, and the clarity of disclosures in the financial statements;</w:t>
      </w:r>
    </w:p>
    <w:p>
      <w:pPr>
        <w:spacing w:after="0" w:line="94"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the Company’s independent registered public accountants the matters required to be discussed by the applicable requirements of the Public Company Accounting Oversight Board and the Securities and Exchange Commission;</w:t>
      </w:r>
    </w:p>
    <w:p>
      <w:pPr>
        <w:spacing w:after="0" w:line="94" w:lineRule="exact"/>
        <w:rPr>
          <w:rFonts w:ascii="Times New Roman" w:cs="Times New Roman" w:eastAsia="Times New Roman" w:hAnsi="Times New Roman"/>
          <w:sz w:val="18"/>
          <w:szCs w:val="18"/>
          <w:color w:val="auto"/>
        </w:rPr>
      </w:pPr>
    </w:p>
    <w:p>
      <w:pPr>
        <w:jc w:val="both"/>
        <w:ind w:firstLine="656"/>
        <w:spacing w:after="0" w:line="261" w:lineRule="auto"/>
        <w:tabs>
          <w:tab w:leader="none" w:pos="8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Compliance Committee has received the written disclosures and the letter from the Company’s independent registered public accountants required by applicable requirements of the Public Company Accounting Oversight Board regarding the independent registered public accountant’s communications with the Audit and Compliance Committee concerning independence, and has discussed with the Company’s independent registered public accountants the independent registered public accountants’ independence from management and the Company; and</w:t>
      </w:r>
    </w:p>
    <w:p>
      <w:pPr>
        <w:spacing w:after="0" w:line="98"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referred to in paragraphs (1) through (3) above, the Audit and Compliance Committee recommended to the Board of Directors (and the Board of Directors has approved) that the audited financial statements be included in the Company’s Annual Report on Form 10-K for the year ended December 31, 2024, which were filed with the Securities and Exchange Commission on March 28, 2025.</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foregoing Audit and Compliance Committee Report does not constitute soliciting material and shall not be deemed filed or incorporated by reference into any other Company filing under the Securities Act of 1933, as amended, or Exchange Act, except to the extent the Company specifically incorporates this Audit and Compliance Committee Report by reference therein. Each of the members of the Audit and Compliance Committee is independent as defined under the standards of the NASDAQ Capital Market and the Securities and Exchange Commission, and meets all other requirements of such exchange and of such rules of the SEC.</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Respectfully submitted by the members of the Audit and Compliance Committee as of May 13, 2025.</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Eric L. Robinson (Chair), Larry R. Hendricks and Bruce Whaley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953(a) of the Dodd-Frank Act and Item 402(v) of SEC Regulation S-K, we are providing the following information about the relationship between executive “compensation actually paid” (or “CAP”), as defined by SEC rules, to the Company’s principal executive officer (“PEO”) and non-PEO named executive officer (the “Non-PEO NEOs”) and certain aspects of the financial performance of the Company. The Compensation Committee does not utilize CAP as the basis for making compensation decisions.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following table sets forth certain information regarding </w:t>
      </w:r>
      <w:r>
        <w:rPr>
          <w:rFonts w:ascii="Times New Roman" w:cs="Times New Roman" w:eastAsia="Times New Roman" w:hAnsi="Times New Roman"/>
          <w:sz w:val="18"/>
          <w:szCs w:val="18"/>
          <w:b w:val="1"/>
          <w:bCs w:val="1"/>
          <w:color w:val="auto"/>
        </w:rPr>
        <w:t>pay versus performance</w:t>
      </w:r>
      <w:r>
        <w:rPr>
          <w:rFonts w:ascii="Times New Roman" w:cs="Times New Roman" w:eastAsia="Times New Roman" w:hAnsi="Times New Roman"/>
          <w:sz w:val="18"/>
          <w:szCs w:val="18"/>
          <w:color w:val="auto"/>
        </w:rPr>
        <w:t xml:space="preserve"> as of December 31,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 w:type="dxa"/>
            <w:vAlign w:val="bottom"/>
          </w:tcPr>
          <w:p>
            <w:pPr>
              <w:spacing w:after="0"/>
              <w:rPr>
                <w:sz w:val="20"/>
                <w:szCs w:val="20"/>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 Non-PEO</w:t>
            </w: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20"/>
                <w:szCs w:val="20"/>
                <w:color w:val="auto"/>
              </w:rPr>
            </w:pPr>
          </w:p>
        </w:tc>
        <w:tc>
          <w:tcPr>
            <w:tcW w:w="116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Net Income</w:t>
            </w:r>
          </w:p>
        </w:tc>
        <w:tc>
          <w:tcPr>
            <w:tcW w:w="0" w:type="dxa"/>
            <w:vAlign w:val="bottom"/>
          </w:tcPr>
          <w:p>
            <w:pPr>
              <w:spacing w:after="0"/>
              <w:rPr>
                <w:sz w:val="1"/>
                <w:szCs w:val="1"/>
                <w:color w:val="auto"/>
              </w:rPr>
            </w:pPr>
          </w:p>
        </w:tc>
      </w:tr>
      <w:tr>
        <w:trPr>
          <w:trHeight w:val="216"/>
        </w:trPr>
        <w:tc>
          <w:tcPr>
            <w:tcW w:w="316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Year </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0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NEO</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Non-PEO</w:t>
            </w: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40" w:type="dxa"/>
            <w:vAlign w:val="bottom"/>
          </w:tcPr>
          <w:p>
            <w:pPr>
              <w:spacing w:after="0"/>
              <w:rPr>
                <w:sz w:val="18"/>
                <w:szCs w:val="18"/>
                <w:color w:val="auto"/>
              </w:rPr>
            </w:pPr>
          </w:p>
        </w:tc>
        <w:tc>
          <w:tcPr>
            <w:tcW w:w="1160" w:type="dxa"/>
            <w:vAlign w:val="bottom"/>
            <w:gridSpan w:val="2"/>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(Loss) ($000)</w:t>
            </w:r>
          </w:p>
        </w:tc>
        <w:tc>
          <w:tcPr>
            <w:tcW w:w="0" w:type="dxa"/>
            <w:vAlign w:val="bottom"/>
          </w:tcPr>
          <w:p>
            <w:pPr>
              <w:spacing w:after="0"/>
              <w:rPr>
                <w:sz w:val="1"/>
                <w:szCs w:val="1"/>
                <w:color w:val="auto"/>
              </w:rPr>
            </w:pPr>
          </w:p>
        </w:tc>
      </w:tr>
      <w:tr>
        <w:trPr>
          <w:trHeight w:val="216"/>
        </w:trPr>
        <w:tc>
          <w:tcPr>
            <w:tcW w:w="3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8"/>
                <w:szCs w:val="18"/>
                <w:b w:val="1"/>
                <w:bCs w:val="1"/>
                <w:color w:val="auto"/>
                <w:w w:val="96"/>
              </w:rPr>
              <w:t>for PEO ($)</w:t>
            </w:r>
            <w:r>
              <w:rPr>
                <w:rFonts w:ascii="Times New Roman" w:cs="Times New Roman" w:eastAsia="Times New Roman" w:hAnsi="Times New Roman"/>
                <w:sz w:val="23"/>
                <w:szCs w:val="23"/>
                <w:b w:val="1"/>
                <w:bCs w:val="1"/>
                <w:color w:val="auto"/>
                <w:w w:val="96"/>
                <w:vertAlign w:val="superscript"/>
              </w:rPr>
              <w:t>(2)</w:t>
            </w:r>
          </w:p>
        </w:tc>
        <w:tc>
          <w:tcPr>
            <w:tcW w:w="100" w:type="dxa"/>
            <w:vAlign w:val="bottom"/>
          </w:tcPr>
          <w:p>
            <w:pPr>
              <w:spacing w:after="0"/>
              <w:rPr>
                <w:sz w:val="18"/>
                <w:szCs w:val="18"/>
                <w:color w:val="auto"/>
              </w:rPr>
            </w:pPr>
          </w:p>
        </w:tc>
        <w:tc>
          <w:tcPr>
            <w:tcW w:w="124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to PEO ($) </w:t>
            </w:r>
            <w:r>
              <w:rPr>
                <w:rFonts w:ascii="Times New Roman" w:cs="Times New Roman" w:eastAsia="Times New Roman" w:hAnsi="Times New Roman"/>
                <w:sz w:val="23"/>
                <w:szCs w:val="23"/>
                <w:b w:val="1"/>
                <w:bCs w:val="1"/>
                <w:color w:val="auto"/>
                <w:vertAlign w:val="superscript"/>
              </w:rPr>
              <w:t>(3)</w:t>
            </w:r>
          </w:p>
        </w:tc>
        <w:tc>
          <w:tcPr>
            <w:tcW w:w="100" w:type="dxa"/>
            <w:vAlign w:val="bottom"/>
          </w:tcPr>
          <w:p>
            <w:pPr>
              <w:spacing w:after="0"/>
              <w:rPr>
                <w:sz w:val="18"/>
                <w:szCs w:val="18"/>
                <w:color w:val="auto"/>
              </w:rPr>
            </w:pPr>
          </w:p>
        </w:tc>
        <w:tc>
          <w:tcPr>
            <w:tcW w:w="112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b w:val="1"/>
                <w:bCs w:val="1"/>
                <w:color w:val="auto"/>
                <w:w w:val="87"/>
              </w:rPr>
              <w:t xml:space="preserve">($) </w:t>
            </w:r>
            <w:r>
              <w:rPr>
                <w:rFonts w:ascii="Times New Roman" w:cs="Times New Roman" w:eastAsia="Times New Roman" w:hAnsi="Times New Roman"/>
                <w:sz w:val="23"/>
                <w:szCs w:val="23"/>
                <w:b w:val="1"/>
                <w:bCs w:val="1"/>
                <w:color w:val="auto"/>
                <w:w w:val="87"/>
                <w:vertAlign w:val="superscript"/>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8"/>
                <w:szCs w:val="18"/>
                <w:b w:val="1"/>
                <w:bCs w:val="1"/>
                <w:color w:val="auto"/>
                <w:w w:val="94"/>
              </w:rPr>
              <w:t xml:space="preserve">NEO ($) </w:t>
            </w:r>
            <w:r>
              <w:rPr>
                <w:rFonts w:ascii="Times New Roman" w:cs="Times New Roman" w:eastAsia="Times New Roman" w:hAnsi="Times New Roman"/>
                <w:sz w:val="23"/>
                <w:szCs w:val="23"/>
                <w:b w:val="1"/>
                <w:bCs w:val="1"/>
                <w:color w:val="auto"/>
                <w:w w:val="94"/>
                <w:vertAlign w:val="superscript"/>
              </w:rPr>
              <w:t>(3)</w:t>
            </w:r>
          </w:p>
        </w:tc>
        <w:tc>
          <w:tcPr>
            <w:tcW w:w="120" w:type="dxa"/>
            <w:vAlign w:val="bottom"/>
          </w:tcPr>
          <w:p>
            <w:pPr>
              <w:spacing w:after="0"/>
              <w:rPr>
                <w:sz w:val="18"/>
                <w:szCs w:val="18"/>
                <w:color w:val="auto"/>
              </w:rPr>
            </w:pPr>
          </w:p>
        </w:tc>
        <w:tc>
          <w:tcPr>
            <w:tcW w:w="120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18"/>
                <w:szCs w:val="18"/>
                <w:b w:val="1"/>
                <w:bCs w:val="1"/>
                <w:color w:val="auto"/>
                <w:w w:val="97"/>
              </w:rPr>
              <w:t xml:space="preserve">Return ($) </w:t>
            </w:r>
            <w:r>
              <w:rPr>
                <w:rFonts w:ascii="Times New Roman" w:cs="Times New Roman" w:eastAsia="Times New Roman" w:hAnsi="Times New Roman"/>
                <w:sz w:val="23"/>
                <w:szCs w:val="23"/>
                <w:b w:val="1"/>
                <w:bCs w:val="1"/>
                <w:color w:val="auto"/>
                <w:w w:val="97"/>
                <w:vertAlign w:val="superscript"/>
              </w:rPr>
              <w:t>(4)</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1"/>
        </w:trPr>
        <w:tc>
          <w:tcPr>
            <w:tcW w:w="3040" w:type="dxa"/>
            <w:vAlign w:val="bottom"/>
            <w:tcBorders>
              <w:top w:val="single" w:sz="8" w:color="auto"/>
            </w:tcBorders>
          </w:tcPr>
          <w:p>
            <w:pPr>
              <w:jc w:val="right"/>
              <w:ind w:right="2590"/>
              <w:spacing w:after="0" w:line="191" w:lineRule="exact"/>
              <w:rPr>
                <w:sz w:val="20"/>
                <w:szCs w:val="20"/>
                <w:color w:val="auto"/>
              </w:rPr>
            </w:pPr>
            <w:r>
              <w:rPr>
                <w:rFonts w:ascii="Times New Roman" w:cs="Times New Roman" w:eastAsia="Times New Roman" w:hAnsi="Times New Roman"/>
                <w:sz w:val="18"/>
                <w:szCs w:val="18"/>
                <w:color w:val="auto"/>
                <w:w w:val="94"/>
              </w:rPr>
              <w:t>2024</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283,053</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301,654</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ind w:left="540"/>
              <w:spacing w:after="0" w:line="191" w:lineRule="exact"/>
              <w:rPr>
                <w:sz w:val="20"/>
                <w:szCs w:val="20"/>
                <w:color w:val="auto"/>
              </w:rPr>
            </w:pPr>
            <w:r>
              <w:rPr>
                <w:rFonts w:ascii="Times New Roman" w:cs="Times New Roman" w:eastAsia="Times New Roman" w:hAnsi="Times New Roman"/>
                <w:sz w:val="18"/>
                <w:szCs w:val="18"/>
                <w:color w:val="auto"/>
                <w:w w:val="95"/>
              </w:rPr>
              <w:t>313,016</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346,567</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(8,983</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4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366,047</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366,476</w:t>
            </w:r>
          </w:p>
        </w:tc>
        <w:tc>
          <w:tcPr>
            <w:tcW w:w="100" w:type="dxa"/>
            <w:vAlign w:val="bottom"/>
          </w:tcPr>
          <w:p>
            <w:pPr>
              <w:spacing w:after="0"/>
              <w:rPr>
                <w:sz w:val="19"/>
                <w:szCs w:val="19"/>
                <w:color w:val="auto"/>
              </w:rPr>
            </w:pP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364,940</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324,129</w:t>
            </w: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0"/>
        </w:trPr>
        <w:tc>
          <w:tcPr>
            <w:tcW w:w="304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w w:val="94"/>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557,277</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532,457</w:t>
            </w:r>
          </w:p>
        </w:tc>
        <w:tc>
          <w:tcPr>
            <w:tcW w:w="100" w:type="dxa"/>
            <w:vAlign w:val="bottom"/>
          </w:tcPr>
          <w:p>
            <w:pPr>
              <w:spacing w:after="0"/>
              <w:rPr>
                <w:sz w:val="19"/>
                <w:szCs w:val="19"/>
                <w:color w:val="auto"/>
              </w:rPr>
            </w:pP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222,409</w:t>
            </w: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20,556</w:t>
            </w:r>
          </w:p>
        </w:tc>
        <w:tc>
          <w:tcPr>
            <w:tcW w:w="0" w:type="dxa"/>
            <w:vAlign w:val="bottom"/>
          </w:tcPr>
          <w:p>
            <w:pPr>
              <w:spacing w:after="0"/>
              <w:rPr>
                <w:sz w:val="1"/>
                <w:szCs w:val="1"/>
                <w:color w:val="auto"/>
              </w:rPr>
            </w:pPr>
          </w:p>
        </w:tc>
      </w:tr>
      <w:tr>
        <w:trPr>
          <w:trHeight w:val="234"/>
        </w:trPr>
        <w:tc>
          <w:tcPr>
            <w:tcW w:w="304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w w:val="94"/>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418,750</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378,848</w:t>
            </w:r>
          </w:p>
        </w:tc>
        <w:tc>
          <w:tcPr>
            <w:tcW w:w="100" w:type="dxa"/>
            <w:vAlign w:val="bottom"/>
          </w:tcPr>
          <w:p>
            <w:pPr>
              <w:spacing w:after="0"/>
              <w:rPr>
                <w:sz w:val="20"/>
                <w:szCs w:val="20"/>
                <w:color w:val="auto"/>
              </w:rPr>
            </w:pP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251,625</w:t>
            </w: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227,684</w:t>
            </w:r>
          </w:p>
        </w:tc>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40" w:hanging="432"/>
        <w:spacing w:after="0" w:line="266" w:lineRule="auto"/>
        <w:tabs>
          <w:tab w:leader="none" w:pos="3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Zeynep Hakimoglu served as PEO in and in 2022 till May 24, 2022, when her employment with ClearOne was terminated. Derek L. Graham served as PEO for the remaining part of 2022 and continued in the role for 2023 and 2024. Narsi Narayanan was our only Non-PEO NEO for 2021, 2022, 2023, and 2024 until his resignation effective March 1, 2024. Simon Brewer served as the Non-PEO NEO starting April 17,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553" w:right="339" w:bottom="1440" w:gutter="0" w:footer="0" w:header="0"/>
        </w:sectPr>
      </w:pPr>
    </w:p>
    <w:bookmarkStart w:id="17" w:name="page18"/>
    <w:bookmarkEnd w:id="17"/>
    <w:p>
      <w:pPr>
        <w:jc w:val="both"/>
        <w:ind w:left="440" w:hanging="432"/>
        <w:spacing w:after="0" w:line="266"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these columns represent (i) the total compensation reported in the Summary Compensation Table (“SCT”) for the applicable years in the case of our PEOs, Zeynep Hakimoglu and Derek Graham, and (ii) total compensation reported in the SCT for the applicable years for Narsi Narayana and Simon Brewer, our only Non-PEO NEOs for the applicable years.</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5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these columns represent compensation actually paid; adjustments were made to the amounts reported in the SCT for the applicable year.</w:t>
      </w:r>
    </w:p>
    <w:p>
      <w:pPr>
        <w:spacing w:after="0" w:line="80" w:lineRule="exact"/>
        <w:rPr>
          <w:rFonts w:ascii="Times New Roman" w:cs="Times New Roman" w:eastAsia="Times New Roman" w:hAnsi="Times New Roman"/>
          <w:sz w:val="18"/>
          <w:szCs w:val="18"/>
          <w:color w:val="auto"/>
        </w:rPr>
      </w:pPr>
    </w:p>
    <w:p>
      <w:pPr>
        <w:ind w:left="440" w:right="20" w:hanging="432"/>
        <w:spacing w:after="0" w:line="282" w:lineRule="auto"/>
        <w:tabs>
          <w:tab w:leader="none" w:pos="4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(“TSR”) is cumulative for the measurement periods beginning on December 31, 2020 and ending on December 31 of each of 2024, 2023, 2022 and 2021, respectively, calculated in accordance with Item 201(e) of Regulation S-K.</w:t>
      </w:r>
    </w:p>
    <w:p>
      <w:pPr>
        <w:spacing w:after="0" w:line="94" w:lineRule="exact"/>
        <w:rPr>
          <w:rFonts w:ascii="Times New Roman" w:cs="Times New Roman" w:eastAsia="Times New Roman" w:hAnsi="Times New Roman"/>
          <w:sz w:val="18"/>
          <w:szCs w:val="18"/>
          <w:color w:val="auto"/>
        </w:rPr>
      </w:pPr>
    </w:p>
    <w:p>
      <w:pPr>
        <w:ind w:left="440" w:hanging="432"/>
        <w:spacing w:after="0" w:line="282"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(loss) attributable to common stockholders reflected in our audited Consolidated Financial Statements included in our 2024, 2023, 2022 and 2021 Annual Reports on Form 10-K, respectively.</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reconciliation of the adjustments for PEOs (Zeynep Hakimoglu and Derek L. Graham) and for Non-PEO NEOs (Narsi Narayanan and Simon Brewer) is set forth in the following table, which describes the adjustments, each of which is prescribed by the SEC rules, to calculate the CAP from SCT amounts. Equity values are calculated in accordance with FASB ASC 718.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8"/>
        </w:trPr>
        <w:tc>
          <w:tcPr>
            <w:tcW w:w="2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Non-</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Non-</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Non-</w:t>
            </w: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PEO</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PEO</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PEO</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PEO</w:t>
            </w:r>
          </w:p>
        </w:tc>
      </w:tr>
      <w:tr>
        <w:trPr>
          <w:trHeight w:val="238"/>
        </w:trPr>
        <w:tc>
          <w:tcPr>
            <w:tcW w:w="23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NEO</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PEO</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NEO</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PEO</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NEO</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PEO</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NEO</w:t>
            </w:r>
          </w:p>
        </w:tc>
      </w:tr>
      <w:tr>
        <w:trPr>
          <w:trHeight w:val="200"/>
        </w:trPr>
        <w:tc>
          <w:tcPr>
            <w:tcW w:w="224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w w:val="99"/>
              </w:rPr>
              <w:t>Summary Compensation Table</w:t>
            </w: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47"/>
        </w:trPr>
        <w:tc>
          <w:tcPr>
            <w:tcW w:w="2360" w:type="dxa"/>
            <w:vAlign w:val="bottom"/>
            <w:gridSpan w:val="2"/>
          </w:tcPr>
          <w:p>
            <w:pPr>
              <w:spacing w:after="0" w:line="247"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8"/>
                <w:szCs w:val="28"/>
                <w:color w:val="auto"/>
                <w:vertAlign w:val="superscript"/>
              </w:rPr>
              <w:t>(1)</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283,053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313,016</w:t>
            </w:r>
          </w:p>
        </w:tc>
        <w:tc>
          <w:tcPr>
            <w:tcW w:w="120" w:type="dxa"/>
            <w:vAlign w:val="bottom"/>
          </w:tcPr>
          <w:p>
            <w:pPr>
              <w:spacing w:after="0"/>
              <w:rPr>
                <w:sz w:val="21"/>
                <w:szCs w:val="21"/>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366,047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364,940</w:t>
            </w:r>
          </w:p>
        </w:tc>
        <w:tc>
          <w:tcPr>
            <w:tcW w:w="120" w:type="dxa"/>
            <w:vAlign w:val="bottom"/>
          </w:tcPr>
          <w:p>
            <w:pPr>
              <w:spacing w:after="0"/>
              <w:rPr>
                <w:sz w:val="21"/>
                <w:szCs w:val="21"/>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557,277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418,750</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251,625</w:t>
            </w: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Grant Date Fair Value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Awards Granted in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Fair Value at Fiscal Year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 of Outstanding and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Option Awards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in Fiscal Year</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74,111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Change in Fair Value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and Unvested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Awards Granted in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Fiscal Years</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(43,666)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w:t>
            </w: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Fair Value at Vesting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Awards Granted in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 that Vested During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right="9000" w:firstLine="8"/>
        <w:spacing w:after="0" w:line="265" w:lineRule="auto"/>
        <w:tabs>
          <w:tab w:leader="none" w:pos="26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Fair Value as of Vesting Date of Option Awards Granted in Prior Fiscal Years For Which Applicable Vesting Conditions Were</w:t>
      </w:r>
    </w:p>
    <w:p>
      <w:pPr>
        <w:spacing w:after="0" w:line="1" w:lineRule="exact"/>
        <w:rPr>
          <w:sz w:val="20"/>
          <w:szCs w:val="20"/>
          <w:color w:val="auto"/>
        </w:rPr>
      </w:pPr>
    </w:p>
    <w:p>
      <w:pPr>
        <w:spacing w:after="0"/>
        <w:tabs>
          <w:tab w:leader="none" w:pos="2800" w:val="left"/>
          <w:tab w:leader="none" w:pos="4200" w:val="left"/>
          <w:tab w:leader="none" w:pos="5360" w:val="left"/>
          <w:tab w:leader="none" w:pos="6200" w:val="left"/>
          <w:tab w:leader="none" w:pos="7320" w:val="left"/>
          <w:tab w:leader="none" w:pos="8420" w:val="left"/>
          <w:tab w:leader="none" w:pos="9620" w:val="left"/>
          <w:tab w:leader="none" w:pos="10740" w:val="left"/>
        </w:tabs>
        <w:rPr>
          <w:sz w:val="20"/>
          <w:szCs w:val="20"/>
          <w:color w:val="auto"/>
        </w:rPr>
      </w:pPr>
      <w:r>
        <w:rPr>
          <w:rFonts w:ascii="Times New Roman" w:cs="Times New Roman" w:eastAsia="Times New Roman" w:hAnsi="Times New Roman"/>
          <w:sz w:val="18"/>
          <w:szCs w:val="18"/>
          <w:color w:val="auto"/>
        </w:rPr>
        <w:t>Satisfied During Fiscal Year</w:t>
      </w:r>
      <w:r>
        <w:rPr>
          <w:sz w:val="20"/>
          <w:szCs w:val="20"/>
          <w:color w:val="auto"/>
        </w:rPr>
        <w:tab/>
      </w:r>
      <w:r>
        <w:rPr>
          <w:rFonts w:ascii="Times New Roman" w:cs="Times New Roman" w:eastAsia="Times New Roman" w:hAnsi="Times New Roman"/>
          <w:sz w:val="18"/>
          <w:szCs w:val="18"/>
          <w:color w:val="auto"/>
        </w:rPr>
        <w:t>(1,529)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(4,588)</w:t>
      </w:r>
      <w:r>
        <w:rPr>
          <w:sz w:val="20"/>
          <w:szCs w:val="20"/>
          <w:color w:val="auto"/>
        </w:rPr>
        <w:tab/>
      </w:r>
      <w:r>
        <w:rPr>
          <w:rFonts w:ascii="Times New Roman" w:cs="Times New Roman" w:eastAsia="Times New Roman" w:hAnsi="Times New Roman"/>
          <w:sz w:val="18"/>
          <w:szCs w:val="18"/>
          <w:color w:val="auto"/>
        </w:rPr>
        <w:t>(2,761)</w:t>
      </w:r>
      <w:r>
        <w:rPr>
          <w:sz w:val="20"/>
          <w:szCs w:val="20"/>
          <w:color w:val="auto"/>
        </w:rPr>
        <w:tab/>
      </w:r>
      <w:r>
        <w:rPr>
          <w:rFonts w:ascii="Times New Roman" w:cs="Times New Roman" w:eastAsia="Times New Roman" w:hAnsi="Times New Roman"/>
          <w:sz w:val="18"/>
          <w:szCs w:val="18"/>
          <w:color w:val="auto"/>
        </w:rPr>
        <w:t>(2,991)</w:t>
      </w:r>
      <w:r>
        <w:rPr>
          <w:sz w:val="20"/>
          <w:szCs w:val="20"/>
          <w:color w:val="auto"/>
        </w:rPr>
        <w:tab/>
      </w:r>
      <w:r>
        <w:rPr>
          <w:rFonts w:ascii="Times New Roman" w:cs="Times New Roman" w:eastAsia="Times New Roman" w:hAnsi="Times New Roman"/>
          <w:sz w:val="18"/>
          <w:szCs w:val="18"/>
          <w:color w:val="auto"/>
        </w:rPr>
        <w:t>3,764</w:t>
      </w:r>
      <w:r>
        <w:rPr>
          <w:sz w:val="20"/>
          <w:szCs w:val="20"/>
          <w:color w:val="auto"/>
        </w:rPr>
        <w:tab/>
      </w:r>
      <w:r>
        <w:rPr>
          <w:rFonts w:ascii="Times New Roman" w:cs="Times New Roman" w:eastAsia="Times New Roman" w:hAnsi="Times New Roman"/>
          <w:sz w:val="18"/>
          <w:szCs w:val="18"/>
          <w:color w:val="auto"/>
        </w:rPr>
        <w:t>2,259</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48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0"/>
        </w:trPr>
        <w:tc>
          <w:tcPr>
            <w:tcW w:w="2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68"/>
        </w:trPr>
        <w:tc>
          <w:tcPr>
            <w:tcW w:w="2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Non-</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Non-</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Non-</w:t>
            </w: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PEO</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PEO</w:t>
            </w:r>
          </w:p>
        </w:tc>
      </w:tr>
      <w:tr>
        <w:trPr>
          <w:trHeight w:val="238"/>
        </w:trPr>
        <w:tc>
          <w:tcPr>
            <w:tcW w:w="25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NEO</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PEO</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NEO</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PEO</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NEO</w:t>
            </w: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PEO</w:t>
            </w:r>
          </w:p>
        </w:tc>
        <w:tc>
          <w:tcPr>
            <w:tcW w:w="8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NEO</w:t>
            </w:r>
          </w:p>
        </w:tc>
      </w:tr>
      <w:tr>
        <w:trPr>
          <w:trHeight w:val="191"/>
        </w:trPr>
        <w:tc>
          <w:tcPr>
            <w:tcW w:w="2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8"/>
              </w:rPr>
              <w:t>(-) Fair Value as of Prior Fiscal</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16"/>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End of Option Awards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in Prior Fiscal Years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That Failed to Meet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Applicable Vesting Conditions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During Fiscal Year</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Value of Dividends or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Earnings Paid on Stock</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 Option Awards Not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Otherwise Reflected in Fair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Value or Total 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Fiscal Year</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Actually Paid   $</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301,654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346,567</w:t>
            </w: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366,476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324,129</w:t>
            </w:r>
          </w:p>
        </w:tc>
        <w:tc>
          <w:tcPr>
            <w:tcW w:w="12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532,457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222,409</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378,848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227,684</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Unvested equity values are computed in accordance with the methodology used for financial reporting purposes.</w:t>
      </w:r>
    </w:p>
    <w:p>
      <w:pPr>
        <w:spacing w:after="0" w:line="14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Item 402(v) of SEC Regulation S-K, we are providing the following graphic descriptions of the relationships between information presented in the pay versus performance table provided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57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Relationship Between CAP and Total Shareholder Return (“TSR”)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graph below reflects the relationship between the PEO and Non-PEO NEO CAP and our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102870</wp:posOffset>
            </wp:positionV>
            <wp:extent cx="6000750" cy="2726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0075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CAP and Net Income (Loss)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The graph below reflects the relationship between the PEO and Non-PEO NEO CAP and Net Income (Loss)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74930</wp:posOffset>
            </wp:positionV>
            <wp:extent cx="6000750" cy="2682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0075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right="1059" w:hanging="5532"/>
        <w:spacing w:after="0" w:line="563" w:lineRule="auto"/>
        <w:tabs>
          <w:tab w:leader="none" w:pos="2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net income (loss) reported in the Company’s audited financial statements for the applicable year. 20</w:t>
      </w:r>
    </w:p>
    <w:p>
      <w:pPr>
        <w:sectPr>
          <w:pgSz w:w="11900" w:h="16838" w:orient="portrait"/>
          <w:cols w:equalWidth="0" w:num="1">
            <w:col w:w="10139"/>
          </w:cols>
          <w:pgMar w:left="320" w:top="549"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ownership of our Common Stock as of November 30, 2025, except as otherwise stated, by (i) 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Beneficially</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that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could be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acquired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Currently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Currently</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within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60 days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8"/>
        </w:trPr>
        <w:tc>
          <w:tcPr>
            <w:tcW w:w="1400" w:type="dxa"/>
            <w:vAlign w:val="bottom"/>
          </w:tcPr>
          <w:p>
            <w:pPr>
              <w:spacing w:after="0"/>
              <w:rPr>
                <w:sz w:val="20"/>
                <w:szCs w:val="20"/>
                <w:color w:val="auto"/>
              </w:rPr>
            </w:pPr>
          </w:p>
        </w:tc>
        <w:tc>
          <w:tcPr>
            <w:tcW w:w="3800" w:type="dxa"/>
            <w:vAlign w:val="bottom"/>
            <w:gridSpan w:val="3"/>
          </w:tcPr>
          <w:p>
            <w:pPr>
              <w:ind w:left="40"/>
              <w:spacing w:after="0" w:line="239" w:lineRule="exact"/>
              <w:rPr>
                <w:sz w:val="20"/>
                <w:szCs w:val="20"/>
                <w:color w:val="auto"/>
              </w:rPr>
            </w:pPr>
            <w:r>
              <w:rPr>
                <w:rFonts w:ascii="Times New Roman" w:cs="Times New Roman" w:eastAsia="Times New Roman" w:hAnsi="Times New Roman"/>
                <w:sz w:val="18"/>
                <w:szCs w:val="18"/>
                <w:b w:val="1"/>
                <w:bCs w:val="1"/>
                <w:color w:val="auto"/>
              </w:rPr>
              <w:t xml:space="preserve">Name of Beneficial Owner </w:t>
            </w:r>
            <w:r>
              <w:rPr>
                <w:rFonts w:ascii="Times New Roman" w:cs="Times New Roman" w:eastAsia="Times New Roman" w:hAnsi="Times New Roman"/>
                <w:sz w:val="23"/>
                <w:szCs w:val="23"/>
                <w:b w:val="1"/>
                <w:bCs w:val="1"/>
                <w:color w:val="auto"/>
                <w:vertAlign w:val="superscript"/>
              </w:rPr>
              <w:t>(1)</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20" w:type="dxa"/>
            <w:vAlign w:val="bottom"/>
            <w:gridSpan w:val="2"/>
          </w:tcPr>
          <w:p>
            <w:pPr>
              <w:jc w:val="center"/>
              <w:ind w:right="120"/>
              <w:spacing w:after="0" w:line="239" w:lineRule="exact"/>
              <w:rPr>
                <w:sz w:val="20"/>
                <w:szCs w:val="20"/>
                <w:color w:val="auto"/>
              </w:rPr>
            </w:pPr>
            <w:r>
              <w:rPr>
                <w:rFonts w:ascii="Times New Roman" w:cs="Times New Roman" w:eastAsia="Times New Roman" w:hAnsi="Times New Roman"/>
                <w:sz w:val="18"/>
                <w:szCs w:val="18"/>
                <w:b w:val="1"/>
                <w:bCs w:val="1"/>
                <w:color w:val="auto"/>
                <w:w w:val="96"/>
              </w:rPr>
              <w:t>Percent</w:t>
            </w:r>
            <w:r>
              <w:rPr>
                <w:rFonts w:ascii="Times New Roman" w:cs="Times New Roman" w:eastAsia="Times New Roman" w:hAnsi="Times New Roman"/>
                <w:sz w:val="23"/>
                <w:szCs w:val="23"/>
                <w:b w:val="1"/>
                <w:bCs w:val="1"/>
                <w:color w:val="auto"/>
                <w:w w:val="96"/>
                <w:vertAlign w:val="superscript"/>
              </w:rPr>
              <w:t>(2)</w:t>
            </w:r>
            <w:r>
              <w:rPr>
                <w:rFonts w:ascii="Times New Roman" w:cs="Times New Roman" w:eastAsia="Times New Roman" w:hAnsi="Times New Roman"/>
                <w:sz w:val="18"/>
                <w:szCs w:val="18"/>
                <w:b w:val="1"/>
                <w:bCs w:val="1"/>
                <w:color w:val="auto"/>
                <w:w w:val="96"/>
              </w:rPr>
              <w:t xml:space="preserve"> (B)</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(C)</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w:t>
            </w:r>
          </w:p>
        </w:tc>
        <w:tc>
          <w:tcPr>
            <w:tcW w:w="0" w:type="dxa"/>
            <w:vAlign w:val="bottom"/>
          </w:tcPr>
          <w:p>
            <w:pPr>
              <w:spacing w:after="0"/>
              <w:rPr>
                <w:sz w:val="1"/>
                <w:szCs w:val="1"/>
                <w:color w:val="auto"/>
              </w:rPr>
            </w:pPr>
          </w:p>
        </w:tc>
      </w:tr>
      <w:tr>
        <w:trPr>
          <w:trHeight w:val="169"/>
        </w:trPr>
        <w:tc>
          <w:tcPr>
            <w:tcW w:w="508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Directors and Executive Officers:</w:t>
            </w: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Derek L. Graham</w:t>
            </w:r>
          </w:p>
        </w:tc>
        <w:tc>
          <w:tcPr>
            <w:tcW w:w="2780" w:type="dxa"/>
            <w:vAlign w:val="bottom"/>
            <w:gridSpan w:val="2"/>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Eric Boehnke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Lisa B. Higley</w:t>
            </w:r>
            <w:r>
              <w:rPr>
                <w:rFonts w:ascii="Times New Roman" w:cs="Times New Roman" w:eastAsia="Times New Roman" w:hAnsi="Times New Roman"/>
                <w:sz w:val="23"/>
                <w:szCs w:val="23"/>
                <w:color w:val="auto"/>
                <w:vertAlign w:val="superscript"/>
              </w:rPr>
              <w:t>(3)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Youngsun Park</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Eric L. Robinson</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Bruce Whaley</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Simon Brewer</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(Directors and Officers)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140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5% Shareholders:</w:t>
            </w:r>
          </w:p>
        </w:tc>
        <w:tc>
          <w:tcPr>
            <w:tcW w:w="3800" w:type="dxa"/>
            <w:vAlign w:val="bottom"/>
            <w:gridSpan w:val="3"/>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200" w:type="dxa"/>
            <w:vAlign w:val="bottom"/>
            <w:gridSpan w:val="4"/>
          </w:tcPr>
          <w:p>
            <w:pPr>
              <w:spacing w:after="0" w:line="218" w:lineRule="exact"/>
              <w:rPr>
                <w:sz w:val="20"/>
                <w:szCs w:val="20"/>
                <w:color w:val="auto"/>
              </w:rPr>
            </w:pPr>
            <w:r>
              <w:rPr>
                <w:rFonts w:ascii="Times New Roman" w:cs="Times New Roman" w:eastAsia="Times New Roman" w:hAnsi="Times New Roman"/>
                <w:sz w:val="18"/>
                <w:szCs w:val="18"/>
                <w:color w:val="auto"/>
              </w:rPr>
              <w:t xml:space="preserve">First Finance Ltd. </w:t>
            </w:r>
            <w:r>
              <w:rPr>
                <w:rFonts w:ascii="Times New Roman" w:cs="Times New Roman" w:eastAsia="Times New Roman" w:hAnsi="Times New Roman"/>
                <w:sz w:val="23"/>
                <w:szCs w:val="23"/>
                <w:color w:val="auto"/>
                <w:vertAlign w:val="superscript"/>
              </w:rPr>
              <w:t>(4)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1,203,662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1,203,662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323"/>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Edward D. Bagley </w:t>
            </w:r>
            <w:r>
              <w:rPr>
                <w:rFonts w:ascii="Times New Roman" w:cs="Times New Roman" w:eastAsia="Times New Roman" w:hAnsi="Times New Roman"/>
                <w:sz w:val="23"/>
                <w:szCs w:val="23"/>
                <w:color w:val="auto"/>
                <w:vertAlign w:val="superscript"/>
              </w:rPr>
              <w:t>(5)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140,668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ownership of less than 1%.</w:t>
      </w:r>
    </w:p>
    <w:p>
      <w:pPr>
        <w:spacing w:after="0" w:line="158" w:lineRule="exact"/>
        <w:rPr>
          <w:sz w:val="20"/>
          <w:szCs w:val="20"/>
          <w:color w:val="auto"/>
        </w:rPr>
      </w:pPr>
    </w:p>
    <w:p>
      <w:pPr>
        <w:jc w:val="both"/>
        <w:ind w:left="300" w:hanging="292"/>
        <w:spacing w:after="0" w:line="257" w:lineRule="auto"/>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each person named in the table has sole voting and investment power, subject to applicable community property law. Except as otherwise indicated, each person may be reached at our corporate offices c/o ClearOne, Inc., 5225 Wiley Post Way, Suite 500, Salt Lake City, Utah 84116.</w:t>
      </w:r>
    </w:p>
    <w:p>
      <w:pPr>
        <w:spacing w:after="0" w:line="1" w:lineRule="exact"/>
        <w:rPr>
          <w:rFonts w:ascii="Times New Roman" w:cs="Times New Roman" w:eastAsia="Times New Roman" w:hAnsi="Times New Roman"/>
          <w:sz w:val="18"/>
          <w:szCs w:val="18"/>
          <w:color w:val="auto"/>
        </w:rPr>
      </w:pPr>
    </w:p>
    <w:p>
      <w:pPr>
        <w:jc w:val="both"/>
        <w:ind w:left="300" w:hanging="292"/>
        <w:spacing w:after="0" w:line="247" w:lineRule="auto"/>
        <w:tabs>
          <w:tab w:leader="none" w:pos="2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in Column (B) are calculated based on 2,237,912 shares of Common Stock outstanding on November 30, 2025. The numbers shown in Column (D) and percentages shown in Column (E) include the shares of Common Stock actually owned as of November 30, 2025 and the shares of Common Stock that the identified person or group had the right to acquire within 60 days of such date. In calculating the percentage of ownership, all shares of Common Stock that each identified person or group had the right to acquire within 60 days of November 30, 2025 upon the exercise of the stock options and warrants shown in Column (C) are deemed to be outstanding for the purpose of computing the percentage of the shares of Common Stock owned by the persons or groups listed above.</w:t>
      </w:r>
    </w:p>
    <w:p>
      <w:pPr>
        <w:spacing w:after="0" w:line="4" w:lineRule="exact"/>
        <w:rPr>
          <w:rFonts w:ascii="Times New Roman" w:cs="Times New Roman" w:eastAsia="Times New Roman" w:hAnsi="Times New Roman"/>
          <w:sz w:val="18"/>
          <w:szCs w:val="18"/>
          <w:color w:val="auto"/>
        </w:rPr>
      </w:pPr>
    </w:p>
    <w:p>
      <w:pPr>
        <w:jc w:val="both"/>
        <w:ind w:left="300" w:hanging="292"/>
        <w:spacing w:after="0" w:line="250" w:lineRule="auto"/>
        <w:tabs>
          <w:tab w:leader="none" w:pos="2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Lisa Higley, who was appointed a Director effective July 20, 2020, is the daughter of Edward D. Bagley, and each of them has previously disclaimed beneficial ownership of Common Stock beneficially owned by the other. The share amounts indicated for Ms. Higley do not include any shares held by Edward D. Bagley. The share amounts indicated for Ms. Higley do not include 6,546 shares owned by her spouse and 2,252,636 shares held by a trust in which she is a co-trustee.</w:t>
      </w:r>
    </w:p>
    <w:p>
      <w:pPr>
        <w:spacing w:after="0" w:line="1" w:lineRule="exact"/>
        <w:rPr>
          <w:rFonts w:ascii="Times New Roman" w:cs="Times New Roman" w:eastAsia="Times New Roman" w:hAnsi="Times New Roman"/>
          <w:sz w:val="18"/>
          <w:szCs w:val="18"/>
          <w:color w:val="auto"/>
        </w:rPr>
      </w:pPr>
    </w:p>
    <w:p>
      <w:pPr>
        <w:jc w:val="both"/>
        <w:ind w:left="300" w:hanging="292"/>
        <w:spacing w:after="0" w:line="250" w:lineRule="auto"/>
        <w:tabs>
          <w:tab w:leader="none" w:pos="2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information for First Finance Ltd. based on a Schedule 13D/A filed by First Finance Ltd. On November 26, 2025. According to the Schedule 13D Amendment, First Finance Ltd. exercises sole investment and dispositive power with respect to all shares. By virtue of his pecuniary interest in First Finance Ltd., Andrew Hromyk may be deemed to beneficially own all of the shares beneficially owned by First Finance Ltd. resulting from Mr. Hromyk’s pecuniary interest in First Finance Ltd. as its controlling shareholder and director. The principal business address of First Finance Ltd. and Mr. Hromyk is 520 Newport Center Drive, Suite 650, Newport Beach CA, 92660.</w:t>
      </w:r>
    </w:p>
    <w:p>
      <w:pPr>
        <w:spacing w:after="0" w:line="1" w:lineRule="exact"/>
        <w:rPr>
          <w:rFonts w:ascii="Times New Roman" w:cs="Times New Roman" w:eastAsia="Times New Roman" w:hAnsi="Times New Roman"/>
          <w:sz w:val="18"/>
          <w:szCs w:val="18"/>
          <w:color w:val="auto"/>
        </w:rPr>
      </w:pPr>
    </w:p>
    <w:p>
      <w:pPr>
        <w:jc w:val="both"/>
        <w:ind w:left="300" w:hanging="292"/>
        <w:spacing w:after="0" w:line="253" w:lineRule="auto"/>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Bagley may be deemed to own an additional 23,684 shares of Common Stock that his spouse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143,224 shares (including the shares that may be acquired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549" w:right="339" w:bottom="1440" w:gutter="0" w:footer="0" w:header="0"/>
        </w:sectPr>
      </w:pPr>
    </w:p>
    <w:bookmarkStart w:id="21" w:name="page22"/>
    <w:bookmarkEnd w:id="21"/>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pursuant to exercise of options to purchase 2,556 shares of Common Stock). This information is based upon a Schedule 13D Amendment filed by Mr. Bagley with the SEC on November 26, 2025. Lisa Higley, who was appointed a Director effective July 20, 2020, is the daughter of Edward D. Bagley, and each of them has previously disclaimed beneficial ownership of Common Stock beneficially owned by the other. The share amounts indicated for Mr. Edward D. Bagley do not include any shares held by E. Bryan Bagley or Lisa Higley.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as of December 31, 2024, relating to equity compensation plans of the Company (including individual compensation arrangements) pursuant to which equity securities of the Company are authorized for issuance.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future issuance under</w:t>
            </w: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securities to be issued</w:t>
            </w:r>
          </w:p>
        </w:tc>
        <w:tc>
          <w:tcPr>
            <w:tcW w:w="12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upon exercise of</w:t>
            </w:r>
          </w:p>
        </w:tc>
        <w:tc>
          <w:tcPr>
            <w:tcW w:w="12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outstanding options</w:t>
            </w:r>
          </w:p>
        </w:tc>
        <w:tc>
          <w:tcPr>
            <w:tcW w:w="12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Price of Outstanding</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reflected in</w:t>
            </w:r>
          </w:p>
        </w:tc>
      </w:tr>
      <w:tr>
        <w:trPr>
          <w:trHeight w:val="23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20" w:type="dxa"/>
            <w:vAlign w:val="bottom"/>
          </w:tcPr>
          <w:p>
            <w:pPr>
              <w:spacing w:after="0"/>
              <w:rPr>
                <w:sz w:val="20"/>
                <w:szCs w:val="20"/>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Options and Rights</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column(a))</w:t>
            </w:r>
          </w:p>
        </w:tc>
      </w:tr>
      <w:tr>
        <w:trPr>
          <w:trHeight w:val="191"/>
        </w:trPr>
        <w:tc>
          <w:tcPr>
            <w:tcW w:w="5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20" w:type="dxa"/>
            <w:vAlign w:val="bottom"/>
          </w:tcPr>
          <w:p>
            <w:pPr>
              <w:spacing w:after="0"/>
              <w:rPr>
                <w:sz w:val="16"/>
                <w:szCs w:val="16"/>
                <w:color w:val="auto"/>
              </w:rPr>
            </w:pPr>
          </w:p>
        </w:tc>
        <w:tc>
          <w:tcPr>
            <w:tcW w:w="1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569,016</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6"/>
                <w:szCs w:val="16"/>
                <w:color w:val="auto"/>
              </w:rPr>
            </w:pPr>
          </w:p>
        </w:tc>
        <w:tc>
          <w:tcPr>
            <w:tcW w:w="1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1,015,171</w:t>
            </w:r>
          </w:p>
        </w:tc>
        <w:tc>
          <w:tcPr>
            <w:tcW w:w="20" w:type="dxa"/>
            <w:vAlign w:val="bottom"/>
          </w:tcPr>
          <w:p>
            <w:pPr>
              <w:spacing w:after="0"/>
              <w:rPr>
                <w:sz w:val="16"/>
                <w:szCs w:val="16"/>
                <w:color w:val="auto"/>
              </w:rPr>
            </w:pPr>
          </w:p>
        </w:tc>
      </w:tr>
      <w:tr>
        <w:trPr>
          <w:trHeight w:val="23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569,016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1,015,171</w:t>
            </w: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our Annual Meeting of Shareholders in 2026 will be held in December 2025. Any shareholder that wishes to present any proposal for shareholder action at our Annual Meeting of Shareholders to be held during calendar year 2026 must notify us at our principal executive offices no later than August 19, 2026 in order for the proposal to be included in our proxy statement and form of proxy relating to that meeting.</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Rule 14a-8 under the Exchange Act, we intend to retain discretionary authority to vote proxies with respect to shareholder proposals for which the proponent does not seek inclusion of the proposed matter in our proxy statement for the annual meeting to be held during calendar 2026, except in circumstances where (i) we receive notice of the proposed matter no later than August 19, 2026; and (ii) the proponent complies with the other requirements set forth in Rule 14a-8.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486"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748030</wp:posOffset>
            </wp:positionH>
            <wp:positionV relativeFrom="page">
              <wp:posOffset>337185</wp:posOffset>
            </wp:positionV>
            <wp:extent cx="6052185" cy="7826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052185" cy="782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1]"/>
      <w:numFmt w:val="upperLetter"/>
      <w:start w:val="24"/>
    </w:lvl>
  </w:abstractNum>
  <w:abstractNum w:abstractNumId="2">
    <w:nsid w:val="216231B"/>
    <w:multiLevelType w:val="hybridMultilevel"/>
    <w:lvl w:ilvl="0">
      <w:lvlJc w:val="left"/>
      <w:lvlText w:val="["/>
      <w:numFmt w:val="bullet"/>
      <w:start w:val="1"/>
    </w:lvl>
    <w:lvl w:ilvl="1">
      <w:lvlJc w:val="left"/>
      <w:lvlText w:val="%2)"/>
      <w:numFmt w:val="decimal"/>
      <w:start w:val="1"/>
    </w:lvl>
  </w:abstractNum>
  <w:abstractNum w:abstractNumId="3">
    <w:nsid w:val="1F16E9E8"/>
    <w:multiLevelType w:val="hybridMultilevel"/>
    <w:lvl w:ilvl="0">
      <w:lvlJc w:val="left"/>
      <w:lvlText w:val="["/>
      <w:numFmt w:val="bullet"/>
      <w:start w:val="1"/>
    </w:lvl>
    <w:lvl w:ilvl="1">
      <w:lvlJc w:val="left"/>
      <w:lvlText w:val="%2)"/>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2"/>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2025-12-17T16:11:46Z</dcterms:created>
  <dcterms:modified xsi:type="dcterms:W3CDTF">2025-12-17T16:11:46Z</dcterms:modified>
</cp:coreProperties>
</file>