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141605</wp:posOffset>
            </wp:positionH>
            <wp:positionV relativeFrom="page">
              <wp:posOffset>231140</wp:posOffset>
            </wp:positionV>
            <wp:extent cx="727900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9005" cy="3365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8-K/A</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 PURSUANT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TO SECTION 13 OR 15(D) OF</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THE SECURITIES EXCHANGE ACT OF 1934</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 xml:space="preserve">Date of report (Date of earliest event reported): </w:t>
      </w:r>
      <w:r>
        <w:rPr>
          <w:rFonts w:ascii="Arial" w:cs="Arial" w:eastAsia="Arial" w:hAnsi="Arial"/>
          <w:sz w:val="15"/>
          <w:szCs w:val="15"/>
          <w:b w:val="1"/>
          <w:bCs w:val="1"/>
          <w:u w:val="single" w:color="auto"/>
          <w:color w:val="auto"/>
        </w:rPr>
        <w:t>September 9, 2009</w:t>
      </w: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3"/>
          <w:szCs w:val="23"/>
          <w:b w:val="1"/>
          <w:bCs w:val="1"/>
          <w:u w:val="single" w:color="auto"/>
          <w:color w:val="auto"/>
        </w:rPr>
        <w:t>ClearOne Communications,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Utah</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(State or Other Jurisdiction of Incorporation)</w:t>
      </w:r>
    </w:p>
    <w:p>
      <w:pPr>
        <w:spacing w:after="0" w:line="185" w:lineRule="exact"/>
        <w:rPr>
          <w:sz w:val="24"/>
          <w:szCs w:val="24"/>
          <w:color w:val="auto"/>
        </w:rPr>
      </w:pPr>
    </w:p>
    <w:tbl>
      <w:tblPr>
        <w:tblLayout w:type="fixed"/>
        <w:tblInd w:w="2300" w:type="dxa"/>
        <w:tblCellMar>
          <w:top w:w="0" w:type="dxa"/>
          <w:left w:w="0" w:type="dxa"/>
          <w:bottom w:w="0" w:type="dxa"/>
          <w:right w:w="0" w:type="dxa"/>
        </w:tblCellMar>
      </w:tblPr>
      <w:tr>
        <w:trPr>
          <w:trHeight w:val="191"/>
        </w:trPr>
        <w:tc>
          <w:tcPr>
            <w:tcW w:w="3440" w:type="dxa"/>
            <w:vAlign w:val="bottom"/>
            <w:tcBorders>
              <w:bottom w:val="single" w:sz="8" w:color="auto"/>
            </w:tcBorders>
          </w:tcPr>
          <w:p>
            <w:pPr>
              <w:jc w:val="right"/>
              <w:ind w:right="1327"/>
              <w:spacing w:after="0"/>
              <w:rPr>
                <w:sz w:val="20"/>
                <w:szCs w:val="20"/>
                <w:color w:val="auto"/>
              </w:rPr>
            </w:pPr>
            <w:r>
              <w:rPr>
                <w:rFonts w:ascii="Arial" w:cs="Arial" w:eastAsia="Arial" w:hAnsi="Arial"/>
                <w:sz w:val="15"/>
                <w:szCs w:val="15"/>
                <w:b w:val="1"/>
                <w:bCs w:val="1"/>
                <w:color w:val="auto"/>
              </w:rPr>
              <w:t>001-33660</w:t>
            </w:r>
          </w:p>
        </w:tc>
        <w:tc>
          <w:tcPr>
            <w:tcW w:w="340" w:type="dxa"/>
            <w:vAlign w:val="bottom"/>
          </w:tcPr>
          <w:p>
            <w:pPr>
              <w:spacing w:after="0"/>
              <w:rPr>
                <w:sz w:val="16"/>
                <w:szCs w:val="16"/>
                <w:color w:val="auto"/>
              </w:rPr>
            </w:pP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89"/>
              </w:rPr>
              <w:t>87-0398877</w:t>
            </w:r>
          </w:p>
        </w:tc>
      </w:tr>
      <w:tr>
        <w:trPr>
          <w:trHeight w:val="164"/>
        </w:trPr>
        <w:tc>
          <w:tcPr>
            <w:tcW w:w="3440" w:type="dxa"/>
            <w:vAlign w:val="bottom"/>
          </w:tcPr>
          <w:p>
            <w:pPr>
              <w:jc w:val="center"/>
              <w:spacing w:after="0" w:line="164" w:lineRule="exact"/>
              <w:rPr>
                <w:sz w:val="20"/>
                <w:szCs w:val="20"/>
                <w:color w:val="auto"/>
              </w:rPr>
            </w:pPr>
            <w:r>
              <w:rPr>
                <w:rFonts w:ascii="Arial" w:cs="Arial" w:eastAsia="Arial" w:hAnsi="Arial"/>
                <w:sz w:val="15"/>
                <w:szCs w:val="15"/>
                <w:color w:val="auto"/>
                <w:w w:val="89"/>
              </w:rPr>
              <w:t>(Commission File Number)</w:t>
            </w:r>
          </w:p>
        </w:tc>
        <w:tc>
          <w:tcPr>
            <w:tcW w:w="340" w:type="dxa"/>
            <w:vAlign w:val="bottom"/>
          </w:tcPr>
          <w:p>
            <w:pPr>
              <w:spacing w:after="0"/>
              <w:rPr>
                <w:sz w:val="14"/>
                <w:szCs w:val="14"/>
                <w:color w:val="auto"/>
              </w:rPr>
            </w:pPr>
          </w:p>
        </w:tc>
        <w:tc>
          <w:tcPr>
            <w:tcW w:w="3100" w:type="dxa"/>
            <w:vAlign w:val="bottom"/>
            <w:gridSpan w:val="3"/>
          </w:tcPr>
          <w:p>
            <w:pPr>
              <w:jc w:val="center"/>
              <w:spacing w:after="0" w:line="164" w:lineRule="exact"/>
              <w:rPr>
                <w:sz w:val="20"/>
                <w:szCs w:val="20"/>
                <w:color w:val="auto"/>
              </w:rPr>
            </w:pPr>
            <w:r>
              <w:rPr>
                <w:rFonts w:ascii="Arial" w:cs="Arial" w:eastAsia="Arial" w:hAnsi="Arial"/>
                <w:sz w:val="15"/>
                <w:szCs w:val="15"/>
                <w:color w:val="auto"/>
                <w:w w:val="88"/>
              </w:rPr>
              <w:t>(I.R.S. employer</w:t>
            </w:r>
          </w:p>
        </w:tc>
      </w:tr>
      <w:tr>
        <w:trPr>
          <w:trHeight w:val="183"/>
        </w:trPr>
        <w:tc>
          <w:tcPr>
            <w:tcW w:w="3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00" w:type="dxa"/>
            <w:vAlign w:val="bottom"/>
            <w:gridSpan w:val="3"/>
          </w:tcPr>
          <w:p>
            <w:pPr>
              <w:jc w:val="center"/>
              <w:spacing w:after="0"/>
              <w:rPr>
                <w:sz w:val="20"/>
                <w:szCs w:val="20"/>
                <w:color w:val="auto"/>
              </w:rPr>
            </w:pPr>
            <w:r>
              <w:rPr>
                <w:rFonts w:ascii="Arial" w:cs="Arial" w:eastAsia="Arial" w:hAnsi="Arial"/>
                <w:sz w:val="15"/>
                <w:szCs w:val="15"/>
                <w:color w:val="auto"/>
                <w:w w:val="92"/>
              </w:rPr>
              <w:t>identification number)</w:t>
            </w:r>
          </w:p>
        </w:tc>
      </w:tr>
      <w:tr>
        <w:trPr>
          <w:trHeight w:val="357"/>
        </w:trPr>
        <w:tc>
          <w:tcPr>
            <w:tcW w:w="3780" w:type="dxa"/>
            <w:vAlign w:val="bottom"/>
            <w:gridSpan w:val="2"/>
          </w:tcPr>
          <w:p>
            <w:pPr>
              <w:jc w:val="center"/>
              <w:ind w:left="1127"/>
              <w:spacing w:after="0"/>
              <w:rPr>
                <w:sz w:val="20"/>
                <w:szCs w:val="20"/>
                <w:color w:val="auto"/>
              </w:rPr>
            </w:pPr>
            <w:r>
              <w:rPr>
                <w:rFonts w:ascii="Arial" w:cs="Arial" w:eastAsia="Arial" w:hAnsi="Arial"/>
                <w:sz w:val="15"/>
                <w:szCs w:val="15"/>
                <w:b w:val="1"/>
                <w:bCs w:val="1"/>
                <w:color w:val="auto"/>
                <w:w w:val="87"/>
              </w:rPr>
              <w:t>5225 Wiley Post Way, Suite 500</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1"/>
        </w:trPr>
        <w:tc>
          <w:tcPr>
            <w:tcW w:w="3780" w:type="dxa"/>
            <w:vAlign w:val="bottom"/>
            <w:gridSpan w:val="2"/>
          </w:tcPr>
          <w:p>
            <w:pPr>
              <w:jc w:val="center"/>
              <w:ind w:left="1127"/>
              <w:spacing w:after="0"/>
              <w:rPr>
                <w:sz w:val="20"/>
                <w:szCs w:val="20"/>
                <w:color w:val="auto"/>
              </w:rPr>
            </w:pPr>
            <w:r>
              <w:rPr>
                <w:rFonts w:ascii="Arial" w:cs="Arial" w:eastAsia="Arial" w:hAnsi="Arial"/>
                <w:sz w:val="15"/>
                <w:szCs w:val="15"/>
                <w:b w:val="1"/>
                <w:bCs w:val="1"/>
                <w:color w:val="auto"/>
                <w:w w:val="89"/>
              </w:rPr>
              <w:t>Salt Lake City, Utah</w:t>
            </w:r>
          </w:p>
        </w:tc>
        <w:tc>
          <w:tcPr>
            <w:tcW w:w="3100" w:type="dxa"/>
            <w:vAlign w:val="bottom"/>
            <w:gridSpan w:val="3"/>
          </w:tcPr>
          <w:p>
            <w:pPr>
              <w:jc w:val="right"/>
              <w:ind w:right="567"/>
              <w:spacing w:after="0"/>
              <w:rPr>
                <w:sz w:val="20"/>
                <w:szCs w:val="20"/>
                <w:color w:val="auto"/>
              </w:rPr>
            </w:pPr>
            <w:r>
              <w:rPr>
                <w:rFonts w:ascii="Arial" w:cs="Arial" w:eastAsia="Arial" w:hAnsi="Arial"/>
                <w:sz w:val="15"/>
                <w:szCs w:val="15"/>
                <w:b w:val="1"/>
                <w:bCs w:val="1"/>
                <w:color w:val="auto"/>
              </w:rPr>
              <w:t>84116</w:t>
            </w:r>
          </w:p>
        </w:tc>
      </w:tr>
      <w:tr>
        <w:trPr>
          <w:trHeight w:val="183"/>
        </w:trPr>
        <w:tc>
          <w:tcPr>
            <w:tcW w:w="3780" w:type="dxa"/>
            <w:vAlign w:val="bottom"/>
            <w:tcBorders>
              <w:top w:val="single" w:sz="8" w:color="auto"/>
            </w:tcBorders>
            <w:gridSpan w:val="2"/>
          </w:tcPr>
          <w:p>
            <w:pPr>
              <w:jc w:val="center"/>
              <w:ind w:left="1127"/>
              <w:spacing w:after="0"/>
              <w:rPr>
                <w:sz w:val="20"/>
                <w:szCs w:val="20"/>
                <w:color w:val="auto"/>
              </w:rPr>
            </w:pPr>
            <w:r>
              <w:rPr>
                <w:rFonts w:ascii="Arial" w:cs="Arial" w:eastAsia="Arial" w:hAnsi="Arial"/>
                <w:sz w:val="15"/>
                <w:szCs w:val="15"/>
                <w:color w:val="auto"/>
                <w:w w:val="89"/>
              </w:rPr>
              <w:t>(Address of principal executive offices)</w:t>
            </w:r>
          </w:p>
        </w:tc>
        <w:tc>
          <w:tcPr>
            <w:tcW w:w="12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0"/>
              </w:rPr>
              <w:t>(Zip Code)</w:t>
            </w:r>
          </w:p>
        </w:tc>
      </w:tr>
    </w:tbl>
    <w:p>
      <w:pPr>
        <w:spacing w:after="0" w:line="172" w:lineRule="exact"/>
        <w:rPr>
          <w:sz w:val="24"/>
          <w:szCs w:val="24"/>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(801) 975-7200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 applicable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189"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20" w:type="dxa"/>
            <w:vAlign w:val="bottom"/>
          </w:tcPr>
          <w:p>
            <w:pPr>
              <w:jc w:val="right"/>
              <w:spacing w:after="0"/>
              <w:rPr>
                <w:sz w:val="20"/>
                <w:szCs w:val="20"/>
                <w:color w:val="auto"/>
              </w:rPr>
            </w:pPr>
            <w:r>
              <w:rPr>
                <w:rFonts w:ascii="Arial" w:cs="Arial" w:eastAsia="Arial" w:hAnsi="Arial"/>
                <w:sz w:val="15"/>
                <w:szCs w:val="15"/>
                <w:color w:val="auto"/>
                <w:w w:val="94"/>
              </w:rPr>
              <w:t>[</w:t>
            </w:r>
          </w:p>
        </w:tc>
        <w:tc>
          <w:tcPr>
            <w:tcW w:w="11340" w:type="dxa"/>
            <w:vAlign w:val="bottom"/>
            <w:gridSpan w:val="2"/>
          </w:tcPr>
          <w:p>
            <w:pPr>
              <w:ind w:left="40"/>
              <w:spacing w:after="0"/>
              <w:rPr>
                <w:sz w:val="20"/>
                <w:szCs w:val="20"/>
                <w:color w:val="auto"/>
              </w:rPr>
            </w:pPr>
            <w:r>
              <w:rPr>
                <w:rFonts w:ascii="Arial" w:cs="Arial" w:eastAsia="Arial" w:hAnsi="Arial"/>
                <w:sz w:val="15"/>
                <w:szCs w:val="15"/>
                <w:color w:val="auto"/>
              </w:rPr>
              <w:t>] Written communications pursuant to Rule 425 under the Securities Act (17 CFR 30.425)</w:t>
            </w:r>
          </w:p>
        </w:tc>
      </w:tr>
      <w:tr>
        <w:trPr>
          <w:trHeight w:val="174"/>
        </w:trPr>
        <w:tc>
          <w:tcPr>
            <w:tcW w:w="120" w:type="dxa"/>
            <w:vAlign w:val="bottom"/>
          </w:tcPr>
          <w:p>
            <w:pPr>
              <w:jc w:val="right"/>
              <w:spacing w:after="0"/>
              <w:rPr>
                <w:sz w:val="20"/>
                <w:szCs w:val="20"/>
                <w:color w:val="auto"/>
              </w:rPr>
            </w:pPr>
            <w:r>
              <w:rPr>
                <w:rFonts w:ascii="Arial" w:cs="Arial" w:eastAsia="Arial" w:hAnsi="Arial"/>
                <w:sz w:val="15"/>
                <w:szCs w:val="15"/>
                <w:color w:val="auto"/>
                <w:w w:val="94"/>
              </w:rPr>
              <w:t>[</w:t>
            </w:r>
          </w:p>
        </w:tc>
        <w:tc>
          <w:tcPr>
            <w:tcW w:w="120" w:type="dxa"/>
            <w:vAlign w:val="bottom"/>
          </w:tcPr>
          <w:p>
            <w:pPr>
              <w:ind w:left="40"/>
              <w:spacing w:after="0"/>
              <w:rPr>
                <w:sz w:val="20"/>
                <w:szCs w:val="20"/>
                <w:color w:val="auto"/>
              </w:rPr>
            </w:pPr>
            <w:r>
              <w:rPr>
                <w:rFonts w:ascii="Arial" w:cs="Arial" w:eastAsia="Arial" w:hAnsi="Arial"/>
                <w:sz w:val="15"/>
                <w:szCs w:val="15"/>
                <w:color w:val="auto"/>
              </w:rPr>
              <w:t>]</w:t>
            </w:r>
          </w:p>
        </w:tc>
        <w:tc>
          <w:tcPr>
            <w:tcW w:w="11220" w:type="dxa"/>
            <w:vAlign w:val="bottom"/>
          </w:tcPr>
          <w:p>
            <w:pPr>
              <w:ind w:left="40"/>
              <w:spacing w:after="0"/>
              <w:rPr>
                <w:sz w:val="20"/>
                <w:szCs w:val="20"/>
                <w:color w:val="auto"/>
              </w:rPr>
            </w:pPr>
            <w:r>
              <w:rPr>
                <w:rFonts w:ascii="Arial" w:cs="Arial" w:eastAsia="Arial" w:hAnsi="Arial"/>
                <w:sz w:val="15"/>
                <w:szCs w:val="15"/>
                <w:color w:val="auto"/>
              </w:rPr>
              <w:t>Soliciting material pursuant to Rule 14a-12 under the Exchange Act (17 CFR 40.14a-12)</w:t>
            </w:r>
          </w:p>
        </w:tc>
      </w:tr>
      <w:tr>
        <w:trPr>
          <w:trHeight w:val="174"/>
        </w:trPr>
        <w:tc>
          <w:tcPr>
            <w:tcW w:w="120" w:type="dxa"/>
            <w:vAlign w:val="bottom"/>
          </w:tcPr>
          <w:p>
            <w:pPr>
              <w:jc w:val="right"/>
              <w:spacing w:after="0"/>
              <w:rPr>
                <w:sz w:val="20"/>
                <w:szCs w:val="20"/>
                <w:color w:val="auto"/>
              </w:rPr>
            </w:pPr>
            <w:r>
              <w:rPr>
                <w:rFonts w:ascii="Arial" w:cs="Arial" w:eastAsia="Arial" w:hAnsi="Arial"/>
                <w:sz w:val="15"/>
                <w:szCs w:val="15"/>
                <w:color w:val="auto"/>
                <w:w w:val="94"/>
              </w:rPr>
              <w:t>[</w:t>
            </w:r>
          </w:p>
        </w:tc>
        <w:tc>
          <w:tcPr>
            <w:tcW w:w="11340" w:type="dxa"/>
            <w:vAlign w:val="bottom"/>
            <w:gridSpan w:val="2"/>
          </w:tcPr>
          <w:p>
            <w:pPr>
              <w:ind w:left="40"/>
              <w:spacing w:after="0"/>
              <w:rPr>
                <w:sz w:val="20"/>
                <w:szCs w:val="20"/>
                <w:color w:val="auto"/>
              </w:rPr>
            </w:pPr>
            <w:r>
              <w:rPr>
                <w:rFonts w:ascii="Arial" w:cs="Arial" w:eastAsia="Arial" w:hAnsi="Arial"/>
                <w:sz w:val="15"/>
                <w:szCs w:val="15"/>
                <w:color w:val="auto"/>
              </w:rPr>
              <w:t>] Pre-commencement communications pursuant to Rule 14d-2(b) under the Exchange Act (17 CFR 240.14d-2(b))</w:t>
            </w:r>
          </w:p>
        </w:tc>
      </w:tr>
      <w:tr>
        <w:trPr>
          <w:trHeight w:val="183"/>
        </w:trPr>
        <w:tc>
          <w:tcPr>
            <w:tcW w:w="120" w:type="dxa"/>
            <w:vAlign w:val="bottom"/>
          </w:tcPr>
          <w:p>
            <w:pPr>
              <w:jc w:val="right"/>
              <w:spacing w:after="0"/>
              <w:rPr>
                <w:sz w:val="20"/>
                <w:szCs w:val="20"/>
                <w:color w:val="auto"/>
              </w:rPr>
            </w:pPr>
            <w:r>
              <w:rPr>
                <w:rFonts w:ascii="Arial" w:cs="Arial" w:eastAsia="Arial" w:hAnsi="Arial"/>
                <w:sz w:val="15"/>
                <w:szCs w:val="15"/>
                <w:color w:val="auto"/>
                <w:w w:val="94"/>
              </w:rPr>
              <w:t>[</w:t>
            </w:r>
          </w:p>
        </w:tc>
        <w:tc>
          <w:tcPr>
            <w:tcW w:w="120" w:type="dxa"/>
            <w:vAlign w:val="bottom"/>
          </w:tcPr>
          <w:p>
            <w:pPr>
              <w:ind w:left="40"/>
              <w:spacing w:after="0"/>
              <w:rPr>
                <w:sz w:val="20"/>
                <w:szCs w:val="20"/>
                <w:color w:val="auto"/>
              </w:rPr>
            </w:pPr>
            <w:r>
              <w:rPr>
                <w:rFonts w:ascii="Arial" w:cs="Arial" w:eastAsia="Arial" w:hAnsi="Arial"/>
                <w:sz w:val="15"/>
                <w:szCs w:val="15"/>
                <w:color w:val="auto"/>
              </w:rPr>
              <w:t>]</w:t>
            </w:r>
          </w:p>
        </w:tc>
        <w:tc>
          <w:tcPr>
            <w:tcW w:w="11220" w:type="dxa"/>
            <w:vAlign w:val="bottom"/>
          </w:tcPr>
          <w:p>
            <w:pPr>
              <w:ind w:left="40"/>
              <w:spacing w:after="0"/>
              <w:rPr>
                <w:sz w:val="20"/>
                <w:szCs w:val="20"/>
                <w:color w:val="auto"/>
              </w:rPr>
            </w:pPr>
            <w:r>
              <w:rPr>
                <w:rFonts w:ascii="Arial" w:cs="Arial" w:eastAsia="Arial" w:hAnsi="Arial"/>
                <w:sz w:val="15"/>
                <w:szCs w:val="15"/>
                <w:color w:val="auto"/>
              </w:rPr>
              <w:t>Pre-commencement communication pursuant to Rule 13e-4(c) under the Exchange Act (17 CFR 240.13e-4(c))</w:t>
            </w:r>
          </w:p>
        </w:tc>
      </w:tr>
      <w:tr>
        <w:trPr>
          <w:trHeight w:val="330"/>
        </w:trPr>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1220" w:type="dxa"/>
            <w:vAlign w:val="bottom"/>
            <w:tcBorders>
              <w:bottom w:val="single" w:sz="8" w:color="808080"/>
            </w:tcBorders>
          </w:tcPr>
          <w:p>
            <w:pPr>
              <w:spacing w:after="0"/>
              <w:rPr>
                <w:sz w:val="24"/>
                <w:szCs w:val="24"/>
                <w:color w:val="auto"/>
              </w:rPr>
            </w:pPr>
          </w:p>
        </w:tc>
      </w:tr>
      <w:tr>
        <w:trPr>
          <w:trHeight w:val="606"/>
        </w:trPr>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12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7267575</wp:posOffset>
            </wp:positionH>
            <wp:positionV relativeFrom="paragraph">
              <wp:posOffset>-434340</wp:posOffset>
            </wp:positionV>
            <wp:extent cx="12700" cy="37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-434340</wp:posOffset>
            </wp:positionV>
            <wp:extent cx="12700" cy="37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7267575</wp:posOffset>
            </wp:positionH>
            <wp:positionV relativeFrom="paragraph">
              <wp:posOffset>-12700</wp:posOffset>
            </wp:positionV>
            <wp:extent cx="127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670" w:right="2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5"/>
          <w:szCs w:val="15"/>
          <w:b w:val="1"/>
          <w:bCs w:val="1"/>
          <w:color w:val="auto"/>
        </w:rPr>
        <w:t>EXPLANATORY NOTE</w:t>
      </w:r>
    </w:p>
    <w:p>
      <w:pPr>
        <w:spacing w:after="0" w:line="398" w:lineRule="exact"/>
        <w:rPr>
          <w:sz w:val="20"/>
          <w:szCs w:val="20"/>
          <w:color w:val="auto"/>
        </w:rPr>
      </w:pPr>
    </w:p>
    <w:p>
      <w:pPr>
        <w:ind w:right="380"/>
        <w:spacing w:after="0" w:line="257" w:lineRule="auto"/>
        <w:rPr>
          <w:sz w:val="20"/>
          <w:szCs w:val="20"/>
          <w:color w:val="auto"/>
        </w:rPr>
      </w:pPr>
      <w:r>
        <w:rPr>
          <w:rFonts w:ascii="Arial" w:cs="Arial" w:eastAsia="Arial" w:hAnsi="Arial"/>
          <w:sz w:val="15"/>
          <w:szCs w:val="15"/>
          <w:color w:val="auto"/>
        </w:rPr>
        <w:t>This Amendment No. 1 on Form 8-K/A (this “Amendment”) is filed to amend and replace our Current Report on Form 8-K dated August 21, 2009 (the “Original Filing”). The purpose of this Amendment is to correct the disclosure and the amounts reported under Item 4.02 of the Original Filing.</w:t>
      </w:r>
    </w:p>
    <w:p>
      <w:pPr>
        <w:spacing w:after="0" w:line="171" w:lineRule="exact"/>
        <w:rPr>
          <w:sz w:val="20"/>
          <w:szCs w:val="20"/>
          <w:color w:val="auto"/>
        </w:rPr>
      </w:pPr>
    </w:p>
    <w:p>
      <w:pPr>
        <w:spacing w:after="0"/>
        <w:tabs>
          <w:tab w:leader="none" w:pos="1040" w:val="left"/>
        </w:tabs>
        <w:rPr>
          <w:sz w:val="20"/>
          <w:szCs w:val="20"/>
          <w:color w:val="auto"/>
        </w:rPr>
      </w:pPr>
      <w:r>
        <w:rPr>
          <w:rFonts w:ascii="Arial" w:cs="Arial" w:eastAsia="Arial" w:hAnsi="Arial"/>
          <w:sz w:val="15"/>
          <w:szCs w:val="15"/>
          <w:b w:val="1"/>
          <w:bCs w:val="1"/>
          <w:color w:val="auto"/>
        </w:rPr>
        <w:t>Item 4.02</w:t>
      </w:r>
      <w:r>
        <w:rPr>
          <w:sz w:val="20"/>
          <w:szCs w:val="20"/>
          <w:color w:val="auto"/>
        </w:rPr>
        <w:tab/>
      </w:r>
      <w:r>
        <w:rPr>
          <w:rFonts w:ascii="Arial" w:cs="Arial" w:eastAsia="Arial" w:hAnsi="Arial"/>
          <w:sz w:val="13"/>
          <w:szCs w:val="13"/>
          <w:b w:val="1"/>
          <w:bCs w:val="1"/>
          <w:color w:val="auto"/>
        </w:rPr>
        <w:t>Non-Reliance on Previously Issued Financial Statements or a Related Audit Report or Completed Interim Review.</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On August 20, 2009, ClearOne Communications, Inc. (the “Company”) determined that the Company incorrectly deferred revenue and associated costs during the fiscal years beginning 2004.</w:t>
      </w:r>
    </w:p>
    <w:p>
      <w:pPr>
        <w:spacing w:after="0" w:line="199"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The Company provides a right of return on product sales to distributors. The revenue from product sales to distributors is not recognized until the return privilege has expired, which approximates when product is sold through to customers of the Company’s distributors, rather than when the product is initially shipped to a distributor. The Company estimated at each quarter-end the amount of revenue and costs to be deferred based on the channel inventory information provided by certain distributors. Although only certain distributors provided channel inventory amounts, the Company made estimates with regard to the amount of inventory in the entire channel for all distributors and for all channel inventory items based on information provided by certain distributors.</w:t>
      </w:r>
    </w:p>
    <w:p>
      <w:pPr>
        <w:spacing w:after="0" w:line="129" w:lineRule="exact"/>
        <w:rPr>
          <w:sz w:val="20"/>
          <w:szCs w:val="20"/>
          <w:color w:val="auto"/>
        </w:rPr>
      </w:pPr>
    </w:p>
    <w:p>
      <w:pPr>
        <w:jc w:val="both"/>
        <w:ind w:right="100"/>
        <w:spacing w:after="0" w:line="250" w:lineRule="auto"/>
        <w:rPr>
          <w:sz w:val="20"/>
          <w:szCs w:val="20"/>
          <w:color w:val="auto"/>
        </w:rPr>
      </w:pPr>
      <w:r>
        <w:rPr>
          <w:rFonts w:ascii="Arial" w:cs="Arial" w:eastAsia="Arial" w:hAnsi="Arial"/>
          <w:sz w:val="15"/>
          <w:szCs w:val="15"/>
          <w:color w:val="auto"/>
        </w:rPr>
        <w:t>The Company corrected the deferral method to defer revenue and associated costs based on the actual channel inventory items reported by the distributors and other channel partners. Further, with respect to distributors and other channel partners not reporting the channel inventory, the deferred revenue and associated costs were deferred until the Company received payment for the product sales made to such distributors or channel partners.</w:t>
      </w:r>
    </w:p>
    <w:p>
      <w:pPr>
        <w:spacing w:after="0" w:line="158" w:lineRule="exact"/>
        <w:rPr>
          <w:sz w:val="20"/>
          <w:szCs w:val="20"/>
          <w:color w:val="auto"/>
        </w:rPr>
      </w:pPr>
    </w:p>
    <w:p>
      <w:pPr>
        <w:ind w:right="80"/>
        <w:spacing w:after="0" w:line="298" w:lineRule="auto"/>
        <w:rPr>
          <w:sz w:val="20"/>
          <w:szCs w:val="20"/>
          <w:color w:val="auto"/>
        </w:rPr>
      </w:pPr>
      <w:r>
        <w:rPr>
          <w:rFonts w:ascii="Arial" w:cs="Arial" w:eastAsia="Arial" w:hAnsi="Arial"/>
          <w:sz w:val="13"/>
          <w:szCs w:val="13"/>
          <w:color w:val="auto"/>
        </w:rPr>
        <w:t>The Company plans to amend its Form 10-K in the near-term for the fiscal year ended June 30, 2008 (“Amended 10-K”) and restate the financial statements included in that filing. The financial statements for the fiscal years ended June 30, 2008 and 2006 included in the Amended 10-K will be restated for the adjustments to deferred revenue and associated costs. The adjustments to the deferred revenue and associated costs for the fiscal year ended June 30, 2007 were insignificant. Item 6 of the Amended 10-K will also disclose the changes to fiscal years ended 2004 and 2005 to reflect the changes in deferred revenue and associated costs. The effect of these changes is described in more detail in the following schedule.</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discussed the above matter with Jones Simkins, P.C., the Company’s independent registered accountants.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7279005"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11460"/>
          </w:cols>
          <w:pgMar w:left="220" w:top="637" w:right="219" w:bottom="1440" w:gutter="0" w:footer="0" w:header="0"/>
        </w:sectPr>
      </w:pPr>
    </w:p>
    <w:bookmarkStart w:id="2" w:name="page3"/>
    <w:bookmarkEnd w:id="2"/>
    <w:p>
      <w:pPr>
        <w:jc w:val="center"/>
        <w:ind w:left="400"/>
        <w:spacing w:after="0"/>
        <w:rPr>
          <w:sz w:val="20"/>
          <w:szCs w:val="20"/>
          <w:color w:val="auto"/>
        </w:rPr>
      </w:pPr>
      <w:r>
        <w:rPr>
          <w:rFonts w:ascii="Arial" w:cs="Arial" w:eastAsia="Arial" w:hAnsi="Arial"/>
          <w:sz w:val="15"/>
          <w:szCs w:val="15"/>
          <w:b w:val="1"/>
          <w:bCs w:val="1"/>
          <w:color w:val="auto"/>
        </w:rPr>
        <w:t>ClearOne Communications, Inc.</w:t>
      </w:r>
    </w:p>
    <w:p>
      <w:pPr>
        <w:spacing w:after="0" w:line="15" w:lineRule="exact"/>
        <w:rPr>
          <w:sz w:val="20"/>
          <w:szCs w:val="20"/>
          <w:color w:val="auto"/>
        </w:rPr>
      </w:pPr>
    </w:p>
    <w:p>
      <w:pPr>
        <w:jc w:val="center"/>
        <w:ind w:left="400"/>
        <w:spacing w:after="0"/>
        <w:rPr>
          <w:sz w:val="20"/>
          <w:szCs w:val="20"/>
          <w:color w:val="auto"/>
        </w:rPr>
      </w:pPr>
      <w:r>
        <w:rPr>
          <w:rFonts w:ascii="Arial" w:cs="Arial" w:eastAsia="Arial" w:hAnsi="Arial"/>
          <w:sz w:val="15"/>
          <w:szCs w:val="15"/>
          <w:b w:val="1"/>
          <w:bCs w:val="1"/>
          <w:color w:val="auto"/>
        </w:rPr>
        <w:t>Statement of correction of error in computing the deferred revenue and costs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100" w:type="dxa"/>
            <w:vAlign w:val="bottom"/>
            <w:gridSpan w:val="5"/>
          </w:tcPr>
          <w:p>
            <w:pPr>
              <w:jc w:val="right"/>
              <w:spacing w:after="0"/>
              <w:rPr>
                <w:sz w:val="20"/>
                <w:szCs w:val="20"/>
                <w:color w:val="auto"/>
              </w:rPr>
            </w:pPr>
            <w:r>
              <w:rPr>
                <w:rFonts w:ascii="Arial" w:cs="Arial" w:eastAsia="Arial" w:hAnsi="Arial"/>
                <w:sz w:val="15"/>
                <w:szCs w:val="15"/>
                <w:color w:val="auto"/>
                <w:w w:val="89"/>
              </w:rPr>
              <w:t>All amounts are in thousands of dollars, except for per share details</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gridSpan w:val="2"/>
          </w:tcPr>
          <w:p>
            <w:pPr>
              <w:jc w:val="right"/>
              <w:ind w:right="7"/>
              <w:spacing w:after="0"/>
              <w:rPr>
                <w:sz w:val="20"/>
                <w:szCs w:val="20"/>
                <w:color w:val="auto"/>
              </w:rPr>
            </w:pPr>
            <w:r>
              <w:rPr>
                <w:rFonts w:ascii="Arial" w:cs="Arial" w:eastAsia="Arial" w:hAnsi="Arial"/>
                <w:sz w:val="15"/>
                <w:szCs w:val="15"/>
                <w:b w:val="1"/>
                <w:bCs w:val="1"/>
                <w:color w:val="auto"/>
                <w:w w:val="91"/>
              </w:rPr>
              <w:t>Fiscal years ended June 30,</w:t>
            </w: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20" w:type="dxa"/>
            <w:vAlign w:val="bottom"/>
            <w:vMerge w:val="restart"/>
          </w:tcPr>
          <w:p>
            <w:pPr>
              <w:spacing w:after="0"/>
              <w:rPr>
                <w:sz w:val="20"/>
                <w:szCs w:val="20"/>
                <w:color w:val="auto"/>
              </w:rPr>
            </w:pPr>
            <w:r>
              <w:rPr>
                <w:rFonts w:ascii="Arial" w:cs="Arial" w:eastAsia="Arial" w:hAnsi="Arial"/>
                <w:sz w:val="15"/>
                <w:szCs w:val="15"/>
                <w:b w:val="1"/>
                <w:bCs w:val="1"/>
                <w:color w:val="auto"/>
              </w:rPr>
              <w:t>Revenue</w:t>
            </w:r>
          </w:p>
        </w:tc>
        <w:tc>
          <w:tcPr>
            <w:tcW w:w="900" w:type="dxa"/>
            <w:vAlign w:val="bottom"/>
          </w:tcPr>
          <w:p>
            <w:pPr>
              <w:spacing w:after="0"/>
              <w:rPr>
                <w:sz w:val="16"/>
                <w:szCs w:val="16"/>
                <w:color w:val="auto"/>
              </w:rPr>
            </w:pPr>
          </w:p>
        </w:tc>
        <w:tc>
          <w:tcPr>
            <w:tcW w:w="1000" w:type="dxa"/>
            <w:vAlign w:val="bottom"/>
          </w:tcPr>
          <w:p>
            <w:pPr>
              <w:jc w:val="right"/>
              <w:ind w:right="627"/>
              <w:spacing w:after="0"/>
              <w:rPr>
                <w:sz w:val="20"/>
                <w:szCs w:val="20"/>
                <w:color w:val="auto"/>
              </w:rPr>
            </w:pPr>
            <w:r>
              <w:rPr>
                <w:rFonts w:ascii="Arial" w:cs="Arial" w:eastAsia="Arial" w:hAnsi="Arial"/>
                <w:sz w:val="15"/>
                <w:szCs w:val="15"/>
                <w:b w:val="1"/>
                <w:bCs w:val="1"/>
                <w:color w:val="auto"/>
                <w:w w:val="83"/>
              </w:rPr>
              <w:t>2008</w:t>
            </w:r>
          </w:p>
        </w:tc>
        <w:tc>
          <w:tcPr>
            <w:tcW w:w="660" w:type="dxa"/>
            <w:vAlign w:val="bottom"/>
          </w:tcPr>
          <w:p>
            <w:pPr>
              <w:spacing w:after="0"/>
              <w:rPr>
                <w:sz w:val="16"/>
                <w:szCs w:val="16"/>
                <w:color w:val="auto"/>
              </w:rPr>
            </w:pPr>
          </w:p>
        </w:tc>
        <w:tc>
          <w:tcPr>
            <w:tcW w:w="1480" w:type="dxa"/>
            <w:vAlign w:val="bottom"/>
            <w:gridSpan w:val="2"/>
          </w:tcPr>
          <w:p>
            <w:pPr>
              <w:jc w:val="right"/>
              <w:ind w:right="647"/>
              <w:spacing w:after="0"/>
              <w:rPr>
                <w:sz w:val="20"/>
                <w:szCs w:val="20"/>
                <w:color w:val="auto"/>
              </w:rPr>
            </w:pPr>
            <w:r>
              <w:rPr>
                <w:rFonts w:ascii="Arial" w:cs="Arial" w:eastAsia="Arial" w:hAnsi="Arial"/>
                <w:sz w:val="15"/>
                <w:szCs w:val="15"/>
                <w:b w:val="1"/>
                <w:bCs w:val="1"/>
                <w:color w:val="auto"/>
              </w:rPr>
              <w:t>2007</w:t>
            </w: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jc w:val="right"/>
              <w:ind w:right="767"/>
              <w:spacing w:after="0"/>
              <w:rPr>
                <w:sz w:val="20"/>
                <w:szCs w:val="20"/>
                <w:color w:val="auto"/>
              </w:rPr>
            </w:pPr>
            <w:r>
              <w:rPr>
                <w:rFonts w:ascii="Arial" w:cs="Arial" w:eastAsia="Arial" w:hAnsi="Arial"/>
                <w:sz w:val="15"/>
                <w:szCs w:val="15"/>
                <w:b w:val="1"/>
                <w:bCs w:val="1"/>
                <w:color w:val="auto"/>
                <w:w w:val="83"/>
              </w:rPr>
              <w:t>2006</w:t>
            </w:r>
          </w:p>
        </w:tc>
        <w:tc>
          <w:tcPr>
            <w:tcW w:w="9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2005</w:t>
            </w: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jc w:val="right"/>
              <w:ind w:right="827"/>
              <w:spacing w:after="0"/>
              <w:rPr>
                <w:sz w:val="20"/>
                <w:szCs w:val="20"/>
                <w:color w:val="auto"/>
              </w:rPr>
            </w:pPr>
            <w:r>
              <w:rPr>
                <w:rFonts w:ascii="Arial" w:cs="Arial" w:eastAsia="Arial" w:hAnsi="Arial"/>
                <w:sz w:val="15"/>
                <w:szCs w:val="15"/>
                <w:b w:val="1"/>
                <w:bCs w:val="1"/>
                <w:color w:val="auto"/>
                <w:w w:val="83"/>
              </w:rPr>
              <w:t>2004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0" w:type="dxa"/>
            <w:vAlign w:val="bottom"/>
            <w:tcBorders>
              <w:bottom w:val="single" w:sz="8" w:color="auto"/>
            </w:tcBorders>
            <w:vMerge w:val="continue"/>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20" w:type="dxa"/>
            <w:vAlign w:val="bottom"/>
            <w:shd w:val="clear" w:color="auto" w:fill="CCEEFF"/>
          </w:tcPr>
          <w:p>
            <w:pPr>
              <w:spacing w:after="0" w:line="164" w:lineRule="exact"/>
              <w:rPr>
                <w:sz w:val="20"/>
                <w:szCs w:val="20"/>
                <w:color w:val="auto"/>
              </w:rPr>
            </w:pPr>
            <w:r>
              <w:rPr>
                <w:rFonts w:ascii="Arial" w:cs="Arial" w:eastAsia="Arial" w:hAnsi="Arial"/>
                <w:sz w:val="15"/>
                <w:szCs w:val="15"/>
                <w:color w:val="auto"/>
              </w:rPr>
              <w:t>Previously</w:t>
            </w:r>
          </w:p>
        </w:tc>
        <w:tc>
          <w:tcPr>
            <w:tcW w:w="9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20" w:type="dxa"/>
            <w:vAlign w:val="bottom"/>
            <w:shd w:val="clear" w:color="auto" w:fill="CCEEFF"/>
          </w:tcPr>
          <w:p>
            <w:pPr>
              <w:spacing w:after="0"/>
              <w:rPr>
                <w:sz w:val="20"/>
                <w:szCs w:val="20"/>
                <w:color w:val="auto"/>
              </w:rPr>
            </w:pPr>
            <w:r>
              <w:rPr>
                <w:rFonts w:ascii="Arial" w:cs="Arial" w:eastAsia="Arial" w:hAnsi="Arial"/>
                <w:sz w:val="15"/>
                <w:szCs w:val="15"/>
                <w:color w:val="auto"/>
              </w:rPr>
              <w:t>reported</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39,752</w:t>
            </w:r>
          </w:p>
        </w:tc>
        <w:tc>
          <w:tcPr>
            <w:tcW w:w="6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39,861</w:t>
            </w: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rPr>
              <w:t>35,362</w:t>
            </w: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29,087</w:t>
            </w: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rPr>
              <w:t>25,736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720" w:type="dxa"/>
            <w:vAlign w:val="bottom"/>
          </w:tcPr>
          <w:p>
            <w:pPr>
              <w:spacing w:after="0" w:line="164" w:lineRule="exact"/>
              <w:rPr>
                <w:sz w:val="20"/>
                <w:szCs w:val="20"/>
                <w:color w:val="auto"/>
              </w:rPr>
            </w:pPr>
            <w:r>
              <w:rPr>
                <w:rFonts w:ascii="Arial" w:cs="Arial" w:eastAsia="Arial" w:hAnsi="Arial"/>
                <w:sz w:val="15"/>
                <w:szCs w:val="15"/>
                <w:color w:val="auto"/>
              </w:rPr>
              <w:t>After</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20"/>
                <w:szCs w:val="20"/>
                <w:color w:val="auto"/>
              </w:rPr>
            </w:pPr>
            <w:r>
              <w:rPr>
                <w:rFonts w:ascii="Arial" w:cs="Arial" w:eastAsia="Arial" w:hAnsi="Arial"/>
                <w:sz w:val="15"/>
                <w:szCs w:val="15"/>
                <w:color w:val="auto"/>
              </w:rPr>
              <w:t>correction</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20"/>
                <w:szCs w:val="20"/>
                <w:color w:val="auto"/>
              </w:rPr>
            </w:pPr>
            <w:r>
              <w:rPr>
                <w:rFonts w:ascii="Arial" w:cs="Arial" w:eastAsia="Arial" w:hAnsi="Arial"/>
                <w:sz w:val="15"/>
                <w:szCs w:val="15"/>
                <w:color w:val="auto"/>
              </w:rPr>
              <w:t>of error</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27"/>
              <w:spacing w:after="0"/>
              <w:rPr>
                <w:sz w:val="20"/>
                <w:szCs w:val="20"/>
                <w:color w:val="auto"/>
              </w:rPr>
            </w:pPr>
            <w:r>
              <w:rPr>
                <w:rFonts w:ascii="Arial" w:cs="Arial" w:eastAsia="Arial" w:hAnsi="Arial"/>
                <w:sz w:val="15"/>
                <w:szCs w:val="15"/>
                <w:color w:val="auto"/>
              </w:rPr>
              <w:t>38,758</w:t>
            </w:r>
          </w:p>
        </w:tc>
        <w:tc>
          <w:tcPr>
            <w:tcW w:w="660" w:type="dxa"/>
            <w:vAlign w:val="bottom"/>
          </w:tcPr>
          <w:p>
            <w:pPr>
              <w:spacing w:after="0"/>
              <w:rPr>
                <w:sz w:val="16"/>
                <w:szCs w:val="16"/>
                <w:color w:val="auto"/>
              </w:rPr>
            </w:pPr>
          </w:p>
        </w:tc>
        <w:tc>
          <w:tcPr>
            <w:tcW w:w="5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27"/>
              <w:spacing w:after="0"/>
              <w:rPr>
                <w:sz w:val="20"/>
                <w:szCs w:val="20"/>
                <w:color w:val="auto"/>
              </w:rPr>
            </w:pPr>
            <w:r>
              <w:rPr>
                <w:rFonts w:ascii="Arial" w:cs="Arial" w:eastAsia="Arial" w:hAnsi="Arial"/>
                <w:sz w:val="15"/>
                <w:szCs w:val="15"/>
                <w:color w:val="auto"/>
              </w:rPr>
              <w:t>39,783</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27"/>
              <w:spacing w:after="0"/>
              <w:rPr>
                <w:sz w:val="20"/>
                <w:szCs w:val="20"/>
                <w:color w:val="auto"/>
              </w:rPr>
            </w:pPr>
            <w:r>
              <w:rPr>
                <w:rFonts w:ascii="Arial" w:cs="Arial" w:eastAsia="Arial" w:hAnsi="Arial"/>
                <w:sz w:val="15"/>
                <w:szCs w:val="15"/>
                <w:color w:val="auto"/>
              </w:rPr>
              <w:t>34,528</w:t>
            </w:r>
          </w:p>
        </w:tc>
        <w:tc>
          <w:tcPr>
            <w:tcW w:w="900" w:type="dxa"/>
            <w:vAlign w:val="bottom"/>
          </w:tcPr>
          <w:p>
            <w:pPr>
              <w:spacing w:after="0"/>
              <w:rPr>
                <w:sz w:val="16"/>
                <w:szCs w:val="16"/>
                <w:color w:val="auto"/>
              </w:rPr>
            </w:pPr>
          </w:p>
        </w:tc>
        <w:tc>
          <w:tcPr>
            <w:tcW w:w="480" w:type="dxa"/>
            <w:vAlign w:val="bottom"/>
          </w:tcPr>
          <w:p>
            <w:pPr>
              <w:jc w:val="right"/>
              <w:ind w:right="247"/>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107"/>
              <w:spacing w:after="0"/>
              <w:rPr>
                <w:sz w:val="20"/>
                <w:szCs w:val="20"/>
                <w:color w:val="auto"/>
              </w:rPr>
            </w:pPr>
            <w:r>
              <w:rPr>
                <w:rFonts w:ascii="Arial" w:cs="Arial" w:eastAsia="Arial" w:hAnsi="Arial"/>
                <w:sz w:val="15"/>
                <w:szCs w:val="15"/>
                <w:color w:val="auto"/>
              </w:rPr>
              <w:t>28,754</w:t>
            </w:r>
          </w:p>
        </w:tc>
        <w:tc>
          <w:tcPr>
            <w:tcW w:w="6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87"/>
              <w:spacing w:after="0"/>
              <w:rPr>
                <w:sz w:val="20"/>
                <w:szCs w:val="20"/>
                <w:color w:val="auto"/>
              </w:rPr>
            </w:pPr>
            <w:r>
              <w:rPr>
                <w:rFonts w:ascii="Arial" w:cs="Arial" w:eastAsia="Arial" w:hAnsi="Arial"/>
                <w:sz w:val="15"/>
                <w:szCs w:val="15"/>
                <w:color w:val="auto"/>
              </w:rPr>
              <w:t>26,727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20" w:type="dxa"/>
            <w:vAlign w:val="bottom"/>
            <w:shd w:val="clear" w:color="auto" w:fill="CCEEFF"/>
          </w:tcPr>
          <w:p>
            <w:pPr>
              <w:spacing w:after="0" w:line="164" w:lineRule="exact"/>
              <w:rPr>
                <w:sz w:val="20"/>
                <w:szCs w:val="20"/>
                <w:color w:val="auto"/>
              </w:rPr>
            </w:pPr>
            <w:r>
              <w:rPr>
                <w:rFonts w:ascii="Arial" w:cs="Arial" w:eastAsia="Arial" w:hAnsi="Arial"/>
                <w:sz w:val="15"/>
                <w:szCs w:val="15"/>
                <w:color w:val="auto"/>
                <w:w w:val="90"/>
              </w:rPr>
              <w:t>Difference -</w:t>
            </w:r>
          </w:p>
        </w:tc>
        <w:tc>
          <w:tcPr>
            <w:tcW w:w="9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20" w:type="dxa"/>
            <w:vAlign w:val="bottom"/>
            <w:shd w:val="clear" w:color="auto" w:fill="CCEEFF"/>
          </w:tcPr>
          <w:p>
            <w:pPr>
              <w:spacing w:after="0"/>
              <w:rPr>
                <w:sz w:val="20"/>
                <w:szCs w:val="20"/>
                <w:color w:val="auto"/>
              </w:rPr>
            </w:pPr>
            <w:r>
              <w:rPr>
                <w:rFonts w:ascii="Arial" w:cs="Arial" w:eastAsia="Arial" w:hAnsi="Arial"/>
                <w:sz w:val="15"/>
                <w:szCs w:val="15"/>
                <w:color w:val="auto"/>
              </w:rPr>
              <w:t>Increase</w:t>
            </w:r>
          </w:p>
        </w:tc>
        <w:tc>
          <w:tcPr>
            <w:tcW w:w="9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20" w:type="dxa"/>
            <w:vAlign w:val="bottom"/>
            <w:shd w:val="clear" w:color="auto" w:fill="CCEEFF"/>
          </w:tcPr>
          <w:p>
            <w:pPr>
              <w:spacing w:after="0"/>
              <w:rPr>
                <w:sz w:val="20"/>
                <w:szCs w:val="20"/>
                <w:color w:val="auto"/>
              </w:rPr>
            </w:pPr>
            <w:r>
              <w:rPr>
                <w:rFonts w:ascii="Arial" w:cs="Arial" w:eastAsia="Arial" w:hAnsi="Arial"/>
                <w:sz w:val="15"/>
                <w:szCs w:val="15"/>
                <w:color w:val="auto"/>
                <w:w w:val="94"/>
              </w:rPr>
              <w:t>(Decrease)</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(994</w:t>
            </w:r>
          </w:p>
        </w:tc>
        <w:tc>
          <w:tcPr>
            <w:tcW w:w="66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(78</w:t>
            </w:r>
          </w:p>
        </w:tc>
        <w:tc>
          <w:tcPr>
            <w:tcW w:w="38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rPr>
              <w:t>(834</w:t>
            </w:r>
          </w:p>
        </w:tc>
        <w:tc>
          <w:tcPr>
            <w:tcW w:w="90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(333</w:t>
            </w:r>
          </w:p>
        </w:tc>
        <w:tc>
          <w:tcPr>
            <w:tcW w:w="66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rPr>
              <w:t>991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720" w:type="dxa"/>
            <w:vAlign w:val="bottom"/>
          </w:tcPr>
          <w:p>
            <w:pPr>
              <w:spacing w:after="0" w:line="164" w:lineRule="exact"/>
              <w:rPr>
                <w:sz w:val="20"/>
                <w:szCs w:val="20"/>
                <w:color w:val="auto"/>
              </w:rPr>
            </w:pPr>
            <w:r>
              <w:rPr>
                <w:rFonts w:ascii="Arial" w:cs="Arial" w:eastAsia="Arial" w:hAnsi="Arial"/>
                <w:sz w:val="15"/>
                <w:szCs w:val="15"/>
                <w:color w:val="auto"/>
              </w:rPr>
              <w:t>Difference</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20"/>
                <w:szCs w:val="20"/>
                <w:color w:val="auto"/>
              </w:rPr>
            </w:pPr>
            <w:r>
              <w:rPr>
                <w:rFonts w:ascii="Arial" w:cs="Arial" w:eastAsia="Arial" w:hAnsi="Arial"/>
                <w:sz w:val="15"/>
                <w:szCs w:val="15"/>
                <w:color w:val="auto"/>
              </w:rPr>
              <w:t>as % of</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20"/>
                <w:szCs w:val="20"/>
                <w:color w:val="auto"/>
              </w:rPr>
            </w:pPr>
            <w:r>
              <w:rPr>
                <w:rFonts w:ascii="Arial" w:cs="Arial" w:eastAsia="Arial" w:hAnsi="Arial"/>
                <w:sz w:val="15"/>
                <w:szCs w:val="15"/>
                <w:color w:val="auto"/>
              </w:rPr>
              <w:t>previously</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20"/>
                <w:szCs w:val="20"/>
                <w:color w:val="auto"/>
              </w:rPr>
            </w:pPr>
            <w:r>
              <w:rPr>
                <w:rFonts w:ascii="Arial" w:cs="Arial" w:eastAsia="Arial" w:hAnsi="Arial"/>
                <w:sz w:val="15"/>
                <w:szCs w:val="15"/>
                <w:color w:val="auto"/>
              </w:rPr>
              <w:t>reported</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20"/>
                <w:szCs w:val="20"/>
                <w:color w:val="auto"/>
              </w:rPr>
            </w:pPr>
            <w:r>
              <w:rPr>
                <w:rFonts w:ascii="Arial" w:cs="Arial" w:eastAsia="Arial" w:hAnsi="Arial"/>
                <w:sz w:val="15"/>
                <w:szCs w:val="15"/>
                <w:color w:val="auto"/>
              </w:rPr>
              <w:t>Revenue</w:t>
            </w:r>
          </w:p>
        </w:tc>
        <w:tc>
          <w:tcPr>
            <w:tcW w:w="900" w:type="dxa"/>
            <w:vAlign w:val="bottom"/>
          </w:tcPr>
          <w:p>
            <w:pPr>
              <w:spacing w:after="0"/>
              <w:rPr>
                <w:sz w:val="16"/>
                <w:szCs w:val="16"/>
                <w:color w:val="auto"/>
              </w:rPr>
            </w:pPr>
          </w:p>
        </w:tc>
        <w:tc>
          <w:tcPr>
            <w:tcW w:w="1000" w:type="dxa"/>
            <w:vAlign w:val="bottom"/>
          </w:tcPr>
          <w:p>
            <w:pPr>
              <w:jc w:val="right"/>
              <w:ind w:right="127"/>
              <w:spacing w:after="0"/>
              <w:rPr>
                <w:sz w:val="20"/>
                <w:szCs w:val="20"/>
                <w:color w:val="auto"/>
              </w:rPr>
            </w:pPr>
            <w:r>
              <w:rPr>
                <w:rFonts w:ascii="Arial" w:cs="Arial" w:eastAsia="Arial" w:hAnsi="Arial"/>
                <w:sz w:val="15"/>
                <w:szCs w:val="15"/>
                <w:color w:val="auto"/>
              </w:rPr>
              <w:t>2.5%</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127"/>
              <w:spacing w:after="0"/>
              <w:rPr>
                <w:sz w:val="20"/>
                <w:szCs w:val="20"/>
                <w:color w:val="auto"/>
              </w:rPr>
            </w:pPr>
            <w:r>
              <w:rPr>
                <w:rFonts w:ascii="Arial" w:cs="Arial" w:eastAsia="Arial" w:hAnsi="Arial"/>
                <w:sz w:val="15"/>
                <w:szCs w:val="15"/>
                <w:color w:val="auto"/>
              </w:rPr>
              <w:t>0.2%</w:t>
            </w: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jc w:val="right"/>
              <w:ind w:right="227"/>
              <w:spacing w:after="0"/>
              <w:rPr>
                <w:sz w:val="20"/>
                <w:szCs w:val="20"/>
                <w:color w:val="auto"/>
              </w:rPr>
            </w:pPr>
            <w:r>
              <w:rPr>
                <w:rFonts w:ascii="Arial" w:cs="Arial" w:eastAsia="Arial" w:hAnsi="Arial"/>
                <w:sz w:val="15"/>
                <w:szCs w:val="15"/>
                <w:color w:val="auto"/>
              </w:rPr>
              <w:t>2.4%</w:t>
            </w: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jc w:val="right"/>
              <w:ind w:right="107"/>
              <w:spacing w:after="0"/>
              <w:rPr>
                <w:sz w:val="20"/>
                <w:szCs w:val="20"/>
                <w:color w:val="auto"/>
              </w:rPr>
            </w:pPr>
            <w:r>
              <w:rPr>
                <w:rFonts w:ascii="Arial" w:cs="Arial" w:eastAsia="Arial" w:hAnsi="Arial"/>
                <w:sz w:val="15"/>
                <w:szCs w:val="15"/>
                <w:color w:val="auto"/>
              </w:rPr>
              <w:t>1.1%</w:t>
            </w: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jc w:val="right"/>
              <w:ind w:right="287"/>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72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Gross</w:t>
            </w:r>
          </w:p>
        </w:tc>
        <w:tc>
          <w:tcPr>
            <w:tcW w:w="9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Profit</w:t>
            </w:r>
          </w:p>
        </w:tc>
        <w:tc>
          <w:tcPr>
            <w:tcW w:w="9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720" w:type="dxa"/>
            <w:vAlign w:val="bottom"/>
          </w:tcPr>
          <w:p>
            <w:pPr>
              <w:spacing w:after="0" w:line="164" w:lineRule="exact"/>
              <w:rPr>
                <w:sz w:val="20"/>
                <w:szCs w:val="20"/>
                <w:color w:val="auto"/>
              </w:rPr>
            </w:pPr>
            <w:r>
              <w:rPr>
                <w:rFonts w:ascii="Arial" w:cs="Arial" w:eastAsia="Arial" w:hAnsi="Arial"/>
                <w:sz w:val="15"/>
                <w:szCs w:val="15"/>
                <w:color w:val="auto"/>
              </w:rPr>
              <w:t>Previously</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20"/>
                <w:szCs w:val="20"/>
                <w:color w:val="auto"/>
              </w:rPr>
            </w:pPr>
            <w:r>
              <w:rPr>
                <w:rFonts w:ascii="Arial" w:cs="Arial" w:eastAsia="Arial" w:hAnsi="Arial"/>
                <w:sz w:val="15"/>
                <w:szCs w:val="15"/>
                <w:color w:val="auto"/>
              </w:rPr>
              <w:t>reported</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27"/>
              <w:spacing w:after="0"/>
              <w:rPr>
                <w:sz w:val="20"/>
                <w:szCs w:val="20"/>
                <w:color w:val="auto"/>
              </w:rPr>
            </w:pPr>
            <w:r>
              <w:rPr>
                <w:rFonts w:ascii="Arial" w:cs="Arial" w:eastAsia="Arial" w:hAnsi="Arial"/>
                <w:sz w:val="15"/>
                <w:szCs w:val="15"/>
                <w:color w:val="auto"/>
              </w:rPr>
              <w:t>23,291</w:t>
            </w:r>
          </w:p>
        </w:tc>
        <w:tc>
          <w:tcPr>
            <w:tcW w:w="660" w:type="dxa"/>
            <w:vAlign w:val="bottom"/>
          </w:tcPr>
          <w:p>
            <w:pPr>
              <w:spacing w:after="0"/>
              <w:rPr>
                <w:sz w:val="16"/>
                <w:szCs w:val="16"/>
                <w:color w:val="auto"/>
              </w:rPr>
            </w:pPr>
          </w:p>
        </w:tc>
        <w:tc>
          <w:tcPr>
            <w:tcW w:w="5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27"/>
              <w:spacing w:after="0"/>
              <w:rPr>
                <w:sz w:val="20"/>
                <w:szCs w:val="20"/>
                <w:color w:val="auto"/>
              </w:rPr>
            </w:pPr>
            <w:r>
              <w:rPr>
                <w:rFonts w:ascii="Arial" w:cs="Arial" w:eastAsia="Arial" w:hAnsi="Arial"/>
                <w:sz w:val="15"/>
                <w:szCs w:val="15"/>
                <w:color w:val="auto"/>
              </w:rPr>
              <w:t>22,138</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27"/>
              <w:spacing w:after="0"/>
              <w:rPr>
                <w:sz w:val="20"/>
                <w:szCs w:val="20"/>
                <w:color w:val="auto"/>
              </w:rPr>
            </w:pPr>
            <w:r>
              <w:rPr>
                <w:rFonts w:ascii="Arial" w:cs="Arial" w:eastAsia="Arial" w:hAnsi="Arial"/>
                <w:sz w:val="15"/>
                <w:szCs w:val="15"/>
                <w:color w:val="auto"/>
              </w:rPr>
              <w:t>17,987</w:t>
            </w:r>
          </w:p>
        </w:tc>
        <w:tc>
          <w:tcPr>
            <w:tcW w:w="900" w:type="dxa"/>
            <w:vAlign w:val="bottom"/>
          </w:tcPr>
          <w:p>
            <w:pPr>
              <w:spacing w:after="0"/>
              <w:rPr>
                <w:sz w:val="16"/>
                <w:szCs w:val="16"/>
                <w:color w:val="auto"/>
              </w:rPr>
            </w:pPr>
          </w:p>
        </w:tc>
        <w:tc>
          <w:tcPr>
            <w:tcW w:w="480" w:type="dxa"/>
            <w:vAlign w:val="bottom"/>
          </w:tcPr>
          <w:p>
            <w:pPr>
              <w:jc w:val="right"/>
              <w:ind w:right="247"/>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107"/>
              <w:spacing w:after="0"/>
              <w:rPr>
                <w:sz w:val="20"/>
                <w:szCs w:val="20"/>
                <w:color w:val="auto"/>
              </w:rPr>
            </w:pPr>
            <w:r>
              <w:rPr>
                <w:rFonts w:ascii="Arial" w:cs="Arial" w:eastAsia="Arial" w:hAnsi="Arial"/>
                <w:sz w:val="15"/>
                <w:szCs w:val="15"/>
                <w:color w:val="auto"/>
              </w:rPr>
              <w:t>16,367</w:t>
            </w:r>
          </w:p>
        </w:tc>
        <w:tc>
          <w:tcPr>
            <w:tcW w:w="6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87"/>
              <w:spacing w:after="0"/>
              <w:rPr>
                <w:sz w:val="20"/>
                <w:szCs w:val="20"/>
                <w:color w:val="auto"/>
              </w:rPr>
            </w:pPr>
            <w:r>
              <w:rPr>
                <w:rFonts w:ascii="Arial" w:cs="Arial" w:eastAsia="Arial" w:hAnsi="Arial"/>
                <w:sz w:val="15"/>
                <w:szCs w:val="15"/>
                <w:color w:val="auto"/>
              </w:rPr>
              <w:t>10,976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20" w:type="dxa"/>
            <w:vAlign w:val="bottom"/>
            <w:shd w:val="clear" w:color="auto" w:fill="CCEEFF"/>
          </w:tcPr>
          <w:p>
            <w:pPr>
              <w:spacing w:after="0" w:line="164" w:lineRule="exact"/>
              <w:rPr>
                <w:sz w:val="20"/>
                <w:szCs w:val="20"/>
                <w:color w:val="auto"/>
              </w:rPr>
            </w:pPr>
            <w:r>
              <w:rPr>
                <w:rFonts w:ascii="Arial" w:cs="Arial" w:eastAsia="Arial" w:hAnsi="Arial"/>
                <w:sz w:val="15"/>
                <w:szCs w:val="15"/>
                <w:color w:val="auto"/>
              </w:rPr>
              <w:t>After</w:t>
            </w:r>
          </w:p>
        </w:tc>
        <w:tc>
          <w:tcPr>
            <w:tcW w:w="9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20" w:type="dxa"/>
            <w:vAlign w:val="bottom"/>
            <w:shd w:val="clear" w:color="auto" w:fill="CCEEFF"/>
          </w:tcPr>
          <w:p>
            <w:pPr>
              <w:spacing w:after="0"/>
              <w:rPr>
                <w:sz w:val="20"/>
                <w:szCs w:val="20"/>
                <w:color w:val="auto"/>
              </w:rPr>
            </w:pPr>
            <w:r>
              <w:rPr>
                <w:rFonts w:ascii="Arial" w:cs="Arial" w:eastAsia="Arial" w:hAnsi="Arial"/>
                <w:sz w:val="15"/>
                <w:szCs w:val="15"/>
                <w:color w:val="auto"/>
              </w:rPr>
              <w:t>correction</w:t>
            </w:r>
          </w:p>
        </w:tc>
        <w:tc>
          <w:tcPr>
            <w:tcW w:w="9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20" w:type="dxa"/>
            <w:vAlign w:val="bottom"/>
            <w:shd w:val="clear" w:color="auto" w:fill="CCEEFF"/>
          </w:tcPr>
          <w:p>
            <w:pPr>
              <w:spacing w:after="0"/>
              <w:rPr>
                <w:sz w:val="20"/>
                <w:szCs w:val="20"/>
                <w:color w:val="auto"/>
              </w:rPr>
            </w:pPr>
            <w:r>
              <w:rPr>
                <w:rFonts w:ascii="Arial" w:cs="Arial" w:eastAsia="Arial" w:hAnsi="Arial"/>
                <w:sz w:val="15"/>
                <w:szCs w:val="15"/>
                <w:color w:val="auto"/>
              </w:rPr>
              <w:t>of error</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22,554</w:t>
            </w:r>
          </w:p>
        </w:tc>
        <w:tc>
          <w:tcPr>
            <w:tcW w:w="6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22,146</w:t>
            </w: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rPr>
              <w:t>17,676</w:t>
            </w: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16,146</w:t>
            </w: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rPr>
              <w:t>11,318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720" w:type="dxa"/>
            <w:vAlign w:val="bottom"/>
          </w:tcPr>
          <w:p>
            <w:pPr>
              <w:spacing w:after="0" w:line="164" w:lineRule="exact"/>
              <w:rPr>
                <w:sz w:val="20"/>
                <w:szCs w:val="20"/>
                <w:color w:val="auto"/>
              </w:rPr>
            </w:pPr>
            <w:r>
              <w:rPr>
                <w:rFonts w:ascii="Arial" w:cs="Arial" w:eastAsia="Arial" w:hAnsi="Arial"/>
                <w:sz w:val="15"/>
                <w:szCs w:val="15"/>
                <w:color w:val="auto"/>
                <w:w w:val="90"/>
              </w:rPr>
              <w:t>Difference -</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20"/>
                <w:szCs w:val="20"/>
                <w:color w:val="auto"/>
              </w:rPr>
            </w:pPr>
            <w:r>
              <w:rPr>
                <w:rFonts w:ascii="Arial" w:cs="Arial" w:eastAsia="Arial" w:hAnsi="Arial"/>
                <w:sz w:val="15"/>
                <w:szCs w:val="15"/>
                <w:color w:val="auto"/>
              </w:rPr>
              <w:t>Increase</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20"/>
                <w:szCs w:val="20"/>
                <w:color w:val="auto"/>
              </w:rPr>
            </w:pPr>
            <w:r>
              <w:rPr>
                <w:rFonts w:ascii="Arial" w:cs="Arial" w:eastAsia="Arial" w:hAnsi="Arial"/>
                <w:sz w:val="15"/>
                <w:szCs w:val="15"/>
                <w:color w:val="auto"/>
                <w:w w:val="94"/>
              </w:rPr>
              <w:t>(Decrease)</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27"/>
              <w:spacing w:after="0"/>
              <w:rPr>
                <w:sz w:val="20"/>
                <w:szCs w:val="20"/>
                <w:color w:val="auto"/>
              </w:rPr>
            </w:pPr>
            <w:r>
              <w:rPr>
                <w:rFonts w:ascii="Arial" w:cs="Arial" w:eastAsia="Arial" w:hAnsi="Arial"/>
                <w:sz w:val="15"/>
                <w:szCs w:val="15"/>
                <w:color w:val="auto"/>
              </w:rPr>
              <w:t>(737</w:t>
            </w:r>
          </w:p>
        </w:tc>
        <w:tc>
          <w:tcPr>
            <w:tcW w:w="66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27"/>
              <w:spacing w:after="0"/>
              <w:rPr>
                <w:sz w:val="20"/>
                <w:szCs w:val="20"/>
                <w:color w:val="auto"/>
              </w:rPr>
            </w:pPr>
            <w:r>
              <w:rPr>
                <w:rFonts w:ascii="Arial" w:cs="Arial" w:eastAsia="Arial" w:hAnsi="Arial"/>
                <w:sz w:val="15"/>
                <w:szCs w:val="15"/>
                <w:color w:val="auto"/>
              </w:rPr>
              <w:t>8</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27"/>
              <w:spacing w:after="0"/>
              <w:rPr>
                <w:sz w:val="20"/>
                <w:szCs w:val="20"/>
                <w:color w:val="auto"/>
              </w:rPr>
            </w:pPr>
            <w:r>
              <w:rPr>
                <w:rFonts w:ascii="Arial" w:cs="Arial" w:eastAsia="Arial" w:hAnsi="Arial"/>
                <w:sz w:val="15"/>
                <w:szCs w:val="15"/>
                <w:color w:val="auto"/>
              </w:rPr>
              <w:t>(311</w:t>
            </w:r>
          </w:p>
        </w:tc>
        <w:tc>
          <w:tcPr>
            <w:tcW w:w="900" w:type="dxa"/>
            <w:vAlign w:val="bottom"/>
          </w:tcPr>
          <w:p>
            <w:pPr>
              <w:jc w:val="right"/>
              <w:ind w:right="687"/>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247"/>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107"/>
              <w:spacing w:after="0"/>
              <w:rPr>
                <w:sz w:val="20"/>
                <w:szCs w:val="20"/>
                <w:color w:val="auto"/>
              </w:rPr>
            </w:pPr>
            <w:r>
              <w:rPr>
                <w:rFonts w:ascii="Arial" w:cs="Arial" w:eastAsia="Arial" w:hAnsi="Arial"/>
                <w:sz w:val="15"/>
                <w:szCs w:val="15"/>
                <w:color w:val="auto"/>
              </w:rPr>
              <w:t>(221</w:t>
            </w:r>
          </w:p>
        </w:tc>
        <w:tc>
          <w:tcPr>
            <w:tcW w:w="66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87"/>
              <w:spacing w:after="0"/>
              <w:rPr>
                <w:sz w:val="20"/>
                <w:szCs w:val="20"/>
                <w:color w:val="auto"/>
              </w:rPr>
            </w:pPr>
            <w:r>
              <w:rPr>
                <w:rFonts w:ascii="Arial" w:cs="Arial" w:eastAsia="Arial" w:hAnsi="Arial"/>
                <w:sz w:val="15"/>
                <w:szCs w:val="15"/>
                <w:color w:val="auto"/>
              </w:rPr>
              <w:t>342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20" w:type="dxa"/>
            <w:vAlign w:val="bottom"/>
            <w:shd w:val="clear" w:color="auto" w:fill="CCEEFF"/>
          </w:tcPr>
          <w:p>
            <w:pPr>
              <w:spacing w:after="0" w:line="164" w:lineRule="exact"/>
              <w:rPr>
                <w:sz w:val="20"/>
                <w:szCs w:val="20"/>
                <w:color w:val="auto"/>
              </w:rPr>
            </w:pPr>
            <w:r>
              <w:rPr>
                <w:rFonts w:ascii="Arial" w:cs="Arial" w:eastAsia="Arial" w:hAnsi="Arial"/>
                <w:sz w:val="15"/>
                <w:szCs w:val="15"/>
                <w:color w:val="auto"/>
              </w:rPr>
              <w:t>Difference</w:t>
            </w:r>
          </w:p>
        </w:tc>
        <w:tc>
          <w:tcPr>
            <w:tcW w:w="9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20" w:type="dxa"/>
            <w:vAlign w:val="bottom"/>
            <w:shd w:val="clear" w:color="auto" w:fill="CCEEFF"/>
          </w:tcPr>
          <w:p>
            <w:pPr>
              <w:spacing w:after="0"/>
              <w:rPr>
                <w:sz w:val="20"/>
                <w:szCs w:val="20"/>
                <w:color w:val="auto"/>
              </w:rPr>
            </w:pPr>
            <w:r>
              <w:rPr>
                <w:rFonts w:ascii="Arial" w:cs="Arial" w:eastAsia="Arial" w:hAnsi="Arial"/>
                <w:sz w:val="15"/>
                <w:szCs w:val="15"/>
                <w:color w:val="auto"/>
              </w:rPr>
              <w:t>as % of</w:t>
            </w:r>
          </w:p>
        </w:tc>
        <w:tc>
          <w:tcPr>
            <w:tcW w:w="9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0" w:type="dxa"/>
            <w:vAlign w:val="bottom"/>
            <w:shd w:val="clear" w:color="auto" w:fill="CCEEFF"/>
          </w:tcPr>
          <w:p>
            <w:pPr>
              <w:spacing w:after="0"/>
              <w:rPr>
                <w:sz w:val="20"/>
                <w:szCs w:val="20"/>
                <w:color w:val="auto"/>
              </w:rPr>
            </w:pPr>
            <w:r>
              <w:rPr>
                <w:rFonts w:ascii="Arial" w:cs="Arial" w:eastAsia="Arial" w:hAnsi="Arial"/>
                <w:sz w:val="15"/>
                <w:szCs w:val="15"/>
                <w:color w:val="auto"/>
              </w:rPr>
              <w:t>previously</w:t>
            </w:r>
          </w:p>
        </w:tc>
        <w:tc>
          <w:tcPr>
            <w:tcW w:w="9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0" w:type="dxa"/>
            <w:vAlign w:val="bottom"/>
            <w:shd w:val="clear" w:color="auto" w:fill="CCEEFF"/>
          </w:tcPr>
          <w:p>
            <w:pPr>
              <w:spacing w:after="0"/>
              <w:rPr>
                <w:sz w:val="20"/>
                <w:szCs w:val="20"/>
                <w:color w:val="auto"/>
              </w:rPr>
            </w:pPr>
            <w:r>
              <w:rPr>
                <w:rFonts w:ascii="Arial" w:cs="Arial" w:eastAsia="Arial" w:hAnsi="Arial"/>
                <w:sz w:val="15"/>
                <w:szCs w:val="15"/>
                <w:color w:val="auto"/>
              </w:rPr>
              <w:t>reported</w:t>
            </w:r>
          </w:p>
        </w:tc>
        <w:tc>
          <w:tcPr>
            <w:tcW w:w="9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20" w:type="dxa"/>
            <w:vAlign w:val="bottom"/>
            <w:shd w:val="clear" w:color="auto" w:fill="CCEEFF"/>
          </w:tcPr>
          <w:p>
            <w:pPr>
              <w:spacing w:after="0"/>
              <w:rPr>
                <w:sz w:val="20"/>
                <w:szCs w:val="20"/>
                <w:color w:val="auto"/>
              </w:rPr>
            </w:pPr>
            <w:r>
              <w:rPr>
                <w:rFonts w:ascii="Arial" w:cs="Arial" w:eastAsia="Arial" w:hAnsi="Arial"/>
                <w:sz w:val="15"/>
                <w:szCs w:val="15"/>
                <w:color w:val="auto"/>
                <w:w w:val="88"/>
              </w:rPr>
              <w:t>Gross Profit</w:t>
            </w:r>
          </w:p>
        </w:tc>
        <w:tc>
          <w:tcPr>
            <w:tcW w:w="9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3.2%</w:t>
            </w:r>
          </w:p>
        </w:tc>
        <w:tc>
          <w:tcPr>
            <w:tcW w:w="6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rPr>
              <w:t>1.7%</w:t>
            </w: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1.4%</w:t>
            </w: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rPr>
              <w:t>3.1%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line="160" w:lineRule="exact"/>
              <w:rPr>
                <w:sz w:val="20"/>
                <w:szCs w:val="20"/>
                <w:color w:val="auto"/>
              </w:rPr>
            </w:pPr>
            <w:r>
              <w:rPr>
                <w:rFonts w:ascii="Arial" w:cs="Arial" w:eastAsia="Arial" w:hAnsi="Arial"/>
                <w:sz w:val="15"/>
                <w:szCs w:val="15"/>
                <w:b w:val="1"/>
                <w:bCs w:val="1"/>
                <w:color w:val="auto"/>
              </w:rPr>
              <w:t>Income</w:t>
            </w: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20"/>
                <w:szCs w:val="20"/>
                <w:color w:val="auto"/>
              </w:rPr>
            </w:pPr>
            <w:r>
              <w:rPr>
                <w:rFonts w:ascii="Arial" w:cs="Arial" w:eastAsia="Arial" w:hAnsi="Arial"/>
                <w:sz w:val="15"/>
                <w:szCs w:val="15"/>
                <w:b w:val="1"/>
                <w:bCs w:val="1"/>
                <w:color w:val="auto"/>
              </w:rPr>
              <w:t>(Loss)</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20"/>
                <w:szCs w:val="20"/>
                <w:color w:val="auto"/>
              </w:rPr>
            </w:pPr>
            <w:r>
              <w:rPr>
                <w:rFonts w:ascii="Arial" w:cs="Arial" w:eastAsia="Arial" w:hAnsi="Arial"/>
                <w:sz w:val="15"/>
                <w:szCs w:val="15"/>
                <w:b w:val="1"/>
                <w:bCs w:val="1"/>
                <w:color w:val="auto"/>
              </w:rPr>
              <w:t>from</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20"/>
                <w:szCs w:val="20"/>
                <w:color w:val="auto"/>
              </w:rPr>
            </w:pPr>
            <w:r>
              <w:rPr>
                <w:rFonts w:ascii="Arial" w:cs="Arial" w:eastAsia="Arial" w:hAnsi="Arial"/>
                <w:sz w:val="15"/>
                <w:szCs w:val="15"/>
                <w:b w:val="1"/>
                <w:bCs w:val="1"/>
                <w:color w:val="auto"/>
                <w:w w:val="88"/>
              </w:rPr>
              <w:t>Continuing</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88"/>
              </w:rPr>
              <w:t>Operations</w:t>
            </w: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720" w:type="dxa"/>
            <w:vAlign w:val="bottom"/>
            <w:shd w:val="clear" w:color="auto" w:fill="CCEEFF"/>
          </w:tcPr>
          <w:p>
            <w:pPr>
              <w:spacing w:after="0" w:line="164" w:lineRule="exact"/>
              <w:rPr>
                <w:sz w:val="20"/>
                <w:szCs w:val="20"/>
                <w:color w:val="auto"/>
              </w:rPr>
            </w:pPr>
            <w:r>
              <w:rPr>
                <w:rFonts w:ascii="Arial" w:cs="Arial" w:eastAsia="Arial" w:hAnsi="Arial"/>
                <w:sz w:val="15"/>
                <w:szCs w:val="15"/>
                <w:color w:val="auto"/>
              </w:rPr>
              <w:t>Previously</w:t>
            </w:r>
          </w:p>
        </w:tc>
        <w:tc>
          <w:tcPr>
            <w:tcW w:w="9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20" w:type="dxa"/>
            <w:vAlign w:val="bottom"/>
            <w:shd w:val="clear" w:color="auto" w:fill="CCEEFF"/>
          </w:tcPr>
          <w:p>
            <w:pPr>
              <w:spacing w:after="0"/>
              <w:rPr>
                <w:sz w:val="20"/>
                <w:szCs w:val="20"/>
                <w:color w:val="auto"/>
              </w:rPr>
            </w:pPr>
            <w:r>
              <w:rPr>
                <w:rFonts w:ascii="Arial" w:cs="Arial" w:eastAsia="Arial" w:hAnsi="Arial"/>
                <w:sz w:val="15"/>
                <w:szCs w:val="15"/>
                <w:color w:val="auto"/>
              </w:rPr>
              <w:t>reported</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5,640</w:t>
            </w:r>
          </w:p>
        </w:tc>
        <w:tc>
          <w:tcPr>
            <w:tcW w:w="6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4,787</w:t>
            </w: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rPr>
              <w:t>(60</w:t>
            </w:r>
          </w:p>
        </w:tc>
        <w:tc>
          <w:tcPr>
            <w:tcW w:w="90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1,947</w:t>
            </w: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rPr>
              <w:t>(11,902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4"/>
        </w:trPr>
        <w:tc>
          <w:tcPr>
            <w:tcW w:w="720" w:type="dxa"/>
            <w:vAlign w:val="bottom"/>
          </w:tcPr>
          <w:p>
            <w:pPr>
              <w:spacing w:after="0" w:line="164" w:lineRule="exact"/>
              <w:rPr>
                <w:sz w:val="20"/>
                <w:szCs w:val="20"/>
                <w:color w:val="auto"/>
              </w:rPr>
            </w:pPr>
            <w:r>
              <w:rPr>
                <w:rFonts w:ascii="Arial" w:cs="Arial" w:eastAsia="Arial" w:hAnsi="Arial"/>
                <w:sz w:val="15"/>
                <w:szCs w:val="15"/>
                <w:color w:val="auto"/>
              </w:rPr>
              <w:t>After</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20"/>
                <w:szCs w:val="20"/>
                <w:color w:val="auto"/>
              </w:rPr>
            </w:pPr>
            <w:r>
              <w:rPr>
                <w:rFonts w:ascii="Arial" w:cs="Arial" w:eastAsia="Arial" w:hAnsi="Arial"/>
                <w:sz w:val="15"/>
                <w:szCs w:val="15"/>
                <w:color w:val="auto"/>
              </w:rPr>
              <w:t>correction</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20"/>
                <w:szCs w:val="20"/>
                <w:color w:val="auto"/>
              </w:rPr>
            </w:pPr>
            <w:r>
              <w:rPr>
                <w:rFonts w:ascii="Arial" w:cs="Arial" w:eastAsia="Arial" w:hAnsi="Arial"/>
                <w:sz w:val="15"/>
                <w:szCs w:val="15"/>
                <w:color w:val="auto"/>
              </w:rPr>
              <w:t>of error</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27"/>
              <w:spacing w:after="0"/>
              <w:rPr>
                <w:sz w:val="20"/>
                <w:szCs w:val="20"/>
                <w:color w:val="auto"/>
              </w:rPr>
            </w:pPr>
            <w:r>
              <w:rPr>
                <w:rFonts w:ascii="Arial" w:cs="Arial" w:eastAsia="Arial" w:hAnsi="Arial"/>
                <w:sz w:val="15"/>
                <w:szCs w:val="15"/>
                <w:color w:val="auto"/>
              </w:rPr>
              <w:t>5,243</w:t>
            </w:r>
          </w:p>
        </w:tc>
        <w:tc>
          <w:tcPr>
            <w:tcW w:w="660" w:type="dxa"/>
            <w:vAlign w:val="bottom"/>
          </w:tcPr>
          <w:p>
            <w:pPr>
              <w:spacing w:after="0"/>
              <w:rPr>
                <w:sz w:val="16"/>
                <w:szCs w:val="16"/>
                <w:color w:val="auto"/>
              </w:rPr>
            </w:pPr>
          </w:p>
        </w:tc>
        <w:tc>
          <w:tcPr>
            <w:tcW w:w="5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27"/>
              <w:spacing w:after="0"/>
              <w:rPr>
                <w:sz w:val="20"/>
                <w:szCs w:val="20"/>
                <w:color w:val="auto"/>
              </w:rPr>
            </w:pPr>
            <w:r>
              <w:rPr>
                <w:rFonts w:ascii="Arial" w:cs="Arial" w:eastAsia="Arial" w:hAnsi="Arial"/>
                <w:sz w:val="15"/>
                <w:szCs w:val="15"/>
                <w:color w:val="auto"/>
              </w:rPr>
              <w:t>4,795</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27"/>
              <w:spacing w:after="0"/>
              <w:rPr>
                <w:sz w:val="20"/>
                <w:szCs w:val="20"/>
                <w:color w:val="auto"/>
              </w:rPr>
            </w:pPr>
            <w:r>
              <w:rPr>
                <w:rFonts w:ascii="Arial" w:cs="Arial" w:eastAsia="Arial" w:hAnsi="Arial"/>
                <w:sz w:val="15"/>
                <w:szCs w:val="15"/>
                <w:color w:val="auto"/>
              </w:rPr>
              <w:t>(371</w:t>
            </w:r>
          </w:p>
        </w:tc>
        <w:tc>
          <w:tcPr>
            <w:tcW w:w="900" w:type="dxa"/>
            <w:vAlign w:val="bottom"/>
          </w:tcPr>
          <w:p>
            <w:pPr>
              <w:jc w:val="right"/>
              <w:ind w:right="687"/>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247"/>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107"/>
              <w:spacing w:after="0"/>
              <w:rPr>
                <w:sz w:val="20"/>
                <w:szCs w:val="20"/>
                <w:color w:val="auto"/>
              </w:rPr>
            </w:pPr>
            <w:r>
              <w:rPr>
                <w:rFonts w:ascii="Arial" w:cs="Arial" w:eastAsia="Arial" w:hAnsi="Arial"/>
                <w:sz w:val="15"/>
                <w:szCs w:val="15"/>
                <w:color w:val="auto"/>
              </w:rPr>
              <w:t>1,726</w:t>
            </w:r>
          </w:p>
        </w:tc>
        <w:tc>
          <w:tcPr>
            <w:tcW w:w="6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87"/>
              <w:spacing w:after="0"/>
              <w:rPr>
                <w:sz w:val="20"/>
                <w:szCs w:val="20"/>
                <w:color w:val="auto"/>
              </w:rPr>
            </w:pPr>
            <w:r>
              <w:rPr>
                <w:rFonts w:ascii="Arial" w:cs="Arial" w:eastAsia="Arial" w:hAnsi="Arial"/>
                <w:sz w:val="15"/>
                <w:szCs w:val="15"/>
                <w:color w:val="auto"/>
              </w:rPr>
              <w:t>(11,560</w:t>
            </w:r>
          </w:p>
        </w:tc>
        <w:tc>
          <w:tcPr>
            <w:tcW w:w="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20"/>
                <w:szCs w:val="20"/>
                <w:color w:val="auto"/>
              </w:rPr>
            </w:pPr>
            <w:r>
              <w:rPr>
                <w:rFonts w:ascii="Arial" w:cs="Arial" w:eastAsia="Arial" w:hAnsi="Arial"/>
                <w:sz w:val="15"/>
                <w:szCs w:val="15"/>
                <w:color w:val="auto"/>
              </w:rPr>
              <w:t>Difference</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(397</w:t>
            </w:r>
          </w:p>
        </w:tc>
        <w:tc>
          <w:tcPr>
            <w:tcW w:w="66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8</w:t>
            </w: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rPr>
              <w:t>(311</w:t>
            </w:r>
          </w:p>
        </w:tc>
        <w:tc>
          <w:tcPr>
            <w:tcW w:w="90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(221</w:t>
            </w:r>
          </w:p>
        </w:tc>
        <w:tc>
          <w:tcPr>
            <w:tcW w:w="66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rPr>
              <w:t>342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20" w:type="dxa"/>
            <w:vAlign w:val="bottom"/>
          </w:tcPr>
          <w:p>
            <w:pPr>
              <w:spacing w:after="0" w:line="164" w:lineRule="exact"/>
              <w:rPr>
                <w:sz w:val="20"/>
                <w:szCs w:val="20"/>
                <w:color w:val="auto"/>
              </w:rPr>
            </w:pPr>
            <w:r>
              <w:rPr>
                <w:rFonts w:ascii="Arial" w:cs="Arial" w:eastAsia="Arial" w:hAnsi="Arial"/>
                <w:sz w:val="15"/>
                <w:szCs w:val="15"/>
                <w:color w:val="auto"/>
              </w:rPr>
              <w:t>Difference</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20"/>
                <w:szCs w:val="20"/>
                <w:color w:val="auto"/>
              </w:rPr>
            </w:pPr>
            <w:r>
              <w:rPr>
                <w:rFonts w:ascii="Arial" w:cs="Arial" w:eastAsia="Arial" w:hAnsi="Arial"/>
                <w:sz w:val="15"/>
                <w:szCs w:val="15"/>
                <w:color w:val="auto"/>
              </w:rPr>
              <w:t>as % of</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20"/>
                <w:szCs w:val="20"/>
                <w:color w:val="auto"/>
              </w:rPr>
            </w:pPr>
            <w:r>
              <w:rPr>
                <w:rFonts w:ascii="Arial" w:cs="Arial" w:eastAsia="Arial" w:hAnsi="Arial"/>
                <w:sz w:val="15"/>
                <w:szCs w:val="15"/>
                <w:color w:val="auto"/>
              </w:rPr>
              <w:t>previously</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20"/>
                <w:szCs w:val="20"/>
                <w:color w:val="auto"/>
              </w:rPr>
            </w:pPr>
            <w:r>
              <w:rPr>
                <w:rFonts w:ascii="Arial" w:cs="Arial" w:eastAsia="Arial" w:hAnsi="Arial"/>
                <w:sz w:val="15"/>
                <w:szCs w:val="15"/>
                <w:color w:val="auto"/>
              </w:rPr>
              <w:t>reported</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20"/>
                <w:szCs w:val="20"/>
                <w:color w:val="auto"/>
              </w:rPr>
            </w:pPr>
            <w:r>
              <w:rPr>
                <w:rFonts w:ascii="Arial" w:cs="Arial" w:eastAsia="Arial" w:hAnsi="Arial"/>
                <w:sz w:val="15"/>
                <w:szCs w:val="15"/>
                <w:color w:val="auto"/>
              </w:rPr>
              <w:t>Income</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20"/>
                <w:szCs w:val="20"/>
                <w:color w:val="auto"/>
              </w:rPr>
            </w:pPr>
            <w:r>
              <w:rPr>
                <w:rFonts w:ascii="Arial" w:cs="Arial" w:eastAsia="Arial" w:hAnsi="Arial"/>
                <w:sz w:val="15"/>
                <w:szCs w:val="15"/>
                <w:color w:val="auto"/>
              </w:rPr>
              <w:t>(Loss)</w:t>
            </w:r>
          </w:p>
        </w:tc>
        <w:tc>
          <w:tcPr>
            <w:tcW w:w="900" w:type="dxa"/>
            <w:vAlign w:val="bottom"/>
          </w:tcPr>
          <w:p>
            <w:pPr>
              <w:spacing w:after="0"/>
              <w:rPr>
                <w:sz w:val="16"/>
                <w:szCs w:val="16"/>
                <w:color w:val="auto"/>
              </w:rPr>
            </w:pPr>
          </w:p>
        </w:tc>
        <w:tc>
          <w:tcPr>
            <w:tcW w:w="1000" w:type="dxa"/>
            <w:vAlign w:val="bottom"/>
          </w:tcPr>
          <w:p>
            <w:pPr>
              <w:jc w:val="right"/>
              <w:ind w:right="127"/>
              <w:spacing w:after="0"/>
              <w:rPr>
                <w:sz w:val="20"/>
                <w:szCs w:val="20"/>
                <w:color w:val="auto"/>
              </w:rPr>
            </w:pPr>
            <w:r>
              <w:rPr>
                <w:rFonts w:ascii="Arial" w:cs="Arial" w:eastAsia="Arial" w:hAnsi="Arial"/>
                <w:sz w:val="15"/>
                <w:szCs w:val="15"/>
                <w:color w:val="auto"/>
              </w:rPr>
              <w:t>7.0%</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127"/>
              <w:spacing w:after="0"/>
              <w:rPr>
                <w:sz w:val="20"/>
                <w:szCs w:val="20"/>
                <w:color w:val="auto"/>
              </w:rPr>
            </w:pPr>
            <w:r>
              <w:rPr>
                <w:rFonts w:ascii="Arial" w:cs="Arial" w:eastAsia="Arial" w:hAnsi="Arial"/>
                <w:sz w:val="15"/>
                <w:szCs w:val="15"/>
                <w:color w:val="auto"/>
              </w:rPr>
              <w:t>0.2%</w:t>
            </w: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jc w:val="right"/>
              <w:ind w:right="227"/>
              <w:spacing w:after="0"/>
              <w:rPr>
                <w:sz w:val="20"/>
                <w:szCs w:val="20"/>
                <w:color w:val="auto"/>
              </w:rPr>
            </w:pPr>
            <w:r>
              <w:rPr>
                <w:rFonts w:ascii="Arial" w:cs="Arial" w:eastAsia="Arial" w:hAnsi="Arial"/>
                <w:sz w:val="15"/>
                <w:szCs w:val="15"/>
                <w:color w:val="auto"/>
              </w:rPr>
              <w:t>518.3%</w:t>
            </w: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jc w:val="right"/>
              <w:ind w:right="107"/>
              <w:spacing w:after="0"/>
              <w:rPr>
                <w:sz w:val="20"/>
                <w:szCs w:val="20"/>
                <w:color w:val="auto"/>
              </w:rPr>
            </w:pPr>
            <w:r>
              <w:rPr>
                <w:rFonts w:ascii="Arial" w:cs="Arial" w:eastAsia="Arial" w:hAnsi="Arial"/>
                <w:sz w:val="15"/>
                <w:szCs w:val="15"/>
                <w:color w:val="auto"/>
              </w:rPr>
              <w:t>11.4%</w:t>
            </w: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jc w:val="right"/>
              <w:ind w:right="287"/>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72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Income</w:t>
            </w:r>
          </w:p>
        </w:tc>
        <w:tc>
          <w:tcPr>
            <w:tcW w:w="9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(Loss)</w:t>
            </w:r>
          </w:p>
        </w:tc>
        <w:tc>
          <w:tcPr>
            <w:tcW w:w="9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from</w:t>
            </w:r>
          </w:p>
        </w:tc>
        <w:tc>
          <w:tcPr>
            <w:tcW w:w="9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88"/>
              </w:rPr>
              <w:t>Continuing</w:t>
            </w:r>
          </w:p>
        </w:tc>
        <w:tc>
          <w:tcPr>
            <w:tcW w:w="9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88"/>
              </w:rPr>
              <w:t>Operations</w:t>
            </w:r>
          </w:p>
        </w:tc>
        <w:tc>
          <w:tcPr>
            <w:tcW w:w="9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per share</w:t>
            </w:r>
          </w:p>
        </w:tc>
        <w:tc>
          <w:tcPr>
            <w:tcW w:w="9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(Diluted)</w:t>
            </w:r>
          </w:p>
        </w:tc>
        <w:tc>
          <w:tcPr>
            <w:tcW w:w="9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720" w:type="dxa"/>
            <w:vAlign w:val="bottom"/>
          </w:tcPr>
          <w:p>
            <w:pPr>
              <w:spacing w:after="0" w:line="164" w:lineRule="exact"/>
              <w:rPr>
                <w:sz w:val="20"/>
                <w:szCs w:val="20"/>
                <w:color w:val="auto"/>
              </w:rPr>
            </w:pPr>
            <w:r>
              <w:rPr>
                <w:rFonts w:ascii="Arial" w:cs="Arial" w:eastAsia="Arial" w:hAnsi="Arial"/>
                <w:sz w:val="15"/>
                <w:szCs w:val="15"/>
                <w:color w:val="auto"/>
              </w:rPr>
              <w:t>Previously</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20"/>
                <w:szCs w:val="20"/>
                <w:color w:val="auto"/>
              </w:rPr>
            </w:pPr>
            <w:r>
              <w:rPr>
                <w:rFonts w:ascii="Arial" w:cs="Arial" w:eastAsia="Arial" w:hAnsi="Arial"/>
                <w:sz w:val="15"/>
                <w:szCs w:val="15"/>
                <w:color w:val="auto"/>
              </w:rPr>
              <w:t>reported</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27"/>
              <w:spacing w:after="0"/>
              <w:rPr>
                <w:sz w:val="20"/>
                <w:szCs w:val="20"/>
                <w:color w:val="auto"/>
              </w:rPr>
            </w:pPr>
            <w:r>
              <w:rPr>
                <w:rFonts w:ascii="Arial" w:cs="Arial" w:eastAsia="Arial" w:hAnsi="Arial"/>
                <w:sz w:val="15"/>
                <w:szCs w:val="15"/>
                <w:color w:val="auto"/>
              </w:rPr>
              <w:t>0.52</w:t>
            </w:r>
          </w:p>
        </w:tc>
        <w:tc>
          <w:tcPr>
            <w:tcW w:w="660" w:type="dxa"/>
            <w:vAlign w:val="bottom"/>
          </w:tcPr>
          <w:p>
            <w:pPr>
              <w:spacing w:after="0"/>
              <w:rPr>
                <w:sz w:val="16"/>
                <w:szCs w:val="16"/>
                <w:color w:val="auto"/>
              </w:rPr>
            </w:pPr>
          </w:p>
        </w:tc>
        <w:tc>
          <w:tcPr>
            <w:tcW w:w="5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27"/>
              <w:spacing w:after="0"/>
              <w:rPr>
                <w:sz w:val="20"/>
                <w:szCs w:val="20"/>
                <w:color w:val="auto"/>
              </w:rPr>
            </w:pPr>
            <w:r>
              <w:rPr>
                <w:rFonts w:ascii="Arial" w:cs="Arial" w:eastAsia="Arial" w:hAnsi="Arial"/>
                <w:sz w:val="15"/>
                <w:szCs w:val="15"/>
                <w:color w:val="auto"/>
              </w:rPr>
              <w:t>0.41</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6"/>
                <w:szCs w:val="16"/>
                <w:color w:val="auto"/>
              </w:rPr>
            </w:pPr>
          </w:p>
        </w:tc>
        <w:tc>
          <w:tcPr>
            <w:tcW w:w="480" w:type="dxa"/>
            <w:vAlign w:val="bottom"/>
          </w:tcPr>
          <w:p>
            <w:pPr>
              <w:jc w:val="right"/>
              <w:ind w:right="247"/>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107"/>
              <w:spacing w:after="0"/>
              <w:rPr>
                <w:sz w:val="20"/>
                <w:szCs w:val="20"/>
                <w:color w:val="auto"/>
              </w:rPr>
            </w:pPr>
            <w:r>
              <w:rPr>
                <w:rFonts w:ascii="Arial" w:cs="Arial" w:eastAsia="Arial" w:hAnsi="Arial"/>
                <w:sz w:val="15"/>
                <w:szCs w:val="15"/>
                <w:color w:val="auto"/>
              </w:rPr>
              <w:t>0.16</w:t>
            </w:r>
          </w:p>
        </w:tc>
        <w:tc>
          <w:tcPr>
            <w:tcW w:w="6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87"/>
              <w:spacing w:after="0"/>
              <w:rPr>
                <w:sz w:val="20"/>
                <w:szCs w:val="20"/>
                <w:color w:val="auto"/>
              </w:rPr>
            </w:pPr>
            <w:r>
              <w:rPr>
                <w:rFonts w:ascii="Arial" w:cs="Arial" w:eastAsia="Arial" w:hAnsi="Arial"/>
                <w:sz w:val="15"/>
                <w:szCs w:val="15"/>
                <w:color w:val="auto"/>
              </w:rPr>
              <w:t>(1.08</w:t>
            </w:r>
          </w:p>
        </w:tc>
        <w:tc>
          <w:tcPr>
            <w:tcW w:w="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5"/>
        </w:trPr>
        <w:tc>
          <w:tcPr>
            <w:tcW w:w="720" w:type="dxa"/>
            <w:vAlign w:val="bottom"/>
            <w:shd w:val="clear" w:color="auto" w:fill="CCEEFF"/>
          </w:tcPr>
          <w:p>
            <w:pPr>
              <w:spacing w:after="0" w:line="164" w:lineRule="exact"/>
              <w:rPr>
                <w:sz w:val="20"/>
                <w:szCs w:val="20"/>
                <w:color w:val="auto"/>
              </w:rPr>
            </w:pPr>
            <w:r>
              <w:rPr>
                <w:rFonts w:ascii="Arial" w:cs="Arial" w:eastAsia="Arial" w:hAnsi="Arial"/>
                <w:sz w:val="15"/>
                <w:szCs w:val="15"/>
                <w:color w:val="auto"/>
              </w:rPr>
              <w:t>After</w:t>
            </w:r>
          </w:p>
        </w:tc>
        <w:tc>
          <w:tcPr>
            <w:tcW w:w="9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20" w:type="dxa"/>
            <w:vAlign w:val="bottom"/>
            <w:shd w:val="clear" w:color="auto" w:fill="CCEEFF"/>
          </w:tcPr>
          <w:p>
            <w:pPr>
              <w:spacing w:after="0"/>
              <w:rPr>
                <w:sz w:val="20"/>
                <w:szCs w:val="20"/>
                <w:color w:val="auto"/>
              </w:rPr>
            </w:pPr>
            <w:r>
              <w:rPr>
                <w:rFonts w:ascii="Arial" w:cs="Arial" w:eastAsia="Arial" w:hAnsi="Arial"/>
                <w:sz w:val="15"/>
                <w:szCs w:val="15"/>
                <w:color w:val="auto"/>
              </w:rPr>
              <w:t>correction</w:t>
            </w:r>
          </w:p>
        </w:tc>
        <w:tc>
          <w:tcPr>
            <w:tcW w:w="9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20" w:type="dxa"/>
            <w:vAlign w:val="bottom"/>
            <w:shd w:val="clear" w:color="auto" w:fill="CCEEFF"/>
          </w:tcPr>
          <w:p>
            <w:pPr>
              <w:spacing w:after="0"/>
              <w:rPr>
                <w:sz w:val="20"/>
                <w:szCs w:val="20"/>
                <w:color w:val="auto"/>
              </w:rPr>
            </w:pPr>
            <w:r>
              <w:rPr>
                <w:rFonts w:ascii="Arial" w:cs="Arial" w:eastAsia="Arial" w:hAnsi="Arial"/>
                <w:sz w:val="15"/>
                <w:szCs w:val="15"/>
                <w:color w:val="auto"/>
              </w:rPr>
              <w:t>of error</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0.49</w:t>
            </w:r>
          </w:p>
        </w:tc>
        <w:tc>
          <w:tcPr>
            <w:tcW w:w="6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0.41</w:t>
            </w: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rPr>
              <w:t>(0.03</w:t>
            </w:r>
          </w:p>
        </w:tc>
        <w:tc>
          <w:tcPr>
            <w:tcW w:w="90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0.14</w:t>
            </w: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rPr>
              <w:t>(1.05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20" w:type="dxa"/>
            <w:vAlign w:val="bottom"/>
          </w:tcPr>
          <w:p>
            <w:pPr>
              <w:spacing w:after="0"/>
              <w:rPr>
                <w:sz w:val="20"/>
                <w:szCs w:val="20"/>
                <w:color w:val="auto"/>
              </w:rPr>
            </w:pPr>
            <w:r>
              <w:rPr>
                <w:rFonts w:ascii="Arial" w:cs="Arial" w:eastAsia="Arial" w:hAnsi="Arial"/>
                <w:sz w:val="15"/>
                <w:szCs w:val="15"/>
                <w:color w:val="auto"/>
              </w:rPr>
              <w:t>Difference</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27"/>
              <w:spacing w:after="0"/>
              <w:rPr>
                <w:sz w:val="20"/>
                <w:szCs w:val="20"/>
                <w:color w:val="auto"/>
              </w:rPr>
            </w:pPr>
            <w:r>
              <w:rPr>
                <w:rFonts w:ascii="Arial" w:cs="Arial" w:eastAsia="Arial" w:hAnsi="Arial"/>
                <w:sz w:val="15"/>
                <w:szCs w:val="15"/>
                <w:color w:val="auto"/>
              </w:rPr>
              <w:t>(0.03</w:t>
            </w:r>
          </w:p>
        </w:tc>
        <w:tc>
          <w:tcPr>
            <w:tcW w:w="660" w:type="dxa"/>
            <w:vAlign w:val="bottom"/>
          </w:tcPr>
          <w:p>
            <w:pPr>
              <w:jc w:val="right"/>
              <w:ind w:right="347"/>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27"/>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27"/>
              <w:spacing w:after="0"/>
              <w:rPr>
                <w:sz w:val="20"/>
                <w:szCs w:val="20"/>
                <w:color w:val="auto"/>
              </w:rPr>
            </w:pPr>
            <w:r>
              <w:rPr>
                <w:rFonts w:ascii="Arial" w:cs="Arial" w:eastAsia="Arial" w:hAnsi="Arial"/>
                <w:sz w:val="15"/>
                <w:szCs w:val="15"/>
                <w:color w:val="auto"/>
              </w:rPr>
              <w:t>(0.03</w:t>
            </w:r>
          </w:p>
        </w:tc>
        <w:tc>
          <w:tcPr>
            <w:tcW w:w="900" w:type="dxa"/>
            <w:vAlign w:val="bottom"/>
          </w:tcPr>
          <w:p>
            <w:pPr>
              <w:jc w:val="right"/>
              <w:ind w:right="687"/>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247"/>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107"/>
              <w:spacing w:after="0"/>
              <w:rPr>
                <w:sz w:val="20"/>
                <w:szCs w:val="20"/>
                <w:color w:val="auto"/>
              </w:rPr>
            </w:pPr>
            <w:r>
              <w:rPr>
                <w:rFonts w:ascii="Arial" w:cs="Arial" w:eastAsia="Arial" w:hAnsi="Arial"/>
                <w:sz w:val="15"/>
                <w:szCs w:val="15"/>
                <w:color w:val="auto"/>
              </w:rPr>
              <w:t>(0.02</w:t>
            </w:r>
          </w:p>
        </w:tc>
        <w:tc>
          <w:tcPr>
            <w:tcW w:w="660" w:type="dxa"/>
            <w:vAlign w:val="bottom"/>
          </w:tcPr>
          <w:p>
            <w:pPr>
              <w:jc w:val="right"/>
              <w:ind w:right="327"/>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87"/>
              <w:spacing w:after="0"/>
              <w:rPr>
                <w:sz w:val="20"/>
                <w:szCs w:val="20"/>
                <w:color w:val="auto"/>
              </w:rPr>
            </w:pPr>
            <w:r>
              <w:rPr>
                <w:rFonts w:ascii="Arial" w:cs="Arial" w:eastAsia="Arial" w:hAnsi="Arial"/>
                <w:sz w:val="15"/>
                <w:szCs w:val="15"/>
                <w:color w:val="auto"/>
              </w:rPr>
              <w:t>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20" w:type="dxa"/>
            <w:vAlign w:val="bottom"/>
            <w:shd w:val="clear" w:color="auto" w:fill="CCEEFF"/>
          </w:tcPr>
          <w:p>
            <w:pPr>
              <w:spacing w:after="0" w:line="164" w:lineRule="exact"/>
              <w:rPr>
                <w:sz w:val="20"/>
                <w:szCs w:val="20"/>
                <w:color w:val="auto"/>
              </w:rPr>
            </w:pPr>
            <w:r>
              <w:rPr>
                <w:rFonts w:ascii="Arial" w:cs="Arial" w:eastAsia="Arial" w:hAnsi="Arial"/>
                <w:sz w:val="15"/>
                <w:szCs w:val="15"/>
                <w:color w:val="auto"/>
              </w:rPr>
              <w:t>Difference</w:t>
            </w:r>
          </w:p>
        </w:tc>
        <w:tc>
          <w:tcPr>
            <w:tcW w:w="9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20" w:type="dxa"/>
            <w:vAlign w:val="bottom"/>
            <w:shd w:val="clear" w:color="auto" w:fill="CCEEFF"/>
          </w:tcPr>
          <w:p>
            <w:pPr>
              <w:spacing w:after="0"/>
              <w:rPr>
                <w:sz w:val="20"/>
                <w:szCs w:val="20"/>
                <w:color w:val="auto"/>
              </w:rPr>
            </w:pPr>
            <w:r>
              <w:rPr>
                <w:rFonts w:ascii="Arial" w:cs="Arial" w:eastAsia="Arial" w:hAnsi="Arial"/>
                <w:sz w:val="15"/>
                <w:szCs w:val="15"/>
                <w:color w:val="auto"/>
              </w:rPr>
              <w:t>as % of</w:t>
            </w:r>
          </w:p>
        </w:tc>
        <w:tc>
          <w:tcPr>
            <w:tcW w:w="9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0" w:type="dxa"/>
            <w:vAlign w:val="bottom"/>
            <w:shd w:val="clear" w:color="auto" w:fill="CCEEFF"/>
          </w:tcPr>
          <w:p>
            <w:pPr>
              <w:spacing w:after="0"/>
              <w:rPr>
                <w:sz w:val="20"/>
                <w:szCs w:val="20"/>
                <w:color w:val="auto"/>
              </w:rPr>
            </w:pPr>
            <w:r>
              <w:rPr>
                <w:rFonts w:ascii="Arial" w:cs="Arial" w:eastAsia="Arial" w:hAnsi="Arial"/>
                <w:sz w:val="15"/>
                <w:szCs w:val="15"/>
                <w:color w:val="auto"/>
              </w:rPr>
              <w:t>previously</w:t>
            </w:r>
          </w:p>
        </w:tc>
        <w:tc>
          <w:tcPr>
            <w:tcW w:w="9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0" w:type="dxa"/>
            <w:vAlign w:val="bottom"/>
            <w:shd w:val="clear" w:color="auto" w:fill="CCEEFF"/>
          </w:tcPr>
          <w:p>
            <w:pPr>
              <w:spacing w:after="0"/>
              <w:rPr>
                <w:sz w:val="20"/>
                <w:szCs w:val="20"/>
                <w:color w:val="auto"/>
              </w:rPr>
            </w:pPr>
            <w:r>
              <w:rPr>
                <w:rFonts w:ascii="Arial" w:cs="Arial" w:eastAsia="Arial" w:hAnsi="Arial"/>
                <w:sz w:val="15"/>
                <w:szCs w:val="15"/>
                <w:color w:val="auto"/>
              </w:rPr>
              <w:t>reported</w:t>
            </w:r>
          </w:p>
        </w:tc>
        <w:tc>
          <w:tcPr>
            <w:tcW w:w="9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0" w:type="dxa"/>
            <w:vAlign w:val="bottom"/>
            <w:shd w:val="clear" w:color="auto" w:fill="CCEEFF"/>
          </w:tcPr>
          <w:p>
            <w:pPr>
              <w:spacing w:after="0"/>
              <w:rPr>
                <w:sz w:val="20"/>
                <w:szCs w:val="20"/>
                <w:color w:val="auto"/>
              </w:rPr>
            </w:pPr>
            <w:r>
              <w:rPr>
                <w:rFonts w:ascii="Arial" w:cs="Arial" w:eastAsia="Arial" w:hAnsi="Arial"/>
                <w:sz w:val="15"/>
                <w:szCs w:val="15"/>
                <w:color w:val="auto"/>
              </w:rPr>
              <w:t>Income</w:t>
            </w:r>
          </w:p>
        </w:tc>
        <w:tc>
          <w:tcPr>
            <w:tcW w:w="9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0" w:type="dxa"/>
            <w:vAlign w:val="bottom"/>
            <w:shd w:val="clear" w:color="auto" w:fill="CCEEFF"/>
          </w:tcPr>
          <w:p>
            <w:pPr>
              <w:spacing w:after="0"/>
              <w:rPr>
                <w:sz w:val="20"/>
                <w:szCs w:val="20"/>
                <w:color w:val="auto"/>
              </w:rPr>
            </w:pPr>
            <w:r>
              <w:rPr>
                <w:rFonts w:ascii="Arial" w:cs="Arial" w:eastAsia="Arial" w:hAnsi="Arial"/>
                <w:sz w:val="15"/>
                <w:szCs w:val="15"/>
                <w:color w:val="auto"/>
              </w:rPr>
              <w:t>(Loss) per</w:t>
            </w:r>
          </w:p>
        </w:tc>
        <w:tc>
          <w:tcPr>
            <w:tcW w:w="9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20" w:type="dxa"/>
            <w:vAlign w:val="bottom"/>
            <w:shd w:val="clear" w:color="auto" w:fill="CCEEFF"/>
          </w:tcPr>
          <w:p>
            <w:pPr>
              <w:spacing w:after="0"/>
              <w:rPr>
                <w:sz w:val="20"/>
                <w:szCs w:val="20"/>
                <w:color w:val="auto"/>
              </w:rPr>
            </w:pPr>
            <w:r>
              <w:rPr>
                <w:rFonts w:ascii="Arial" w:cs="Arial" w:eastAsia="Arial" w:hAnsi="Arial"/>
                <w:sz w:val="15"/>
                <w:szCs w:val="15"/>
                <w:color w:val="auto"/>
              </w:rPr>
              <w:t>share</w:t>
            </w:r>
          </w:p>
        </w:tc>
        <w:tc>
          <w:tcPr>
            <w:tcW w:w="9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5.8%</w:t>
            </w:r>
          </w:p>
        </w:tc>
        <w:tc>
          <w:tcPr>
            <w:tcW w:w="6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ind w:right="407"/>
              <w:spacing w:after="0"/>
              <w:rPr>
                <w:sz w:val="20"/>
                <w:szCs w:val="20"/>
                <w:color w:val="auto"/>
              </w:rPr>
            </w:pPr>
            <w:r>
              <w:rPr>
                <w:rFonts w:ascii="Arial" w:cs="Arial" w:eastAsia="Arial" w:hAnsi="Arial"/>
                <w:sz w:val="15"/>
                <w:szCs w:val="15"/>
                <w:color w:val="auto"/>
              </w:rPr>
              <w:t>Not Meaningful</w:t>
            </w: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12.5%</w:t>
            </w: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rPr>
              <w:t>2.8%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81"/>
        </w:trPr>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- 3 -</w:t>
            </w: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7267575</wp:posOffset>
            </wp:positionH>
            <wp:positionV relativeFrom="paragraph">
              <wp:posOffset>-12700</wp:posOffset>
            </wp:positionV>
            <wp:extent cx="127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540"/>
          </w:cols>
          <w:pgMar w:left="220" w:top="441" w:right="139" w:bottom="1440" w:gutter="0" w:footer="0" w:header="0"/>
        </w:sectPr>
      </w:pPr>
    </w:p>
    <w:bookmarkStart w:id="3" w:name="page4"/>
    <w:bookmarkEnd w:id="3"/>
    <w:p>
      <w:pPr>
        <w:ind w:left="5260"/>
        <w:spacing w:after="0"/>
        <w:rPr>
          <w:sz w:val="20"/>
          <w:szCs w:val="20"/>
          <w:color w:val="auto"/>
        </w:rPr>
      </w:pPr>
      <w:r>
        <w:rPr>
          <w:rFonts w:ascii="Arial" w:cs="Arial" w:eastAsia="Arial" w:hAnsi="Arial"/>
          <w:sz w:val="15"/>
          <w:szCs w:val="15"/>
          <w:b w:val="1"/>
          <w:bCs w:val="1"/>
          <w:color w:val="auto"/>
        </w:rPr>
        <w:t>SIGNATURES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17" w:lineRule="exact"/>
        <w:rPr>
          <w:sz w:val="20"/>
          <w:szCs w:val="20"/>
          <w:color w:val="auto"/>
        </w:rPr>
      </w:pPr>
    </w:p>
    <w:p>
      <w:pPr>
        <w:ind w:left="4340"/>
        <w:spacing w:after="0"/>
        <w:rPr>
          <w:sz w:val="20"/>
          <w:szCs w:val="20"/>
          <w:color w:val="auto"/>
        </w:rPr>
      </w:pPr>
      <w:r>
        <w:rPr>
          <w:rFonts w:ascii="Arial" w:cs="Arial" w:eastAsia="Arial" w:hAnsi="Arial"/>
          <w:sz w:val="15"/>
          <w:szCs w:val="15"/>
          <w:b w:val="1"/>
          <w:bCs w:val="1"/>
          <w:color w:val="auto"/>
        </w:rPr>
        <w:t>CLEARONE COMMUNICATIONS, INC.</w:t>
      </w:r>
    </w:p>
    <w:p>
      <w:pPr>
        <w:spacing w:after="0" w:line="200" w:lineRule="exact"/>
        <w:rPr>
          <w:sz w:val="20"/>
          <w:szCs w:val="20"/>
          <w:color w:val="auto"/>
        </w:rPr>
      </w:pPr>
    </w:p>
    <w:p>
      <w:pPr>
        <w:spacing w:after="0" w:line="329" w:lineRule="exact"/>
        <w:rPr>
          <w:sz w:val="20"/>
          <w:szCs w:val="20"/>
          <w:color w:val="auto"/>
        </w:rPr>
      </w:pPr>
    </w:p>
    <w:p>
      <w:pPr>
        <w:spacing w:after="0"/>
        <w:tabs>
          <w:tab w:leader="none" w:pos="4320" w:val="left"/>
          <w:tab w:leader="none" w:pos="5080" w:val="left"/>
        </w:tabs>
        <w:rPr>
          <w:sz w:val="20"/>
          <w:szCs w:val="20"/>
          <w:color w:val="auto"/>
        </w:rPr>
      </w:pPr>
      <w:r>
        <w:rPr>
          <w:rFonts w:ascii="Arial" w:cs="Arial" w:eastAsia="Arial" w:hAnsi="Arial"/>
          <w:sz w:val="15"/>
          <w:szCs w:val="15"/>
          <w:color w:val="auto"/>
        </w:rPr>
        <w:t>Date: September 9, 2009</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3242945</wp:posOffset>
            </wp:positionH>
            <wp:positionV relativeFrom="paragraph">
              <wp:posOffset>8255</wp:posOffset>
            </wp:positionV>
            <wp:extent cx="4034155" cy="13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34155" cy="13970"/>
                    </a:xfrm>
                    <a:prstGeom prst="rect">
                      <a:avLst/>
                    </a:prstGeom>
                    <a:noFill/>
                  </pic:spPr>
                </pic:pic>
              </a:graphicData>
            </a:graphic>
          </wp:anchor>
        </w:drawing>
      </w:r>
    </w:p>
    <w:p>
      <w:pPr>
        <w:spacing w:after="0" w:line="4" w:lineRule="exact"/>
        <w:rPr>
          <w:sz w:val="20"/>
          <w:szCs w:val="20"/>
          <w:color w:val="auto"/>
        </w:rPr>
      </w:pPr>
    </w:p>
    <w:p>
      <w:pPr>
        <w:ind w:left="5100"/>
        <w:spacing w:after="0"/>
        <w:rPr>
          <w:sz w:val="20"/>
          <w:szCs w:val="20"/>
          <w:color w:val="auto"/>
        </w:rPr>
      </w:pPr>
      <w:r>
        <w:rPr>
          <w:rFonts w:ascii="Arial" w:cs="Arial" w:eastAsia="Arial" w:hAnsi="Arial"/>
          <w:sz w:val="15"/>
          <w:szCs w:val="15"/>
          <w:color w:val="auto"/>
        </w:rPr>
        <w:t>Zeynep Hakimoglu</w:t>
      </w:r>
    </w:p>
    <w:p>
      <w:pPr>
        <w:spacing w:after="0" w:line="11" w:lineRule="exact"/>
        <w:rPr>
          <w:sz w:val="20"/>
          <w:szCs w:val="20"/>
          <w:color w:val="auto"/>
        </w:rPr>
      </w:pPr>
    </w:p>
    <w:p>
      <w:pPr>
        <w:ind w:left="5100"/>
        <w:spacing w:after="0"/>
        <w:rPr>
          <w:sz w:val="20"/>
          <w:szCs w:val="20"/>
          <w:color w:val="auto"/>
        </w:rPr>
      </w:pPr>
      <w:r>
        <w:rPr>
          <w:rFonts w:ascii="Arial" w:cs="Arial" w:eastAsia="Arial" w:hAnsi="Arial"/>
          <w:sz w:val="15"/>
          <w:szCs w:val="15"/>
          <w:color w:val="auto"/>
        </w:rPr>
        <w:t>Chairman, President and Chief Executive Officer</w:t>
      </w:r>
    </w:p>
    <w:p>
      <w:pPr>
        <w:spacing w:after="0" w:line="200" w:lineRule="exact"/>
        <w:rPr>
          <w:sz w:val="20"/>
          <w:szCs w:val="20"/>
          <w:color w:val="auto"/>
        </w:rPr>
      </w:pPr>
    </w:p>
    <w:p>
      <w:pPr>
        <w:spacing w:after="0" w:line="35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- 4 -</w:t>
      </w:r>
    </w:p>
    <w:sectPr>
      <w:pgSz w:w="11900" w:h="16838" w:orient="portrait"/>
      <w:cols w:equalWidth="0" w:num="1">
        <w:col w:w="10580"/>
      </w:cols>
      <w:pgMar w:left="220" w:top="637"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2019-12-10T08:25:22Z</dcterms:created>
  <dcterms:modified xsi:type="dcterms:W3CDTF">2019-12-10T08:25:22Z</dcterms:modified>
</cp:coreProperties>
</file>