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586220"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May 4, 2011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18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001-33660</w:t>
            </w:r>
          </w:p>
        </w:tc>
        <w:tc>
          <w:tcPr>
            <w:tcW w:w="520" w:type="dxa"/>
            <w:vAlign w:val="bottom"/>
          </w:tcPr>
          <w:p>
            <w:pPr>
              <w:spacing w:after="0"/>
              <w:rPr>
                <w:sz w:val="20"/>
                <w:szCs w:val="20"/>
                <w:color w:val="auto"/>
              </w:rPr>
            </w:pPr>
          </w:p>
        </w:tc>
        <w:tc>
          <w:tcPr>
            <w:tcW w:w="4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198"/>
        </w:trPr>
        <w:tc>
          <w:tcPr>
            <w:tcW w:w="5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520" w:type="dxa"/>
            <w:vAlign w:val="bottom"/>
          </w:tcPr>
          <w:p>
            <w:pPr>
              <w:spacing w:after="0"/>
              <w:rPr>
                <w:sz w:val="17"/>
                <w:szCs w:val="17"/>
                <w:color w:val="auto"/>
              </w:rPr>
            </w:pPr>
          </w:p>
        </w:tc>
        <w:tc>
          <w:tcPr>
            <w:tcW w:w="46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2"/>
              </w:rPr>
              <w:t>(I.R.S. employer</w:t>
            </w:r>
          </w:p>
        </w:tc>
      </w:tr>
      <w:tr>
        <w:trPr>
          <w:trHeight w:val="234"/>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441"/>
        </w:trPr>
        <w:tc>
          <w:tcPr>
            <w:tcW w:w="57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0"/>
              </w:rPr>
              <w:t>5225 Wiley Post Way, Suite 500</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1"/>
        </w:trPr>
        <w:tc>
          <w:tcPr>
            <w:tcW w:w="57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3"/>
              </w:rPr>
              <w:t>Salt Lake City, Utah</w:t>
            </w:r>
          </w:p>
        </w:tc>
        <w:tc>
          <w:tcPr>
            <w:tcW w:w="466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84116</w:t>
            </w:r>
          </w:p>
        </w:tc>
      </w:tr>
      <w:tr>
        <w:trPr>
          <w:trHeight w:val="234"/>
        </w:trPr>
        <w:tc>
          <w:tcPr>
            <w:tcW w:w="5700" w:type="dxa"/>
            <w:vAlign w:val="bottom"/>
            <w:tcBorders>
              <w:top w:val="single" w:sz="8" w:color="auto"/>
            </w:tcBorders>
            <w:gridSpan w:val="2"/>
          </w:tcPr>
          <w:p>
            <w:pPr>
              <w:jc w:val="center"/>
              <w:ind w:lef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22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1002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102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1"/>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10020" w:type="dxa"/>
            <w:vAlign w:val="bottom"/>
          </w:tcPr>
          <w:p>
            <w:pPr>
              <w:ind w:left="60"/>
              <w:spacing w:after="0"/>
              <w:rPr>
                <w:sz w:val="20"/>
                <w:szCs w:val="20"/>
                <w:color w:val="auto"/>
              </w:rPr>
            </w:pPr>
            <w:r>
              <w:rPr>
                <w:rFonts w:ascii="Arial" w:cs="Arial" w:eastAsia="Arial" w:hAnsi="Arial"/>
                <w:sz w:val="22"/>
                <w:szCs w:val="22"/>
                <w:color w:val="auto"/>
                <w:w w:val="92"/>
              </w:rPr>
              <w:t>Pre-commencement communication pursuant to Rule 13e-4(c) under the Exchange Act (17 CFR 240.13e-4(c))</w:t>
            </w:r>
          </w:p>
        </w:tc>
      </w:tr>
      <w:tr>
        <w:trPr>
          <w:trHeight w:val="584"/>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35"/>
        </w:trPr>
        <w:tc>
          <w:tcPr>
            <w:tcW w:w="160" w:type="dxa"/>
            <w:vAlign w:val="bottom"/>
            <w:shd w:val="clear" w:color="auto" w:fill="808080"/>
          </w:tcPr>
          <w:p>
            <w:pPr>
              <w:spacing w:after="0"/>
              <w:rPr>
                <w:sz w:val="11"/>
                <w:szCs w:val="11"/>
                <w:color w:val="auto"/>
              </w:rPr>
            </w:pPr>
          </w:p>
        </w:tc>
        <w:tc>
          <w:tcPr>
            <w:tcW w:w="200" w:type="dxa"/>
            <w:vAlign w:val="bottom"/>
            <w:shd w:val="clear" w:color="auto" w:fill="808080"/>
          </w:tcPr>
          <w:p>
            <w:pPr>
              <w:spacing w:after="0"/>
              <w:rPr>
                <w:sz w:val="11"/>
                <w:szCs w:val="11"/>
                <w:color w:val="auto"/>
              </w:rPr>
            </w:pPr>
          </w:p>
        </w:tc>
        <w:tc>
          <w:tcPr>
            <w:tcW w:w="10020" w:type="dxa"/>
            <w:vAlign w:val="bottom"/>
            <w:shd w:val="clear" w:color="auto" w:fill="808080"/>
          </w:tcPr>
          <w:p>
            <w:pPr>
              <w:spacing w:after="0"/>
              <w:rPr>
                <w:sz w:val="11"/>
                <w:szCs w:val="11"/>
                <w:color w:val="auto"/>
              </w:rPr>
            </w:pPr>
          </w:p>
        </w:tc>
      </w:tr>
    </w:tbl>
    <w:p>
      <w:pPr>
        <w:sectPr>
          <w:pgSz w:w="11900" w:h="16838" w:orient="portrait"/>
          <w:cols w:equalWidth="0" w:num="1">
            <w:col w:w="10380"/>
          </w:cols>
          <w:pgMar w:left="240" w:top="504" w:right="1279" w:bottom="1440" w:gutter="0" w:footer="0" w:header="0"/>
        </w:sectPr>
      </w:pPr>
    </w:p>
    <w:bookmarkStart w:id="2" w:name="page3"/>
    <w:bookmarkEnd w:id="2"/>
    <w:p>
      <w:pPr>
        <w:ind w:left="20"/>
        <w:spacing w:after="0"/>
        <w:tabs>
          <w:tab w:leader="none" w:pos="13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connection with the closing of the NetStreams, Inc. acquisition, on November 3, 2009, we entered into a Joinder to the Loan and Security Agreement (the “Joinder”) with Square 1 Bank (the “Bank”), and became an additional borrower under the Loan and Security Agreement dated November 12, 2008, as amended (the “Loan Agreement”), by and between the Bank, and NetStreams, Inc. and NetStreams, LLC (collectively, “NetStreams”). Under the terms of the Joinder, we assumed the liability of NetStreams under the Loan Agreement in the amount of $2,000,000, which we repaid in March 2010. As of May 4, 2011, we and the Bank terminated the Loan Agreement and the Joinder and we repaid all remaining outstanding obligations, which consisted solely of the Bank’s expenses in connection with the restructuring of the loan facility and amending and restating the Loan Agreement, and termination of all security interests and liens held by the Bank under the Loan Agreement. In connection with our repayment of the remaining outstanding obligations, all of our indebtedness and obligations to the Bank were discharged in full and the Bank will terminate all security interests and other liens held as security under the Loan Agreement. A description of the terms and conditions of the Joinder and the Loan Agreement appears in our Current Report on Form 8-K filed on November 9, 2009,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3920" w:val="left"/>
          <w:tab w:leader="none" w:pos="462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6360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380"/>
      </w:cols>
      <w:pgMar w:left="240" w:top="36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2019-12-10T09:56:26Z</dcterms:created>
  <dcterms:modified xsi:type="dcterms:W3CDTF">2019-12-10T09:56:26Z</dcterms:modified>
</cp:coreProperties>
</file>