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uto" w:line="288" w:before="0" w:after="0"/>
        <w:ind w:left="144" w:right="144" w:hanging="0"/>
        <w:jc w:val="center"/>
        <w:rPr>
          <w:rFonts w:ascii="Times New Roman" w:hAnsi="Times New Roman"/>
          <w:b/>
          <w:sz w:val="24"/>
        </w:rPr>
      </w:pPr>
      <w:bookmarkStart w:id="0" w:name="clro-20250930.htm"/>
      <w:bookmarkStart w:id="1" w:name="ksclro20250930"/>
      <w:bookmarkEnd w:id="0"/>
      <w:bookmarkEnd w:id="1"/>
      <w:r>
        <w:rPr>
          <w:rFonts w:ascii="Times New Roman" w:hAnsi="Times New Roman"/>
          <w:b/>
          <w:sz w:val="24"/>
        </w:rPr>
        <w:t>UNITED STATES SECURITIES AND EXCHANGE COMMISSION</w:t>
      </w:r>
    </w:p>
    <w:p>
      <w:pPr>
        <w:pStyle w:val="TextBody"/>
        <w:bidi w:val="0"/>
        <w:spacing w:lineRule="auto" w:line="288" w:before="0" w:after="0"/>
        <w:ind w:left="438" w:right="438" w:hanging="0"/>
        <w:jc w:val="center"/>
        <w:rPr>
          <w:rFonts w:ascii="Times New Roman" w:hAnsi="Times New Roman"/>
          <w:b/>
          <w:sz w:val="20"/>
        </w:rPr>
      </w:pPr>
      <w:r>
        <w:rPr>
          <w:rFonts w:ascii="Times New Roman" w:hAnsi="Times New Roman"/>
          <w:b/>
          <w:sz w:val="20"/>
        </w:rPr>
        <w:t>WASHINGTON, D.C. 20549</w:t>
      </w:r>
    </w:p>
    <w:p>
      <w:pPr>
        <w:pStyle w:val="TextBody"/>
        <w:bidi w:val="0"/>
        <w:spacing w:lineRule="auto" w:line="288" w:before="0" w:after="0"/>
        <w:ind w:left="438" w:right="438" w:hanging="0"/>
        <w:jc w:val="center"/>
        <w:rPr/>
      </w:pPr>
      <w:r>
        <w:rPr/>
        <w:t> </w:t>
      </w:r>
    </w:p>
    <w:p>
      <w:pPr>
        <w:pStyle w:val="TextBody"/>
        <w:bidi w:val="0"/>
        <w:spacing w:lineRule="auto" w:line="288" w:before="0" w:after="0"/>
        <w:ind w:left="438" w:right="438" w:hanging="0"/>
        <w:jc w:val="center"/>
        <w:rPr>
          <w:rFonts w:ascii="Times New Roman" w:hAnsi="Times New Roman"/>
          <w:b/>
          <w:sz w:val="36"/>
        </w:rPr>
      </w:pPr>
      <w:r>
        <w:rPr>
          <w:rFonts w:ascii="Times New Roman" w:hAnsi="Times New Roman"/>
          <w:b/>
          <w:sz w:val="36"/>
        </w:rPr>
        <w:t>Form 10-Q</w:t>
      </w:r>
    </w:p>
    <w:p>
      <w:pPr>
        <w:pStyle w:val="TextBody"/>
        <w:bidi w:val="0"/>
        <w:spacing w:lineRule="auto" w:line="288" w:before="0" w:after="0"/>
        <w:ind w:left="438" w:right="438" w:hanging="0"/>
        <w:jc w:val="center"/>
        <w:rPr/>
      </w:pPr>
      <w:r>
        <w:rPr/>
        <w:t> </w:t>
      </w:r>
    </w:p>
    <w:p>
      <w:pPr>
        <w:pStyle w:val="TextBody"/>
        <w:bidi w:val="0"/>
        <w:spacing w:lineRule="auto" w:line="288" w:before="0" w:after="0"/>
        <w:ind w:left="504" w:right="144" w:hanging="0"/>
        <w:jc w:val="both"/>
        <w:rPr>
          <w:rFonts w:ascii="Times New Roman" w:hAnsi="Times New Roman"/>
          <w:sz w:val="20"/>
        </w:rPr>
      </w:pPr>
      <w:r>
        <w:rPr>
          <w:rFonts w:ascii="Times New Roman" w:hAnsi="Times New Roman"/>
          <w:sz w:val="20"/>
        </w:rPr>
        <w:t>(Mark One)</w:t>
      </w:r>
    </w:p>
    <w:p>
      <w:pPr>
        <w:pStyle w:val="TextBody"/>
        <w:bidi w:val="0"/>
        <w:spacing w:lineRule="auto" w:line="288" w:before="0" w:after="0"/>
        <w:ind w:left="504" w:right="144" w:hanging="0"/>
        <w:jc w:val="both"/>
        <w:rPr/>
      </w:pPr>
      <w:r>
        <w:rPr/>
        <w:t> </w:t>
      </w:r>
    </w:p>
    <w:tbl>
      <w:tblPr>
        <w:tblW w:w="5000" w:type="pct"/>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ind w:left="0" w:right="0" w:hanging="0"/>
              <w:jc w:val="left"/>
              <w:rPr/>
            </w:pPr>
            <w:r>
              <w:rPr/>
              <w:t>☒</w:t>
            </w:r>
          </w:p>
        </w:tc>
        <w:tc>
          <w:tcPr>
            <w:tcW w:w="9960" w:type="dxa"/>
            <w:tcBorders/>
            <w:vAlign w:val="center"/>
          </w:tcPr>
          <w:p>
            <w:pPr>
              <w:pStyle w:val="TableContents"/>
              <w:bidi w:val="0"/>
              <w:spacing w:before="0" w:after="0"/>
              <w:ind w:left="0" w:right="0" w:hanging="0"/>
              <w:jc w:val="both"/>
              <w:rPr>
                <w:rFonts w:ascii="Times New Roman" w:hAnsi="Times New Roman"/>
                <w:b/>
                <w:sz w:val="20"/>
              </w:rPr>
            </w:pPr>
            <w:r>
              <w:rPr>
                <w:rFonts w:ascii="Times New Roman" w:hAnsi="Times New Roman"/>
                <w:b/>
                <w:sz w:val="20"/>
              </w:rPr>
              <w:t>QUARTERLY REPORT PURSUANT TO SECTION 13 OR 15(D) OF THE SECURITIES EXCHANGE ACT OF 1934</w:t>
            </w:r>
          </w:p>
        </w:tc>
      </w:tr>
      <w:tr>
        <w:trPr/>
        <w:tc>
          <w:tcPr>
            <w:tcW w:w="245" w:type="dxa"/>
            <w:tcBorders/>
            <w:vAlign w:val="center"/>
          </w:tcPr>
          <w:p>
            <w:pPr>
              <w:pStyle w:val="TableContents"/>
              <w:bidi w:val="0"/>
              <w:spacing w:before="0" w:after="0"/>
              <w:ind w:left="0" w:right="0" w:hanging="0"/>
              <w:jc w:val="left"/>
              <w:rPr/>
            </w:pPr>
            <w:r>
              <w:rPr/>
              <w:t> </w:t>
            </w:r>
          </w:p>
        </w:tc>
        <w:tc>
          <w:tcPr>
            <w:tcW w:w="9960" w:type="dxa"/>
            <w:tcBorders/>
            <w:vAlign w:val="center"/>
          </w:tcPr>
          <w:p>
            <w:pPr>
              <w:pStyle w:val="TableContents"/>
              <w:bidi w:val="0"/>
              <w:spacing w:before="0" w:after="0"/>
              <w:ind w:left="0" w:right="0" w:hanging="0"/>
              <w:jc w:val="both"/>
              <w:rPr/>
            </w:pPr>
            <w:r>
              <w:rPr>
                <w:rFonts w:ascii="Times New Roman" w:hAnsi="Times New Roman"/>
                <w:sz w:val="20"/>
              </w:rPr>
              <w:t xml:space="preserve">For the quarterly period ended </w:t>
            </w:r>
            <w:r>
              <w:rPr>
                <w:rFonts w:ascii="Times New Roman" w:hAnsi="Times New Roman"/>
                <w:sz w:val="20"/>
                <w:u w:val="single"/>
              </w:rPr>
              <w:t>September 30, 2025</w:t>
            </w:r>
          </w:p>
        </w:tc>
      </w:tr>
      <w:tr>
        <w:trPr/>
        <w:tc>
          <w:tcPr>
            <w:tcW w:w="245" w:type="dxa"/>
            <w:tcBorders/>
            <w:vAlign w:val="center"/>
          </w:tcPr>
          <w:p>
            <w:pPr>
              <w:pStyle w:val="TableContents"/>
              <w:bidi w:val="0"/>
              <w:spacing w:before="0" w:after="0"/>
              <w:ind w:left="0" w:right="0" w:hanging="0"/>
              <w:jc w:val="left"/>
              <w:rPr/>
            </w:pPr>
            <w:r>
              <w:rPr/>
              <w:t> </w:t>
            </w:r>
          </w:p>
        </w:tc>
        <w:tc>
          <w:tcPr>
            <w:tcW w:w="9960" w:type="dxa"/>
            <w:tcBorders/>
            <w:vAlign w:val="center"/>
          </w:tcPr>
          <w:p>
            <w:pPr>
              <w:pStyle w:val="TableContents"/>
              <w:bidi w:val="0"/>
              <w:spacing w:before="0" w:after="0"/>
              <w:ind w:left="0" w:right="0" w:hanging="0"/>
              <w:jc w:val="both"/>
              <w:rPr/>
            </w:pPr>
            <w:r>
              <w:rPr/>
              <w:t> </w:t>
            </w:r>
          </w:p>
        </w:tc>
      </w:tr>
      <w:tr>
        <w:trPr/>
        <w:tc>
          <w:tcPr>
            <w:tcW w:w="245" w:type="dxa"/>
            <w:tcBorders/>
            <w:vAlign w:val="center"/>
          </w:tcPr>
          <w:p>
            <w:pPr>
              <w:pStyle w:val="TableContents"/>
              <w:bidi w:val="0"/>
              <w:spacing w:before="0" w:after="0"/>
              <w:ind w:left="0" w:right="0" w:hanging="0"/>
              <w:jc w:val="left"/>
              <w:rPr/>
            </w:pPr>
            <w:r>
              <w:rPr/>
              <w:t>☐</w:t>
            </w:r>
          </w:p>
        </w:tc>
        <w:tc>
          <w:tcPr>
            <w:tcW w:w="9960" w:type="dxa"/>
            <w:tcBorders/>
            <w:vAlign w:val="center"/>
          </w:tcPr>
          <w:p>
            <w:pPr>
              <w:pStyle w:val="TableContents"/>
              <w:bidi w:val="0"/>
              <w:spacing w:before="0" w:after="0"/>
              <w:ind w:left="0" w:right="0" w:hanging="0"/>
              <w:jc w:val="both"/>
              <w:rPr>
                <w:rFonts w:ascii="Times New Roman" w:hAnsi="Times New Roman"/>
                <w:b/>
                <w:sz w:val="20"/>
              </w:rPr>
            </w:pPr>
            <w:r>
              <w:rPr>
                <w:rFonts w:ascii="Times New Roman" w:hAnsi="Times New Roman"/>
                <w:b/>
                <w:sz w:val="20"/>
              </w:rPr>
              <w:t>TRANSITION REPORT PURSUANT TO SECTION 13 OR 15(d) OF THE SECURITIES EXCHANGE ACT OF 1934</w:t>
            </w:r>
          </w:p>
        </w:tc>
      </w:tr>
      <w:tr>
        <w:trPr/>
        <w:tc>
          <w:tcPr>
            <w:tcW w:w="245" w:type="dxa"/>
            <w:tcBorders/>
            <w:vAlign w:val="center"/>
          </w:tcPr>
          <w:p>
            <w:pPr>
              <w:pStyle w:val="TableContents"/>
              <w:bidi w:val="0"/>
              <w:spacing w:before="0" w:after="0"/>
              <w:ind w:left="0" w:right="0" w:hanging="0"/>
              <w:jc w:val="left"/>
              <w:rPr/>
            </w:pPr>
            <w:r>
              <w:rPr/>
              <w:t> </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For the transition period _______ to _______</w:t>
            </w:r>
          </w:p>
        </w:tc>
      </w:tr>
    </w:tbl>
    <w:p>
      <w:pPr>
        <w:pStyle w:val="TextBody"/>
        <w:bidi w:val="0"/>
        <w:spacing w:lineRule="auto" w:line="288" w:before="0" w:after="0"/>
        <w:ind w:left="438" w:right="438" w:firstLine="55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Commission file number:</w:t>
      </w:r>
      <w:r>
        <w:rPr>
          <w:rFonts w:ascii="Times New Roman" w:hAnsi="Times New Roman"/>
          <w:b/>
          <w:sz w:val="20"/>
          <w:u w:val="single"/>
        </w:rPr>
        <w:t>001-33660</w:t>
      </w:r>
    </w:p>
    <w:p>
      <w:pPr>
        <w:pStyle w:val="TextBody"/>
        <w:bidi w:val="0"/>
        <w:spacing w:lineRule="auto" w:line="288" w:before="0" w:after="0"/>
        <w:ind w:left="144" w:right="144" w:hanging="0"/>
        <w:jc w:val="center"/>
        <w:rPr>
          <w:rFonts w:ascii="Times New Roman" w:hAnsi="Times New Roman"/>
          <w:b/>
          <w:sz w:val="36"/>
        </w:rPr>
      </w:pPr>
      <w:r>
        <w:rPr>
          <w:rFonts w:ascii="Times New Roman" w:hAnsi="Times New Roman"/>
          <w:b/>
          <w:sz w:val="36"/>
        </w:rPr>
        <w:t>CLEARONE, INC.</w:t>
      </w:r>
    </w:p>
    <w:p>
      <w:pPr>
        <w:pStyle w:val="TextBody"/>
        <w:bidi w:val="0"/>
        <w:spacing w:lineRule="auto" w:line="288" w:before="0" w:after="0"/>
        <w:ind w:left="144" w:right="144" w:hanging="0"/>
        <w:jc w:val="center"/>
        <w:rPr>
          <w:rFonts w:ascii="Times New Roman" w:hAnsi="Times New Roman"/>
          <w:sz w:val="20"/>
        </w:rPr>
      </w:pPr>
      <w:r>
        <w:rPr>
          <w:rFonts w:ascii="Times New Roman" w:hAnsi="Times New Roman"/>
          <w:sz w:val="20"/>
        </w:rPr>
        <w:t>(Exact name of registrant as specified in its charter)</w:t>
      </w:r>
    </w:p>
    <w:p>
      <w:pPr>
        <w:pStyle w:val="TextBody"/>
        <w:bidi w:val="0"/>
        <w:spacing w:lineRule="auto" w:line="288" w:before="0" w:after="0"/>
        <w:ind w:left="144" w:right="144" w:hanging="0"/>
        <w:jc w:val="center"/>
        <w:rPr/>
      </w:pPr>
      <w:r>
        <w:rPr/>
        <w:t> </w:t>
      </w:r>
    </w:p>
    <w:tbl>
      <w:tblPr>
        <w:tblW w:w="5000" w:type="pct"/>
        <w:jc w:val="left"/>
        <w:tblInd w:w="0" w:type="dxa"/>
        <w:tblLayout w:type="fixed"/>
        <w:tblCellMar>
          <w:top w:w="0" w:type="dxa"/>
          <w:left w:w="0" w:type="dxa"/>
          <w:bottom w:w="0" w:type="dxa"/>
          <w:right w:w="0" w:type="dxa"/>
        </w:tblCellMar>
      </w:tblPr>
      <w:tblGrid>
        <w:gridCol w:w="6106"/>
        <w:gridCol w:w="75"/>
        <w:gridCol w:w="4024"/>
      </w:tblGrid>
      <w:tr>
        <w:trPr/>
        <w:tc>
          <w:tcPr>
            <w:tcW w:w="6106"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Delaware</w:t>
            </w:r>
          </w:p>
        </w:tc>
        <w:tc>
          <w:tcPr>
            <w:tcW w:w="75" w:type="dxa"/>
            <w:tcBorders/>
            <w:vAlign w:val="center"/>
          </w:tcPr>
          <w:p>
            <w:pPr>
              <w:pStyle w:val="TableContents"/>
              <w:bidi w:val="0"/>
              <w:spacing w:before="0" w:after="0"/>
              <w:ind w:left="0" w:right="0" w:hanging="0"/>
              <w:jc w:val="center"/>
              <w:rPr/>
            </w:pPr>
            <w:r>
              <w:rPr/>
              <w:t> </w:t>
            </w:r>
          </w:p>
        </w:tc>
        <w:tc>
          <w:tcPr>
            <w:tcW w:w="4024"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87-0398877</w:t>
            </w:r>
          </w:p>
        </w:tc>
      </w:tr>
      <w:tr>
        <w:trPr/>
        <w:tc>
          <w:tcPr>
            <w:tcW w:w="6106"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(State or other jurisdiction of incorporation or organization)</w:t>
            </w:r>
          </w:p>
        </w:tc>
        <w:tc>
          <w:tcPr>
            <w:tcW w:w="75" w:type="dxa"/>
            <w:tcBorders/>
            <w:vAlign w:val="center"/>
          </w:tcPr>
          <w:p>
            <w:pPr>
              <w:pStyle w:val="TableContents"/>
              <w:bidi w:val="0"/>
              <w:spacing w:before="0" w:after="0"/>
              <w:ind w:left="0" w:right="0" w:hanging="0"/>
              <w:jc w:val="center"/>
              <w:rPr/>
            </w:pPr>
            <w:r>
              <w:rPr/>
              <w:t> </w:t>
            </w:r>
          </w:p>
        </w:tc>
        <w:tc>
          <w:tcPr>
            <w:tcW w:w="4024"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(I.R.S. employer identification number)</w:t>
            </w:r>
          </w:p>
        </w:tc>
      </w:tr>
      <w:tr>
        <w:trPr/>
        <w:tc>
          <w:tcPr>
            <w:tcW w:w="6106" w:type="dxa"/>
            <w:tcBorders/>
            <w:vAlign w:val="center"/>
          </w:tcPr>
          <w:p>
            <w:pPr>
              <w:pStyle w:val="TableContents"/>
              <w:bidi w:val="0"/>
              <w:spacing w:before="0" w:after="0"/>
              <w:ind w:left="0" w:right="0" w:hanging="0"/>
              <w:jc w:val="center"/>
              <w:rPr/>
            </w:pPr>
            <w:r>
              <w:rPr/>
              <w:t> </w:t>
            </w:r>
          </w:p>
        </w:tc>
        <w:tc>
          <w:tcPr>
            <w:tcW w:w="75" w:type="dxa"/>
            <w:tcBorders/>
            <w:vAlign w:val="center"/>
          </w:tcPr>
          <w:p>
            <w:pPr>
              <w:pStyle w:val="TableContents"/>
              <w:bidi w:val="0"/>
              <w:spacing w:before="0" w:after="0"/>
              <w:ind w:left="0" w:right="0" w:hanging="0"/>
              <w:jc w:val="center"/>
              <w:rPr/>
            </w:pPr>
            <w:r>
              <w:rPr/>
              <w:t> </w:t>
            </w:r>
          </w:p>
        </w:tc>
        <w:tc>
          <w:tcPr>
            <w:tcW w:w="4024" w:type="dxa"/>
            <w:tcBorders/>
            <w:vAlign w:val="center"/>
          </w:tcPr>
          <w:p>
            <w:pPr>
              <w:pStyle w:val="TableContents"/>
              <w:bidi w:val="0"/>
              <w:spacing w:before="0" w:after="0"/>
              <w:ind w:left="0" w:right="0" w:hanging="0"/>
              <w:jc w:val="center"/>
              <w:rPr/>
            </w:pPr>
            <w:r>
              <w:rPr/>
              <w:t> </w:t>
            </w:r>
          </w:p>
        </w:tc>
      </w:tr>
      <w:tr>
        <w:trPr/>
        <w:tc>
          <w:tcPr>
            <w:tcW w:w="6106"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5225 Wiley Post Way, Suite 500, Salt Lake City, Utah</w:t>
            </w:r>
          </w:p>
        </w:tc>
        <w:tc>
          <w:tcPr>
            <w:tcW w:w="75" w:type="dxa"/>
            <w:tcBorders/>
            <w:vAlign w:val="center"/>
          </w:tcPr>
          <w:p>
            <w:pPr>
              <w:pStyle w:val="TableContents"/>
              <w:bidi w:val="0"/>
              <w:spacing w:before="0" w:after="0"/>
              <w:ind w:left="0" w:right="0" w:hanging="0"/>
              <w:jc w:val="center"/>
              <w:rPr/>
            </w:pPr>
            <w:r>
              <w:rPr/>
              <w:t> </w:t>
            </w:r>
          </w:p>
        </w:tc>
        <w:tc>
          <w:tcPr>
            <w:tcW w:w="4024"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84116</w:t>
            </w:r>
          </w:p>
        </w:tc>
      </w:tr>
      <w:tr>
        <w:trPr/>
        <w:tc>
          <w:tcPr>
            <w:tcW w:w="6106"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(Address of principal executive offices)</w:t>
            </w:r>
          </w:p>
        </w:tc>
        <w:tc>
          <w:tcPr>
            <w:tcW w:w="75" w:type="dxa"/>
            <w:tcBorders/>
            <w:vAlign w:val="center"/>
          </w:tcPr>
          <w:p>
            <w:pPr>
              <w:pStyle w:val="TableContents"/>
              <w:bidi w:val="0"/>
              <w:spacing w:before="0" w:after="0"/>
              <w:ind w:left="0" w:right="0" w:hanging="0"/>
              <w:jc w:val="center"/>
              <w:rPr/>
            </w:pPr>
            <w:r>
              <w:rPr/>
              <w:t> </w:t>
            </w:r>
          </w:p>
        </w:tc>
        <w:tc>
          <w:tcPr>
            <w:tcW w:w="4024"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(Zip Code)</w:t>
            </w:r>
          </w:p>
        </w:tc>
      </w:tr>
    </w:tbl>
    <w:p>
      <w:pPr>
        <w:pStyle w:val="TextBody"/>
        <w:bidi w:val="0"/>
        <w:spacing w:lineRule="auto" w:line="288" w:before="0" w:after="0"/>
        <w:ind w:left="144" w:right="144" w:hanging="0"/>
        <w:jc w:val="center"/>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 xml:space="preserve">Registrant’s telephone number, including area code: </w:t>
      </w:r>
      <w:r>
        <w:rPr>
          <w:rFonts w:ascii="Times New Roman" w:hAnsi="Times New Roman"/>
          <w:sz w:val="20"/>
          <w:u w:val="single"/>
        </w:rPr>
        <w:t>(801) 975-7200</w:t>
      </w:r>
    </w:p>
    <w:p>
      <w:pPr>
        <w:pStyle w:val="TextBody"/>
        <w:bidi w:val="0"/>
        <w:spacing w:lineRule="auto" w:line="288" w:before="0" w:after="0"/>
        <w:ind w:left="0" w:right="0" w:hanging="0"/>
        <w:jc w:val="center"/>
        <w:rPr/>
      </w:pPr>
      <w:r>
        <w:rPr/>
        <w:t> </w:t>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Securities registered pursuant to Section</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12(b) of the Act:</w:t>
      </w:r>
    </w:p>
    <w:p>
      <w:pPr>
        <w:pStyle w:val="TextBody"/>
        <w:widowControl/>
        <w:bidi w:val="0"/>
        <w:spacing w:before="0" w:after="0"/>
        <w:ind w:left="144" w:right="144" w:hanging="0"/>
        <w:jc w:val="left"/>
        <w:rPr>
          <w:caps w:val="false"/>
          <w:smallCaps w:val="false"/>
          <w:color w:val="000000"/>
          <w:spacing w:val="0"/>
        </w:rPr>
      </w:pPr>
      <w:r>
        <w:rPr>
          <w:caps w:val="false"/>
          <w:smallCaps w:val="false"/>
          <w:color w:val="000000"/>
          <w:spacing w:val="0"/>
        </w:rPr>
        <w:t> </w:t>
      </w:r>
    </w:p>
    <w:tbl>
      <w:tblPr>
        <w:tblW w:w="5000" w:type="pct"/>
        <w:jc w:val="left"/>
        <w:tblInd w:w="0" w:type="dxa"/>
        <w:tblLayout w:type="fixed"/>
        <w:tblCellMar>
          <w:top w:w="0" w:type="dxa"/>
          <w:left w:w="0" w:type="dxa"/>
          <w:bottom w:w="0" w:type="dxa"/>
          <w:right w:w="0" w:type="dxa"/>
        </w:tblCellMar>
      </w:tblPr>
      <w:tblGrid>
        <w:gridCol w:w="2623"/>
        <w:gridCol w:w="161"/>
        <w:gridCol w:w="2180"/>
        <w:gridCol w:w="161"/>
        <w:gridCol w:w="5080"/>
      </w:tblGrid>
      <w:tr>
        <w:trPr/>
        <w:tc>
          <w:tcPr>
            <w:tcW w:w="2623"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Title of each class</w:t>
            </w:r>
          </w:p>
        </w:tc>
        <w:tc>
          <w:tcPr>
            <w:tcW w:w="161" w:type="dxa"/>
            <w:tcBorders/>
            <w:vAlign w:val="center"/>
          </w:tcPr>
          <w:p>
            <w:pPr>
              <w:pStyle w:val="TableContents"/>
              <w:bidi w:val="0"/>
              <w:spacing w:before="0" w:after="0"/>
              <w:ind w:left="0" w:right="0" w:hanging="0"/>
              <w:jc w:val="left"/>
              <w:rPr/>
            </w:pPr>
            <w:r>
              <w:rPr/>
              <w:t>  </w:t>
            </w:r>
          </w:p>
        </w:tc>
        <w:tc>
          <w:tcPr>
            <w:tcW w:w="2180" w:type="dxa"/>
            <w:tcBorders/>
            <w:vAlign w:val="center"/>
          </w:tcPr>
          <w:p>
            <w:pPr>
              <w:pStyle w:val="TableContents"/>
              <w:bidi w:val="0"/>
              <w:spacing w:before="0" w:after="0"/>
              <w:ind w:left="0" w:right="0" w:hanging="0"/>
              <w:jc w:val="center"/>
              <w:rPr/>
            </w:pPr>
            <w:r>
              <w:rPr>
                <w:rFonts w:ascii="Times New Roman" w:hAnsi="Times New Roman"/>
                <w:b/>
                <w:sz w:val="20"/>
              </w:rPr>
              <w:t>Trading</w:t>
            </w:r>
            <w:r>
              <w:rPr/>
              <w:t> </w:t>
            </w:r>
            <w:r>
              <w:rPr>
                <w:rFonts w:ascii="Times New Roman" w:hAnsi="Times New Roman"/>
                <w:b/>
                <w:sz w:val="20"/>
              </w:rPr>
              <w:t>Symbol(s)</w:t>
            </w:r>
          </w:p>
        </w:tc>
        <w:tc>
          <w:tcPr>
            <w:tcW w:w="161" w:type="dxa"/>
            <w:tcBorders/>
            <w:vAlign w:val="center"/>
          </w:tcPr>
          <w:p>
            <w:pPr>
              <w:pStyle w:val="TableContents"/>
              <w:bidi w:val="0"/>
              <w:spacing w:before="0" w:after="0"/>
              <w:ind w:left="0" w:right="0" w:hanging="0"/>
              <w:jc w:val="left"/>
              <w:rPr/>
            </w:pPr>
            <w:r>
              <w:rPr/>
              <w:t>  </w:t>
            </w:r>
          </w:p>
        </w:tc>
        <w:tc>
          <w:tcPr>
            <w:tcW w:w="5080" w:type="dxa"/>
            <w:tcBorders/>
            <w:vAlign w:val="center"/>
          </w:tcPr>
          <w:p>
            <w:pPr>
              <w:pStyle w:val="TableContents"/>
              <w:bidi w:val="0"/>
              <w:spacing w:before="0" w:after="0"/>
              <w:ind w:left="0" w:right="0" w:hanging="0"/>
              <w:jc w:val="center"/>
              <w:rPr/>
            </w:pPr>
            <w:r>
              <w:rPr>
                <w:rFonts w:ascii="Times New Roman" w:hAnsi="Times New Roman"/>
                <w:b/>
                <w:sz w:val="20"/>
              </w:rPr>
              <w:t>Name</w:t>
            </w:r>
            <w:r>
              <w:rPr/>
              <w:t> </w:t>
            </w:r>
            <w:r>
              <w:rPr>
                <w:rFonts w:ascii="Times New Roman" w:hAnsi="Times New Roman"/>
                <w:b/>
                <w:sz w:val="20"/>
              </w:rPr>
              <w:t>of</w:t>
            </w:r>
            <w:r>
              <w:rPr/>
              <w:t> </w:t>
            </w:r>
            <w:r>
              <w:rPr>
                <w:rFonts w:ascii="Times New Roman" w:hAnsi="Times New Roman"/>
                <w:b/>
                <w:sz w:val="20"/>
              </w:rPr>
              <w:t>each</w:t>
            </w:r>
            <w:r>
              <w:rPr/>
              <w:t> </w:t>
            </w:r>
            <w:r>
              <w:rPr>
                <w:rFonts w:ascii="Times New Roman" w:hAnsi="Times New Roman"/>
                <w:b/>
                <w:sz w:val="20"/>
              </w:rPr>
              <w:t>exchange on</w:t>
            </w:r>
            <w:r>
              <w:rPr/>
              <w:t> </w:t>
            </w:r>
            <w:r>
              <w:rPr>
                <w:rFonts w:ascii="Times New Roman" w:hAnsi="Times New Roman"/>
                <w:b/>
                <w:sz w:val="20"/>
              </w:rPr>
              <w:t>which</w:t>
            </w:r>
            <w:r>
              <w:rPr/>
              <w:t> </w:t>
            </w:r>
            <w:r>
              <w:rPr>
                <w:rFonts w:ascii="Times New Roman" w:hAnsi="Times New Roman"/>
                <w:b/>
                <w:sz w:val="20"/>
              </w:rPr>
              <w:t>registered</w:t>
            </w:r>
          </w:p>
        </w:tc>
      </w:tr>
      <w:tr>
        <w:trPr/>
        <w:tc>
          <w:tcPr>
            <w:tcW w:w="2623"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Common Stock, $0.001</w:t>
            </w:r>
          </w:p>
        </w:tc>
        <w:tc>
          <w:tcPr>
            <w:tcW w:w="161" w:type="dxa"/>
            <w:tcBorders/>
            <w:vAlign w:val="center"/>
          </w:tcPr>
          <w:p>
            <w:pPr>
              <w:pStyle w:val="TableContents"/>
              <w:bidi w:val="0"/>
              <w:spacing w:before="0" w:after="0"/>
              <w:ind w:left="0" w:right="0" w:hanging="0"/>
              <w:jc w:val="left"/>
              <w:rPr/>
            </w:pPr>
            <w:r>
              <w:rPr/>
              <w:t> </w:t>
            </w:r>
          </w:p>
        </w:tc>
        <w:tc>
          <w:tcPr>
            <w:tcW w:w="2180"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CLRO</w:t>
            </w:r>
          </w:p>
        </w:tc>
        <w:tc>
          <w:tcPr>
            <w:tcW w:w="161" w:type="dxa"/>
            <w:tcBorders/>
            <w:vAlign w:val="center"/>
          </w:tcPr>
          <w:p>
            <w:pPr>
              <w:pStyle w:val="TableContents"/>
              <w:bidi w:val="0"/>
              <w:spacing w:before="0" w:after="0"/>
              <w:ind w:left="0" w:right="0" w:hanging="0"/>
              <w:jc w:val="left"/>
              <w:rPr/>
            </w:pPr>
            <w:r>
              <w:rPr/>
              <w:t> </w:t>
            </w:r>
          </w:p>
        </w:tc>
        <w:tc>
          <w:tcPr>
            <w:tcW w:w="5080"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The NASDAQ Capital Market</w:t>
            </w:r>
          </w:p>
        </w:tc>
      </w:tr>
    </w:tbl>
    <w:p>
      <w:pPr>
        <w:pStyle w:val="TextBody"/>
        <w:widowControl/>
        <w:bidi w:val="0"/>
        <w:spacing w:before="0" w:after="0"/>
        <w:ind w:left="144" w:right="144" w:hanging="0"/>
        <w:jc w:val="left"/>
        <w:rPr>
          <w:caps w:val="false"/>
          <w:smallCaps w:val="false"/>
          <w:color w:val="000000"/>
          <w:spacing w:val="0"/>
        </w:rPr>
      </w:pPr>
      <w:r>
        <w:rPr>
          <w:caps w:val="false"/>
          <w:smallCaps w:val="false"/>
          <w:color w:val="000000"/>
          <w:spacing w:val="0"/>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r>
        <w:rPr>
          <w:rFonts w:ascii="times new roman;times" w:hAnsi="times new roman;times"/>
          <w:sz w:val="20"/>
        </w:rPr>
        <w:t xml:space="preserve"> ☒ </w:t>
      </w:r>
      <w:r>
        <w:rPr>
          <w:rFonts w:ascii="Times New Roman" w:hAnsi="Times New Roman"/>
          <w:sz w:val="20"/>
        </w:rPr>
        <w:t>Yes</w:t>
      </w:r>
      <w:r>
        <w:rPr>
          <w:rFonts w:ascii="times new roman;times" w:hAnsi="times new roman;times"/>
          <w:sz w:val="20"/>
        </w:rPr>
        <w:t> ☐ </w:t>
      </w:r>
      <w:r>
        <w:rPr>
          <w:rFonts w:ascii="Times New Roman" w:hAnsi="Times New Roman"/>
          <w:sz w:val="20"/>
        </w:rPr>
        <w:t>No</w:t>
      </w:r>
      <w:r>
        <w:rPr>
          <w:rFonts w:ascii="times new roman;times" w:hAnsi="times new roman;times"/>
          <w:sz w:val="20"/>
        </w:rPr>
        <w:t> </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times" w:hAnsi="times new roman;times"/>
          <w:sz w:val="20"/>
        </w:rPr>
        <w:t> </w:t>
      </w:r>
      <w:r>
        <w:rPr>
          <w:rFonts w:ascii="Times New Roman" w:hAnsi="Times New Roman"/>
          <w:sz w:val="20"/>
        </w:rPr>
        <w:t>Yes</w:t>
      </w:r>
      <w:r>
        <w:rPr>
          <w:rFonts w:ascii="times new roman;times" w:hAnsi="times new roman;times"/>
          <w:sz w:val="20"/>
        </w:rPr>
        <w:t xml:space="preserve"> ☐ </w:t>
      </w:r>
      <w:r>
        <w:rPr>
          <w:rFonts w:ascii="Times New Roman" w:hAnsi="Times New Roman"/>
          <w:sz w:val="20"/>
        </w:rPr>
        <w:t>No</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pStyle w:val="TextBody"/>
        <w:bidi w:val="0"/>
        <w:spacing w:lineRule="auto" w:line="288" w:before="0" w:after="0"/>
        <w:ind w:left="144" w:right="144" w:hanging="0"/>
        <w:jc w:val="both"/>
        <w:rPr/>
      </w:pPr>
      <w:r>
        <w:rPr/>
        <w:t> </w:t>
      </w:r>
    </w:p>
    <w:tbl>
      <w:tblPr>
        <w:tblW w:w="5000" w:type="pct"/>
        <w:jc w:val="left"/>
        <w:tblInd w:w="0" w:type="dxa"/>
        <w:tblLayout w:type="fixed"/>
        <w:tblCellMar>
          <w:top w:w="0" w:type="dxa"/>
          <w:left w:w="0" w:type="dxa"/>
          <w:bottom w:w="0" w:type="dxa"/>
          <w:right w:w="0" w:type="dxa"/>
        </w:tblCellMar>
      </w:tblPr>
      <w:tblGrid>
        <w:gridCol w:w="4723"/>
        <w:gridCol w:w="5482"/>
      </w:tblGrid>
      <w:tr>
        <w:trPr/>
        <w:tc>
          <w:tcPr>
            <w:tcW w:w="4723" w:type="dxa"/>
            <w:tcBorders/>
            <w:vAlign w:val="bottom"/>
          </w:tcPr>
          <w:p>
            <w:pPr>
              <w:pStyle w:val="TableContents"/>
              <w:bidi w:val="0"/>
              <w:spacing w:lineRule="auto" w:line="288" w:before="0" w:after="0"/>
              <w:ind w:left="0" w:right="0" w:hanging="0"/>
              <w:jc w:val="both"/>
              <w:rPr/>
            </w:pPr>
            <w:r>
              <w:rPr>
                <w:rFonts w:ascii="Times New Roman" w:hAnsi="Times New Roman"/>
                <w:sz w:val="20"/>
              </w:rPr>
              <w:t xml:space="preserve">Larger Accelerated Filer </w:t>
            </w:r>
            <w:r>
              <w:rPr/>
              <w:t>☐</w:t>
            </w:r>
          </w:p>
        </w:tc>
        <w:tc>
          <w:tcPr>
            <w:tcW w:w="5482" w:type="dxa"/>
            <w:tcBorders/>
            <w:vAlign w:val="bottom"/>
          </w:tcPr>
          <w:p>
            <w:pPr>
              <w:pStyle w:val="TableContents"/>
              <w:bidi w:val="0"/>
              <w:spacing w:before="0" w:after="0"/>
              <w:ind w:left="0" w:right="0" w:hanging="0"/>
              <w:jc w:val="both"/>
              <w:rPr/>
            </w:pPr>
            <w:r>
              <w:rPr>
                <w:rFonts w:ascii="Times New Roman" w:hAnsi="Times New Roman"/>
                <w:sz w:val="20"/>
              </w:rPr>
              <w:t xml:space="preserve">Accelerated Filer </w:t>
            </w:r>
            <w:r>
              <w:rPr/>
              <w:t>☐ </w:t>
            </w:r>
          </w:p>
        </w:tc>
      </w:tr>
      <w:tr>
        <w:trPr/>
        <w:tc>
          <w:tcPr>
            <w:tcW w:w="4723" w:type="dxa"/>
            <w:tcBorders/>
            <w:vAlign w:val="bottom"/>
          </w:tcPr>
          <w:p>
            <w:pPr>
              <w:pStyle w:val="TableContents"/>
              <w:bidi w:val="0"/>
              <w:spacing w:before="0" w:after="0"/>
              <w:ind w:left="0" w:right="0" w:hanging="0"/>
              <w:jc w:val="both"/>
              <w:rPr>
                <w:rFonts w:ascii="MS Mincho" w:hAnsi="MS Mincho"/>
              </w:rPr>
            </w:pPr>
            <w:r>
              <w:rPr>
                <w:rFonts w:ascii="Times New Roman" w:hAnsi="Times New Roman"/>
                <w:sz w:val="20"/>
              </w:rPr>
              <w:t xml:space="preserve">Non-Accelerated Filer </w:t>
            </w:r>
            <w:r>
              <w:rPr>
                <w:rFonts w:ascii="MS Mincho" w:hAnsi="MS Mincho"/>
              </w:rPr>
              <w:t>☒</w:t>
            </w:r>
          </w:p>
        </w:tc>
        <w:tc>
          <w:tcPr>
            <w:tcW w:w="5482" w:type="dxa"/>
            <w:tcBorders/>
            <w:vAlign w:val="bottom"/>
          </w:tcPr>
          <w:p>
            <w:pPr>
              <w:pStyle w:val="TableContents"/>
              <w:bidi w:val="0"/>
              <w:spacing w:before="0" w:after="0"/>
              <w:ind w:left="0" w:right="0" w:hanging="0"/>
              <w:jc w:val="both"/>
              <w:rPr>
                <w:rFonts w:ascii="Times New Roman" w:hAnsi="Times New Roman"/>
                <w:sz w:val="20"/>
              </w:rPr>
            </w:pPr>
            <w:r>
              <w:rPr>
                <w:rFonts w:ascii="Times New Roman" w:hAnsi="Times New Roman"/>
                <w:sz w:val="20"/>
              </w:rPr>
              <w:t>Smaller Reporting Company ☒</w:t>
            </w:r>
          </w:p>
        </w:tc>
      </w:tr>
      <w:tr>
        <w:trPr/>
        <w:tc>
          <w:tcPr>
            <w:tcW w:w="4723" w:type="dxa"/>
            <w:tcBorders/>
            <w:vAlign w:val="bottom"/>
          </w:tcPr>
          <w:p>
            <w:pPr>
              <w:pStyle w:val="TableContents"/>
              <w:bidi w:val="0"/>
              <w:spacing w:before="0" w:after="0"/>
              <w:ind w:left="0" w:right="0" w:hanging="0"/>
              <w:jc w:val="left"/>
              <w:rPr/>
            </w:pPr>
            <w:r>
              <w:rPr/>
              <w:t> </w:t>
            </w:r>
          </w:p>
        </w:tc>
        <w:tc>
          <w:tcPr>
            <w:tcW w:w="5482" w:type="dxa"/>
            <w:tcBorders/>
            <w:vAlign w:val="bottom"/>
          </w:tcPr>
          <w:p>
            <w:pPr>
              <w:pStyle w:val="TableContents"/>
              <w:bidi w:val="0"/>
              <w:spacing w:before="0" w:after="0"/>
              <w:ind w:left="0" w:right="0" w:hanging="0"/>
              <w:jc w:val="both"/>
              <w:rPr/>
            </w:pPr>
            <w:r>
              <w:rPr>
                <w:rFonts w:ascii="Times New Roman" w:hAnsi="Times New Roman"/>
                <w:sz w:val="20"/>
              </w:rPr>
              <w:t>Emerging Growth Company ☐</w:t>
            </w:r>
            <w:r>
              <w:rPr/>
              <w:t> </w:t>
            </w:r>
          </w:p>
        </w:tc>
      </w:tr>
    </w:tbl>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 Yes ☐ No</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 xml:space="preserve">Indicate by check mark whether the registrant is a shell company (as defined in Rule 12b-2 of the Exchange Act). </w:t>
      </w:r>
      <w:r>
        <w:rPr>
          <w:rFonts w:ascii="times new roman;times" w:hAnsi="times new roman;times"/>
          <w:sz w:val="20"/>
        </w:rPr>
        <w:t xml:space="preserve">☐ </w:t>
      </w:r>
      <w:r>
        <w:rPr>
          <w:rFonts w:ascii="Times New Roman" w:hAnsi="Times New Roman"/>
          <w:sz w:val="20"/>
        </w:rPr>
        <w:t xml:space="preserve">Yes </w:t>
      </w:r>
      <w:r>
        <w:rPr>
          <w:rFonts w:ascii="times new roman;times" w:hAnsi="times new roman;times"/>
          <w:sz w:val="20"/>
        </w:rPr>
        <w:t>☒</w:t>
      </w:r>
      <w:r>
        <w:rPr>
          <w:rFonts w:ascii="times new roman;times" w:hAnsi="times new roman;times"/>
          <w:sz w:val="20"/>
        </w:rPr>
        <w:t xml:space="preserve"> </w:t>
      </w:r>
      <w:r>
        <w:rPr>
          <w:rFonts w:ascii="Times New Roman" w:hAnsi="Times New Roman"/>
          <w:sz w:val="20"/>
        </w:rPr>
        <w:t>No</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 xml:space="preserve">The number of shares of ClearOne, Inc. common stock outstanding as of </w:t>
      </w:r>
      <w:bookmarkStart w:id="2" w:name="fs_K50ATAP8PC00000000000000000000FM"/>
      <w:bookmarkEnd w:id="2"/>
      <w:r>
        <w:rPr>
          <w:rFonts w:ascii="Times New Roman" w:hAnsi="Times New Roman"/>
          <w:sz w:val="20"/>
        </w:rPr>
        <w:t>November 13, 2025 was 1,734,250.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bookmarkStart w:id="3" w:name="PageBreakNo1"/>
            <w:bookmarkEnd w:id="3"/>
            <w:r>
              <w:rPr>
                <w:sz w:val="20"/>
              </w:rPr>
              <w:t>1</w:t>
            </w:r>
          </w:p>
        </w:tc>
      </w:tr>
    </w:tbl>
    <w:p>
      <w:pPr>
        <w:pStyle w:val="HorizontalLine"/>
        <w:bidi w:val="0"/>
        <w:spacing w:lineRule="auto" w:line="288"/>
        <w:jc w:val="left"/>
        <w:rPr/>
      </w:pPr>
      <w:r>
        <w:rPr/>
      </w:r>
    </w:p>
    <w:p>
      <w:pPr>
        <w:pStyle w:val="TextBody"/>
        <w:bidi w:val="0"/>
        <w:spacing w:lineRule="auto" w:line="288"/>
        <w:jc w:val="left"/>
        <w:rPr/>
      </w:pPr>
      <w:hyperlink w:anchor="TOC">
        <w:r>
          <w:rPr>
            <w:rStyle w:val="InternetLink"/>
            <w:rFonts w:ascii="times new roman;times" w:hAnsi="times new roman;times"/>
            <w:sz w:val="20"/>
          </w:rPr>
          <w:t>Table of Contents</w:t>
        </w:r>
      </w:hyperlink>
    </w:p>
    <w:p>
      <w:pPr>
        <w:pStyle w:val="TextBody"/>
        <w:bidi w:val="0"/>
        <w:spacing w:lineRule="auto" w:line="288" w:before="0" w:after="0"/>
        <w:ind w:left="0" w:right="0" w:hanging="0"/>
        <w:jc w:val="center"/>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center"/>
        <w:rPr/>
      </w:pPr>
      <w:r>
        <w:rPr/>
        <w:t> </w:t>
      </w:r>
      <w:r>
        <w:rPr>
          <w:rFonts w:ascii="Times New Roman" w:hAnsi="Times New Roman"/>
          <w:b/>
          <w:sz w:val="20"/>
        </w:rPr>
        <w:t>CLEARONE, INC.</w:t>
      </w:r>
    </w:p>
    <w:p>
      <w:pPr>
        <w:pStyle w:val="TextBody"/>
        <w:widowControl/>
        <w:bidi w:val="0"/>
        <w:ind w:left="0" w:right="0" w:hanging="0"/>
        <w:jc w:val="lef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QUARTERLY REPORT ON FORM 10-Q FOR THE QUARTER ENDED</w:t>
      </w:r>
      <w:r>
        <w:rPr>
          <w:rFonts w:ascii="Times New Roman" w:hAnsi="Times New Roman"/>
          <w:b/>
          <w:i w:val="false"/>
          <w:caps w:val="false"/>
          <w:smallCaps w:val="false"/>
          <w:color w:val="000000"/>
          <w:spacing w:val="0"/>
          <w:sz w:val="20"/>
        </w:rPr>
        <w:t> </w:t>
      </w:r>
      <w:bookmarkStart w:id="4" w:name="fs_MSJDBGBTDC00000000000000000000FM"/>
      <w:bookmarkEnd w:id="4"/>
      <w:r>
        <w:rPr>
          <w:rFonts w:ascii="Times New Roman" w:hAnsi="Times New Roman"/>
          <w:b/>
          <w:i w:val="false"/>
          <w:caps w:val="false"/>
          <w:smallCaps w:val="false"/>
          <w:color w:val="000000"/>
          <w:spacing w:val="0"/>
          <w:sz w:val="20"/>
        </w:rPr>
        <w:t>SEPTEMBER 30, 2025</w:t>
      </w:r>
    </w:p>
    <w:p>
      <w:pPr>
        <w:pStyle w:val="TextBody"/>
        <w:bidi w:val="0"/>
        <w:spacing w:lineRule="auto" w:line="288" w:before="0" w:after="0"/>
        <w:ind w:left="144" w:right="144" w:hanging="0"/>
        <w:jc w:val="center"/>
        <w:rPr/>
      </w:pPr>
      <w:r>
        <w:rPr/>
        <w:t> </w:t>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b/>
          <w:sz w:val="20"/>
        </w:rPr>
        <w:t>INDEX</w:t>
      </w:r>
      <w:r>
        <w:rPr>
          <w:rFonts w:ascii="times new roman;times" w:hAnsi="times new roman;times"/>
          <w:sz w:val="20"/>
        </w:rPr>
        <w:t>​</w:t>
      </w:r>
    </w:p>
    <w:p>
      <w:pPr>
        <w:pStyle w:val="Normal"/>
        <w:bidi w:val="0"/>
        <w:spacing w:before="0" w:after="0"/>
        <w:jc w:val="left"/>
        <w:rPr>
          <w:sz w:val="4"/>
          <w:szCs w:val="4"/>
        </w:rPr>
      </w:pPr>
      <w:r>
        <w:rPr>
          <w:sz w:val="4"/>
          <w:szCs w:val="4"/>
        </w:rPr>
      </w:r>
      <w:bookmarkStart w:id="5" w:name="TOC"/>
      <w:bookmarkStart w:id="6" w:name="TOC"/>
      <w:bookmarkEnd w:id="6"/>
    </w:p>
    <w:tbl>
      <w:tblPr>
        <w:tblW w:w="10205" w:type="dxa"/>
        <w:jc w:val="left"/>
        <w:tblInd w:w="0" w:type="dxa"/>
        <w:tblLayout w:type="fixed"/>
        <w:tblCellMar>
          <w:top w:w="0" w:type="dxa"/>
          <w:left w:w="0" w:type="dxa"/>
          <w:bottom w:w="0" w:type="dxa"/>
          <w:right w:w="0" w:type="dxa"/>
        </w:tblCellMar>
      </w:tblPr>
      <w:tblGrid>
        <w:gridCol w:w="614"/>
        <w:gridCol w:w="9330"/>
        <w:gridCol w:w="261"/>
      </w:tblGrid>
      <w:tr>
        <w:trPr/>
        <w:tc>
          <w:tcPr>
            <w:tcW w:w="614" w:type="dxa"/>
            <w:tcBorders/>
            <w:vAlign w:val="center"/>
          </w:tcPr>
          <w:p>
            <w:pPr>
              <w:pStyle w:val="TableContents"/>
              <w:bidi w:val="0"/>
              <w:spacing w:before="0" w:after="283"/>
              <w:jc w:val="left"/>
              <w:rPr>
                <w:sz w:val="4"/>
                <w:szCs w:val="4"/>
              </w:rPr>
            </w:pPr>
            <w:r>
              <w:rPr>
                <w:sz w:val="4"/>
                <w:szCs w:val="4"/>
              </w:rPr>
            </w:r>
          </w:p>
        </w:tc>
        <w:tc>
          <w:tcPr>
            <w:tcW w:w="9330" w:type="dxa"/>
            <w:tcBorders/>
            <w:vAlign w:val="center"/>
          </w:tcPr>
          <w:p>
            <w:pPr>
              <w:pStyle w:val="TableContents"/>
              <w:bidi w:val="0"/>
              <w:spacing w:before="0" w:after="0"/>
              <w:ind w:left="0" w:right="0" w:hanging="0"/>
              <w:jc w:val="center"/>
              <w:rPr/>
            </w:pPr>
            <w:r>
              <w:rPr/>
            </w:r>
          </w:p>
        </w:tc>
        <w:tc>
          <w:tcPr>
            <w:tcW w:w="261" w:type="dxa"/>
            <w:tcBorders/>
            <w:vAlign w:val="center"/>
          </w:tcPr>
          <w:p>
            <w:pPr>
              <w:pStyle w:val="TableContents"/>
              <w:bidi w:val="0"/>
              <w:spacing w:before="0" w:after="0"/>
              <w:ind w:left="0" w:right="0" w:hanging="0"/>
              <w:jc w:val="center"/>
              <w:rPr/>
            </w:pPr>
            <w:r>
              <w:rPr/>
            </w:r>
          </w:p>
        </w:tc>
      </w:tr>
      <w:tr>
        <w:trPr/>
        <w:tc>
          <w:tcPr>
            <w:tcW w:w="614" w:type="dxa"/>
            <w:tcBorders/>
            <w:shd w:fill="CCEEFF" w:val="clear"/>
            <w:vAlign w:val="center"/>
          </w:tcPr>
          <w:p>
            <w:pPr>
              <w:pStyle w:val="TableContents"/>
              <w:bidi w:val="0"/>
              <w:spacing w:before="0" w:after="283"/>
              <w:jc w:val="left"/>
              <w:rPr/>
            </w:pPr>
            <w:r>
              <w:rPr/>
            </w:r>
            <w:bookmarkStart w:id="7" w:name="BM_BA_ITXHYI3BG000000000000000000000"/>
            <w:bookmarkStart w:id="8" w:name="BM_BA_ITXHYI3BG000000000000000000000"/>
            <w:bookmarkEnd w:id="8"/>
          </w:p>
        </w:tc>
        <w:tc>
          <w:tcPr>
            <w:tcW w:w="9330" w:type="dxa"/>
            <w:tcBorders/>
            <w:shd w:fill="CCEEFF" w:val="clear"/>
            <w:vAlign w:val="center"/>
          </w:tcPr>
          <w:p>
            <w:pPr>
              <w:pStyle w:val="TableContents"/>
              <w:bidi w:val="0"/>
              <w:spacing w:before="0" w:after="283"/>
              <w:jc w:val="left"/>
              <w:rPr/>
            </w:pPr>
            <w:hyperlink w:anchor="BA_ITXHYI3BG000000000000000000000">
              <w:r>
                <w:rPr>
                  <w:rStyle w:val="InternetLink"/>
                  <w:b/>
                  <w:sz w:val="20"/>
                </w:rPr>
                <w:t>PART I - FINANCIAL INFORMATION</w:t>
              </w:r>
            </w:hyperlink>
          </w:p>
        </w:tc>
        <w:tc>
          <w:tcPr>
            <w:tcW w:w="261" w:type="dxa"/>
            <w:tcBorders/>
            <w:shd w:fill="CCEEFF" w:val="clear"/>
            <w:vAlign w:val="center"/>
          </w:tcPr>
          <w:p>
            <w:pPr>
              <w:pStyle w:val="TableContents"/>
              <w:bidi w:val="0"/>
              <w:spacing w:before="0" w:after="283"/>
              <w:jc w:val="left"/>
              <w:rPr/>
            </w:pPr>
            <w:r>
              <w:rPr/>
            </w:r>
          </w:p>
        </w:tc>
      </w:tr>
      <w:tr>
        <w:trPr/>
        <w:tc>
          <w:tcPr>
            <w:tcW w:w="614" w:type="dxa"/>
            <w:tcBorders/>
            <w:vAlign w:val="center"/>
          </w:tcPr>
          <w:p>
            <w:pPr>
              <w:pStyle w:val="TableContents"/>
              <w:bidi w:val="0"/>
              <w:spacing w:before="0" w:after="283"/>
              <w:jc w:val="left"/>
              <w:rPr/>
            </w:pPr>
            <w:r>
              <w:rPr/>
            </w:r>
          </w:p>
        </w:tc>
        <w:tc>
          <w:tcPr>
            <w:tcW w:w="9330" w:type="dxa"/>
            <w:tcBorders/>
            <w:vAlign w:val="center"/>
          </w:tcPr>
          <w:p>
            <w:pPr>
              <w:pStyle w:val="TableContents"/>
              <w:bidi w:val="0"/>
              <w:spacing w:before="0" w:after="283"/>
              <w:jc w:val="left"/>
              <w:rPr/>
            </w:pPr>
            <w:r>
              <w:rPr/>
            </w:r>
          </w:p>
        </w:tc>
        <w:tc>
          <w:tcPr>
            <w:tcW w:w="261" w:type="dxa"/>
            <w:tcBorders/>
            <w:vAlign w:val="center"/>
          </w:tcPr>
          <w:p>
            <w:pPr>
              <w:pStyle w:val="TableContents"/>
              <w:bidi w:val="0"/>
              <w:spacing w:before="0" w:after="283"/>
              <w:jc w:val="left"/>
              <w:rPr/>
            </w:pPr>
            <w:r>
              <w:rPr/>
            </w:r>
          </w:p>
        </w:tc>
      </w:tr>
      <w:tr>
        <w:trPr/>
        <w:tc>
          <w:tcPr>
            <w:tcW w:w="614" w:type="dxa"/>
            <w:tcBorders/>
            <w:shd w:fill="CCEEFF" w:val="clear"/>
            <w:vAlign w:val="center"/>
          </w:tcPr>
          <w:p>
            <w:pPr>
              <w:pStyle w:val="TableContents"/>
              <w:bidi w:val="0"/>
              <w:spacing w:before="0" w:after="283"/>
              <w:jc w:val="left"/>
              <w:rPr>
                <w:sz w:val="20"/>
              </w:rPr>
            </w:pPr>
            <w:r>
              <w:rPr>
                <w:sz w:val="20"/>
              </w:rPr>
              <w:t>Item 1.</w:t>
            </w:r>
            <w:bookmarkStart w:id="9" w:name="BM_BB_DACLJMO6HS00000000000000000000"/>
            <w:bookmarkEnd w:id="9"/>
          </w:p>
        </w:tc>
        <w:tc>
          <w:tcPr>
            <w:tcW w:w="9330" w:type="dxa"/>
            <w:tcBorders/>
            <w:shd w:fill="CCEEFF" w:val="clear"/>
            <w:vAlign w:val="center"/>
          </w:tcPr>
          <w:p>
            <w:pPr>
              <w:pStyle w:val="TableContents"/>
              <w:bidi w:val="0"/>
              <w:spacing w:before="0" w:after="283"/>
              <w:jc w:val="left"/>
              <w:rPr/>
            </w:pPr>
            <w:hyperlink w:anchor="BB_DACLJMO6HS00000000000000000000">
              <w:r>
                <w:rPr>
                  <w:rStyle w:val="InternetLink"/>
                  <w:sz w:val="20"/>
                </w:rPr>
                <w:t>Financial Statements</w:t>
              </w:r>
            </w:hyperlink>
            <w:bookmarkStart w:id="10" w:name="BMP_BB_DACLJMO6HS00000000000000000000"/>
            <w:bookmarkEnd w:id="10"/>
          </w:p>
        </w:tc>
        <w:tc>
          <w:tcPr>
            <w:tcW w:w="261" w:type="dxa"/>
            <w:tcBorders/>
            <w:shd w:fill="CCEEFF" w:val="clear"/>
            <w:vAlign w:val="center"/>
          </w:tcPr>
          <w:p>
            <w:pPr>
              <w:pStyle w:val="TableContents"/>
              <w:bidi w:val="0"/>
              <w:spacing w:before="0" w:after="283"/>
              <w:jc w:val="center"/>
              <w:rPr/>
            </w:pPr>
            <w:r>
              <w:rPr/>
              <w:t>3</w:t>
            </w:r>
          </w:p>
        </w:tc>
      </w:tr>
      <w:tr>
        <w:trPr/>
        <w:tc>
          <w:tcPr>
            <w:tcW w:w="614" w:type="dxa"/>
            <w:tcBorders/>
            <w:vAlign w:val="center"/>
          </w:tcPr>
          <w:p>
            <w:pPr>
              <w:pStyle w:val="TableContents"/>
              <w:bidi w:val="0"/>
              <w:spacing w:before="0" w:after="283"/>
              <w:jc w:val="left"/>
              <w:rPr/>
            </w:pPr>
            <w:r>
              <w:rPr/>
            </w:r>
          </w:p>
        </w:tc>
        <w:tc>
          <w:tcPr>
            <w:tcW w:w="9330" w:type="dxa"/>
            <w:tcBorders/>
            <w:vAlign w:val="center"/>
          </w:tcPr>
          <w:p>
            <w:pPr>
              <w:pStyle w:val="TableContents"/>
              <w:bidi w:val="0"/>
              <w:spacing w:before="0" w:after="283"/>
              <w:jc w:val="left"/>
              <w:rPr/>
            </w:pPr>
            <w:r>
              <w:rPr/>
            </w:r>
          </w:p>
        </w:tc>
        <w:tc>
          <w:tcPr>
            <w:tcW w:w="261" w:type="dxa"/>
            <w:tcBorders/>
            <w:vAlign w:val="center"/>
          </w:tcPr>
          <w:p>
            <w:pPr>
              <w:pStyle w:val="TableContents"/>
              <w:bidi w:val="0"/>
              <w:spacing w:before="0" w:after="283"/>
              <w:jc w:val="left"/>
              <w:rPr/>
            </w:pPr>
            <w:r>
              <w:rPr/>
            </w:r>
          </w:p>
        </w:tc>
      </w:tr>
      <w:tr>
        <w:trPr/>
        <w:tc>
          <w:tcPr>
            <w:tcW w:w="614" w:type="dxa"/>
            <w:tcBorders/>
            <w:shd w:fill="CCEEFF" w:val="clear"/>
            <w:vAlign w:val="center"/>
          </w:tcPr>
          <w:p>
            <w:pPr>
              <w:pStyle w:val="TableContents"/>
              <w:bidi w:val="0"/>
              <w:spacing w:before="0" w:after="283"/>
              <w:jc w:val="left"/>
              <w:rPr/>
            </w:pPr>
            <w:r>
              <w:rPr/>
            </w:r>
            <w:bookmarkStart w:id="11" w:name="BM_BC_67A6VPX3U800000000000000000000"/>
            <w:bookmarkStart w:id="12" w:name="BM_BC_67A6VPX3U800000000000000000000"/>
            <w:bookmarkEnd w:id="12"/>
          </w:p>
        </w:tc>
        <w:tc>
          <w:tcPr>
            <w:tcW w:w="9330" w:type="dxa"/>
            <w:tcBorders/>
            <w:shd w:fill="CCEEFF" w:val="clear"/>
            <w:vAlign w:val="center"/>
          </w:tcPr>
          <w:p>
            <w:pPr>
              <w:pStyle w:val="TableContents"/>
              <w:bidi w:val="0"/>
              <w:spacing w:before="0" w:after="283"/>
              <w:jc w:val="left"/>
              <w:rPr/>
            </w:pPr>
            <w:hyperlink w:anchor="BC_67A6VPX3U800000000000000000000">
              <w:r>
                <w:rPr>
                  <w:rStyle w:val="InternetLink"/>
                  <w:sz w:val="20"/>
                </w:rPr>
                <w:t xml:space="preserve">Unaudited Condensed Consolidated Balance Sheets as of </w:t>
              </w:r>
            </w:hyperlink>
            <w:hyperlink w:anchor="BC_67A6VPX3U800000000000000000000">
              <w:bookmarkStart w:id="13" w:name="fs_OFDEGAQOUO00000000000000000000FM"/>
              <w:bookmarkEnd w:id="13"/>
              <w:r>
                <w:rPr>
                  <w:rStyle w:val="InternetLink"/>
                  <w:sz w:val="20"/>
                </w:rPr>
                <w:t xml:space="preserve">September 30, 2025 and </w:t>
              </w:r>
            </w:hyperlink>
            <w:hyperlink w:anchor="BC_67A6VPX3U800000000000000000000">
              <w:bookmarkStart w:id="14" w:name="fs_DDML08DINK00000000000000000000FM"/>
              <w:bookmarkEnd w:id="14"/>
              <w:r>
                <w:rPr>
                  <w:rStyle w:val="InternetLink"/>
                  <w:sz w:val="20"/>
                </w:rPr>
                <w:t>December 31, 2024</w:t>
              </w:r>
            </w:hyperlink>
            <w:bookmarkStart w:id="15" w:name="BMP_BC_67A6VPX3U800000000000000000000"/>
            <w:bookmarkEnd w:id="15"/>
          </w:p>
        </w:tc>
        <w:tc>
          <w:tcPr>
            <w:tcW w:w="261" w:type="dxa"/>
            <w:tcBorders/>
            <w:shd w:fill="CCEEFF" w:val="clear"/>
            <w:vAlign w:val="center"/>
          </w:tcPr>
          <w:p>
            <w:pPr>
              <w:pStyle w:val="TableContents"/>
              <w:bidi w:val="0"/>
              <w:spacing w:before="0" w:after="283"/>
              <w:jc w:val="center"/>
              <w:rPr/>
            </w:pPr>
            <w:r>
              <w:rPr/>
              <w:t>3</w:t>
            </w:r>
          </w:p>
        </w:tc>
      </w:tr>
      <w:tr>
        <w:trPr/>
        <w:tc>
          <w:tcPr>
            <w:tcW w:w="614" w:type="dxa"/>
            <w:tcBorders/>
            <w:vAlign w:val="center"/>
          </w:tcPr>
          <w:p>
            <w:pPr>
              <w:pStyle w:val="TableContents"/>
              <w:bidi w:val="0"/>
              <w:spacing w:before="0" w:after="283"/>
              <w:jc w:val="left"/>
              <w:rPr/>
            </w:pPr>
            <w:r>
              <w:rPr/>
            </w:r>
          </w:p>
        </w:tc>
        <w:tc>
          <w:tcPr>
            <w:tcW w:w="9330" w:type="dxa"/>
            <w:tcBorders/>
            <w:vAlign w:val="center"/>
          </w:tcPr>
          <w:p>
            <w:pPr>
              <w:pStyle w:val="TableContents"/>
              <w:bidi w:val="0"/>
              <w:spacing w:before="0" w:after="283"/>
              <w:jc w:val="left"/>
              <w:rPr/>
            </w:pPr>
            <w:r>
              <w:rPr/>
            </w:r>
          </w:p>
        </w:tc>
        <w:tc>
          <w:tcPr>
            <w:tcW w:w="261" w:type="dxa"/>
            <w:tcBorders/>
            <w:vAlign w:val="center"/>
          </w:tcPr>
          <w:p>
            <w:pPr>
              <w:pStyle w:val="TableContents"/>
              <w:bidi w:val="0"/>
              <w:spacing w:before="0" w:after="283"/>
              <w:jc w:val="left"/>
              <w:rPr/>
            </w:pPr>
            <w:r>
              <w:rPr/>
            </w:r>
          </w:p>
        </w:tc>
      </w:tr>
      <w:tr>
        <w:trPr/>
        <w:tc>
          <w:tcPr>
            <w:tcW w:w="614" w:type="dxa"/>
            <w:tcBorders/>
            <w:shd w:fill="CCEEFF" w:val="clear"/>
            <w:vAlign w:val="center"/>
          </w:tcPr>
          <w:p>
            <w:pPr>
              <w:pStyle w:val="TableContents"/>
              <w:bidi w:val="0"/>
              <w:spacing w:before="0" w:after="283"/>
              <w:jc w:val="left"/>
              <w:rPr/>
            </w:pPr>
            <w:r>
              <w:rPr/>
            </w:r>
            <w:bookmarkStart w:id="16" w:name="BM_BD_G3RUEUCU2O00000000000000000000"/>
            <w:bookmarkStart w:id="17" w:name="BM_BD_G3RUEUCU2O00000000000000000000"/>
            <w:bookmarkEnd w:id="17"/>
          </w:p>
        </w:tc>
        <w:tc>
          <w:tcPr>
            <w:tcW w:w="9330" w:type="dxa"/>
            <w:tcBorders/>
            <w:shd w:fill="CCEEFF" w:val="clear"/>
            <w:vAlign w:val="center"/>
          </w:tcPr>
          <w:p>
            <w:pPr>
              <w:pStyle w:val="TableContents"/>
              <w:bidi w:val="0"/>
              <w:spacing w:before="0" w:after="283"/>
              <w:jc w:val="left"/>
              <w:rPr/>
            </w:pPr>
            <w:hyperlink w:anchor="BD_G3RUEUCU2O00000000000000000000">
              <w:r>
                <w:rPr>
                  <w:rStyle w:val="InternetLink"/>
                  <w:sz w:val="20"/>
                </w:rPr>
                <w:t xml:space="preserve">Unaudited Condensed Consolidated Statements of Operations and Comprehensive Loss for the </w:t>
              </w:r>
            </w:hyperlink>
            <w:hyperlink w:anchor="BD_G3RUEUCU2O00000000000000000000">
              <w:bookmarkStart w:id="18" w:name="fs_XV37K182UO00000000000000000000FM"/>
              <w:bookmarkEnd w:id="18"/>
              <w:r>
                <w:rPr>
                  <w:rStyle w:val="InternetLink"/>
                  <w:sz w:val="20"/>
                </w:rPr>
                <w:t xml:space="preserve">three and nine months ended </w:t>
              </w:r>
            </w:hyperlink>
            <w:hyperlink w:anchor="BD_G3RUEUCU2O00000000000000000000">
              <w:bookmarkStart w:id="19" w:name="fs_VNIVK7G1HS00000000000000000000FM"/>
              <w:bookmarkEnd w:id="19"/>
              <w:r>
                <w:rPr>
                  <w:rStyle w:val="InternetLink"/>
                  <w:sz w:val="20"/>
                </w:rPr>
                <w:t>September 30, 2025</w:t>
              </w:r>
            </w:hyperlink>
            <w:hyperlink w:anchor="BD_G3RUEUCU2O00000000000000000000">
              <w:r>
                <w:rPr>
                  <w:rStyle w:val="InternetLink"/>
                  <w:sz w:val="20"/>
                </w:rPr>
                <w:t xml:space="preserve"> and </w:t>
              </w:r>
            </w:hyperlink>
            <w:hyperlink w:anchor="BD_G3RUEUCU2O00000000000000000000">
              <w:bookmarkStart w:id="20" w:name="fs_LYGM04YSUO00000000000000000000FM"/>
              <w:bookmarkEnd w:id="20"/>
              <w:r>
                <w:rPr>
                  <w:rStyle w:val="InternetLink"/>
                  <w:sz w:val="20"/>
                </w:rPr>
                <w:t>2024</w:t>
              </w:r>
            </w:hyperlink>
            <w:bookmarkStart w:id="21" w:name="BMP_BD_G3RUEUCU2O00000000000000000000"/>
            <w:bookmarkEnd w:id="21"/>
          </w:p>
        </w:tc>
        <w:tc>
          <w:tcPr>
            <w:tcW w:w="261" w:type="dxa"/>
            <w:tcBorders/>
            <w:shd w:fill="CCEEFF" w:val="clear"/>
            <w:vAlign w:val="center"/>
          </w:tcPr>
          <w:p>
            <w:pPr>
              <w:pStyle w:val="TableContents"/>
              <w:bidi w:val="0"/>
              <w:spacing w:before="0" w:after="283"/>
              <w:jc w:val="center"/>
              <w:rPr/>
            </w:pPr>
            <w:r>
              <w:rPr/>
              <w:t>4</w:t>
            </w:r>
          </w:p>
        </w:tc>
      </w:tr>
      <w:tr>
        <w:trPr/>
        <w:tc>
          <w:tcPr>
            <w:tcW w:w="614" w:type="dxa"/>
            <w:tcBorders/>
            <w:vAlign w:val="center"/>
          </w:tcPr>
          <w:p>
            <w:pPr>
              <w:pStyle w:val="TableContents"/>
              <w:bidi w:val="0"/>
              <w:spacing w:before="0" w:after="283"/>
              <w:jc w:val="left"/>
              <w:rPr/>
            </w:pPr>
            <w:r>
              <w:rPr/>
            </w:r>
          </w:p>
        </w:tc>
        <w:tc>
          <w:tcPr>
            <w:tcW w:w="9330" w:type="dxa"/>
            <w:tcBorders/>
            <w:vAlign w:val="center"/>
          </w:tcPr>
          <w:p>
            <w:pPr>
              <w:pStyle w:val="TableContents"/>
              <w:bidi w:val="0"/>
              <w:spacing w:before="0" w:after="283"/>
              <w:jc w:val="left"/>
              <w:rPr/>
            </w:pPr>
            <w:r>
              <w:rPr/>
            </w:r>
          </w:p>
        </w:tc>
        <w:tc>
          <w:tcPr>
            <w:tcW w:w="261" w:type="dxa"/>
            <w:tcBorders/>
            <w:vAlign w:val="center"/>
          </w:tcPr>
          <w:p>
            <w:pPr>
              <w:pStyle w:val="TableContents"/>
              <w:bidi w:val="0"/>
              <w:spacing w:before="0" w:after="283"/>
              <w:jc w:val="left"/>
              <w:rPr/>
            </w:pPr>
            <w:r>
              <w:rPr/>
            </w:r>
          </w:p>
        </w:tc>
      </w:tr>
      <w:tr>
        <w:trPr/>
        <w:tc>
          <w:tcPr>
            <w:tcW w:w="614" w:type="dxa"/>
            <w:tcBorders/>
            <w:shd w:fill="CCEEFF" w:val="clear"/>
            <w:vAlign w:val="center"/>
          </w:tcPr>
          <w:p>
            <w:pPr>
              <w:pStyle w:val="TableContents"/>
              <w:bidi w:val="0"/>
              <w:spacing w:before="0" w:after="283"/>
              <w:jc w:val="left"/>
              <w:rPr/>
            </w:pPr>
            <w:r>
              <w:rPr/>
            </w:r>
            <w:bookmarkStart w:id="22" w:name="BM_BE_OCDKM4QLA800000000000000000000"/>
            <w:bookmarkStart w:id="23" w:name="BM_BE_OCDKM4QLA800000000000000000000"/>
            <w:bookmarkEnd w:id="23"/>
          </w:p>
        </w:tc>
        <w:tc>
          <w:tcPr>
            <w:tcW w:w="9330" w:type="dxa"/>
            <w:tcBorders/>
            <w:shd w:fill="CCEEFF" w:val="clear"/>
            <w:vAlign w:val="center"/>
          </w:tcPr>
          <w:p>
            <w:pPr>
              <w:pStyle w:val="TableContents"/>
              <w:bidi w:val="0"/>
              <w:spacing w:before="0" w:after="283"/>
              <w:jc w:val="left"/>
              <w:rPr/>
            </w:pPr>
            <w:hyperlink w:anchor="BE_OCDKM4QLA800000000000000000000">
              <w:r>
                <w:rPr>
                  <w:rStyle w:val="InternetLink"/>
                  <w:sz w:val="20"/>
                </w:rPr>
                <w:t xml:space="preserve">Unaudited Condensed Consolidated Statements of Cash Flows for the </w:t>
              </w:r>
            </w:hyperlink>
            <w:hyperlink w:anchor="BE_OCDKM4QLA800000000000000000000">
              <w:bookmarkStart w:id="24" w:name="fs_GKT6FT0G2800000000000000000000FM"/>
              <w:bookmarkEnd w:id="24"/>
              <w:r>
                <w:rPr>
                  <w:rStyle w:val="InternetLink"/>
                  <w:sz w:val="20"/>
                </w:rPr>
                <w:t xml:space="preserve">Nine Months Ended September 30, 2025 and </w:t>
              </w:r>
            </w:hyperlink>
            <w:hyperlink w:anchor="BE_OCDKM4QLA800000000000000000000">
              <w:bookmarkStart w:id="25" w:name="fs_0RVFIR75YO00000000000000000000FM"/>
              <w:bookmarkEnd w:id="25"/>
              <w:r>
                <w:rPr>
                  <w:rStyle w:val="InternetLink"/>
                  <w:sz w:val="20"/>
                </w:rPr>
                <w:t>2024</w:t>
              </w:r>
            </w:hyperlink>
            <w:bookmarkStart w:id="26" w:name="BMP_BE_OCDKM4QLA800000000000000000000"/>
            <w:bookmarkEnd w:id="26"/>
          </w:p>
        </w:tc>
        <w:tc>
          <w:tcPr>
            <w:tcW w:w="261" w:type="dxa"/>
            <w:tcBorders/>
            <w:shd w:fill="CCEEFF" w:val="clear"/>
            <w:vAlign w:val="center"/>
          </w:tcPr>
          <w:p>
            <w:pPr>
              <w:pStyle w:val="TableContents"/>
              <w:bidi w:val="0"/>
              <w:spacing w:before="0" w:after="283"/>
              <w:jc w:val="center"/>
              <w:rPr/>
            </w:pPr>
            <w:r>
              <w:rPr/>
              <w:t>5</w:t>
            </w:r>
          </w:p>
        </w:tc>
      </w:tr>
      <w:tr>
        <w:trPr/>
        <w:tc>
          <w:tcPr>
            <w:tcW w:w="614" w:type="dxa"/>
            <w:tcBorders/>
            <w:vAlign w:val="center"/>
          </w:tcPr>
          <w:p>
            <w:pPr>
              <w:pStyle w:val="TableContents"/>
              <w:bidi w:val="0"/>
              <w:spacing w:before="0" w:after="283"/>
              <w:jc w:val="left"/>
              <w:rPr/>
            </w:pPr>
            <w:r>
              <w:rPr/>
            </w:r>
          </w:p>
        </w:tc>
        <w:tc>
          <w:tcPr>
            <w:tcW w:w="9330" w:type="dxa"/>
            <w:tcBorders/>
            <w:vAlign w:val="center"/>
          </w:tcPr>
          <w:p>
            <w:pPr>
              <w:pStyle w:val="TableContents"/>
              <w:bidi w:val="0"/>
              <w:spacing w:before="0" w:after="283"/>
              <w:jc w:val="left"/>
              <w:rPr/>
            </w:pPr>
            <w:r>
              <w:rPr/>
            </w:r>
          </w:p>
        </w:tc>
        <w:tc>
          <w:tcPr>
            <w:tcW w:w="261" w:type="dxa"/>
            <w:tcBorders/>
            <w:vAlign w:val="center"/>
          </w:tcPr>
          <w:p>
            <w:pPr>
              <w:pStyle w:val="TableContents"/>
              <w:bidi w:val="0"/>
              <w:spacing w:before="0" w:after="283"/>
              <w:jc w:val="left"/>
              <w:rPr/>
            </w:pPr>
            <w:r>
              <w:rPr/>
            </w:r>
          </w:p>
        </w:tc>
      </w:tr>
      <w:tr>
        <w:trPr/>
        <w:tc>
          <w:tcPr>
            <w:tcW w:w="614" w:type="dxa"/>
            <w:tcBorders/>
            <w:shd w:fill="CCEEFF" w:val="clear"/>
            <w:vAlign w:val="center"/>
          </w:tcPr>
          <w:p>
            <w:pPr>
              <w:pStyle w:val="TableContents"/>
              <w:bidi w:val="0"/>
              <w:spacing w:before="0" w:after="283"/>
              <w:jc w:val="left"/>
              <w:rPr/>
            </w:pPr>
            <w:r>
              <w:rPr/>
            </w:r>
            <w:bookmarkStart w:id="27" w:name="BM_BF_IMSU8UN3GG00000000000000000000"/>
            <w:bookmarkStart w:id="28" w:name="BM_BF_IMSU8UN3GG00000000000000000000"/>
            <w:bookmarkEnd w:id="28"/>
          </w:p>
        </w:tc>
        <w:tc>
          <w:tcPr>
            <w:tcW w:w="9330" w:type="dxa"/>
            <w:tcBorders/>
            <w:shd w:fill="CCEEFF" w:val="clear"/>
            <w:vAlign w:val="center"/>
          </w:tcPr>
          <w:p>
            <w:pPr>
              <w:pStyle w:val="TableContents"/>
              <w:bidi w:val="0"/>
              <w:spacing w:before="0" w:after="283"/>
              <w:jc w:val="left"/>
              <w:rPr/>
            </w:pPr>
            <w:hyperlink w:anchor="BF_IMSU8UN3GG00000000000000000000">
              <w:r>
                <w:rPr>
                  <w:rStyle w:val="InternetLink"/>
                  <w:sz w:val="20"/>
                </w:rPr>
                <w:t>Unaudited Notes to Condensed Consolidated Financial Statements</w:t>
              </w:r>
            </w:hyperlink>
            <w:bookmarkStart w:id="29" w:name="BMP_BF_IMSU8UN3GG00000000000000000000"/>
            <w:bookmarkEnd w:id="29"/>
          </w:p>
        </w:tc>
        <w:tc>
          <w:tcPr>
            <w:tcW w:w="261" w:type="dxa"/>
            <w:tcBorders/>
            <w:shd w:fill="CCEEFF" w:val="clear"/>
            <w:vAlign w:val="center"/>
          </w:tcPr>
          <w:p>
            <w:pPr>
              <w:pStyle w:val="TableContents"/>
              <w:bidi w:val="0"/>
              <w:spacing w:before="0" w:after="283"/>
              <w:jc w:val="center"/>
              <w:rPr/>
            </w:pPr>
            <w:r>
              <w:rPr/>
              <w:t>7</w:t>
            </w:r>
          </w:p>
        </w:tc>
      </w:tr>
      <w:tr>
        <w:trPr/>
        <w:tc>
          <w:tcPr>
            <w:tcW w:w="614" w:type="dxa"/>
            <w:tcBorders/>
            <w:vAlign w:val="center"/>
          </w:tcPr>
          <w:p>
            <w:pPr>
              <w:pStyle w:val="TableContents"/>
              <w:bidi w:val="0"/>
              <w:spacing w:before="0" w:after="283"/>
              <w:jc w:val="left"/>
              <w:rPr/>
            </w:pPr>
            <w:r>
              <w:rPr/>
            </w:r>
          </w:p>
        </w:tc>
        <w:tc>
          <w:tcPr>
            <w:tcW w:w="9330" w:type="dxa"/>
            <w:tcBorders/>
            <w:vAlign w:val="center"/>
          </w:tcPr>
          <w:p>
            <w:pPr>
              <w:pStyle w:val="TableContents"/>
              <w:bidi w:val="0"/>
              <w:spacing w:before="0" w:after="283"/>
              <w:jc w:val="left"/>
              <w:rPr/>
            </w:pPr>
            <w:r>
              <w:rPr/>
            </w:r>
          </w:p>
        </w:tc>
        <w:tc>
          <w:tcPr>
            <w:tcW w:w="261" w:type="dxa"/>
            <w:tcBorders/>
            <w:vAlign w:val="center"/>
          </w:tcPr>
          <w:p>
            <w:pPr>
              <w:pStyle w:val="TableContents"/>
              <w:bidi w:val="0"/>
              <w:spacing w:before="0" w:after="283"/>
              <w:jc w:val="left"/>
              <w:rPr/>
            </w:pPr>
            <w:r>
              <w:rPr/>
            </w:r>
          </w:p>
        </w:tc>
      </w:tr>
      <w:tr>
        <w:trPr/>
        <w:tc>
          <w:tcPr>
            <w:tcW w:w="614" w:type="dxa"/>
            <w:tcBorders/>
            <w:shd w:fill="CCEEFF" w:val="cle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2.</w:t>
            </w:r>
            <w:bookmarkStart w:id="30" w:name="BM_BG_ZROYRYR1OG00000000000000000000"/>
            <w:bookmarkEnd w:id="30"/>
          </w:p>
        </w:tc>
        <w:tc>
          <w:tcPr>
            <w:tcW w:w="9330" w:type="dxa"/>
            <w:tcBorders/>
            <w:shd w:fill="CCEEFF" w:val="clear"/>
            <w:vAlign w:val="center"/>
          </w:tcPr>
          <w:p>
            <w:pPr>
              <w:pStyle w:val="TableContents"/>
              <w:bidi w:val="0"/>
              <w:spacing w:before="0" w:after="283"/>
              <w:jc w:val="left"/>
              <w:rPr/>
            </w:pPr>
            <w:hyperlink w:anchor="BG_ZROYRYR1OG00000000000000000000">
              <w:r>
                <w:rPr>
                  <w:rStyle w:val="InternetLink"/>
                  <w:sz w:val="20"/>
                </w:rPr>
                <w:t>Management’s Discussion and Analysis of Financial Condition and Results of Operations</w:t>
              </w:r>
            </w:hyperlink>
            <w:bookmarkStart w:id="31" w:name="BMP_BG_ZROYRYR1OG00000000000000000000"/>
            <w:bookmarkEnd w:id="31"/>
          </w:p>
        </w:tc>
        <w:tc>
          <w:tcPr>
            <w:tcW w:w="261" w:type="dxa"/>
            <w:tcBorders/>
            <w:shd w:fill="CCEEFF" w:val="clear"/>
            <w:vAlign w:val="center"/>
          </w:tcPr>
          <w:p>
            <w:pPr>
              <w:pStyle w:val="TableContents"/>
              <w:bidi w:val="0"/>
              <w:spacing w:before="0" w:after="283"/>
              <w:jc w:val="center"/>
              <w:rPr/>
            </w:pPr>
            <w:r>
              <w:rPr/>
              <w:t>21</w:t>
            </w:r>
          </w:p>
        </w:tc>
      </w:tr>
      <w:tr>
        <w:trPr/>
        <w:tc>
          <w:tcPr>
            <w:tcW w:w="614" w:type="dxa"/>
            <w:tcBorders/>
            <w:vAlign w:val="center"/>
          </w:tcPr>
          <w:p>
            <w:pPr>
              <w:pStyle w:val="TableContents"/>
              <w:bidi w:val="0"/>
              <w:spacing w:before="0" w:after="283"/>
              <w:jc w:val="left"/>
              <w:rPr/>
            </w:pPr>
            <w:r>
              <w:rPr/>
            </w:r>
          </w:p>
        </w:tc>
        <w:tc>
          <w:tcPr>
            <w:tcW w:w="9330" w:type="dxa"/>
            <w:tcBorders/>
            <w:vAlign w:val="center"/>
          </w:tcPr>
          <w:p>
            <w:pPr>
              <w:pStyle w:val="TableContents"/>
              <w:bidi w:val="0"/>
              <w:spacing w:before="0" w:after="283"/>
              <w:jc w:val="left"/>
              <w:rPr/>
            </w:pPr>
            <w:r>
              <w:rPr/>
            </w:r>
          </w:p>
        </w:tc>
        <w:tc>
          <w:tcPr>
            <w:tcW w:w="261" w:type="dxa"/>
            <w:tcBorders/>
            <w:vAlign w:val="center"/>
          </w:tcPr>
          <w:p>
            <w:pPr>
              <w:pStyle w:val="TableContents"/>
              <w:bidi w:val="0"/>
              <w:spacing w:before="0" w:after="283"/>
              <w:jc w:val="left"/>
              <w:rPr/>
            </w:pPr>
            <w:r>
              <w:rPr/>
            </w:r>
          </w:p>
        </w:tc>
      </w:tr>
      <w:tr>
        <w:trPr/>
        <w:tc>
          <w:tcPr>
            <w:tcW w:w="614" w:type="dxa"/>
            <w:tcBorders/>
            <w:shd w:fill="CCEEFF" w:val="cle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3.</w:t>
            </w:r>
            <w:bookmarkStart w:id="32" w:name="BM_BH_U66773D7WW00000000000000000000"/>
            <w:bookmarkEnd w:id="32"/>
          </w:p>
        </w:tc>
        <w:tc>
          <w:tcPr>
            <w:tcW w:w="9330" w:type="dxa"/>
            <w:tcBorders/>
            <w:shd w:fill="CCEEFF" w:val="clear"/>
            <w:vAlign w:val="center"/>
          </w:tcPr>
          <w:p>
            <w:pPr>
              <w:pStyle w:val="TableContents"/>
              <w:bidi w:val="0"/>
              <w:spacing w:before="0" w:after="283"/>
              <w:jc w:val="left"/>
              <w:rPr/>
            </w:pPr>
            <w:hyperlink w:anchor="BH_U66773D7WW00000000000000000000">
              <w:r>
                <w:rPr>
                  <w:rStyle w:val="InternetLink"/>
                  <w:sz w:val="20"/>
                </w:rPr>
                <w:t>Quantitative and Qualitative Disclosures About Market Risk</w:t>
              </w:r>
            </w:hyperlink>
            <w:bookmarkStart w:id="33" w:name="BMP_BH_U66773D7WW00000000000000000000"/>
            <w:bookmarkEnd w:id="33"/>
          </w:p>
        </w:tc>
        <w:tc>
          <w:tcPr>
            <w:tcW w:w="261" w:type="dxa"/>
            <w:tcBorders/>
            <w:shd w:fill="CCEEFF" w:val="clear"/>
            <w:vAlign w:val="center"/>
          </w:tcPr>
          <w:p>
            <w:pPr>
              <w:pStyle w:val="TableContents"/>
              <w:bidi w:val="0"/>
              <w:spacing w:before="0" w:after="283"/>
              <w:jc w:val="center"/>
              <w:rPr/>
            </w:pPr>
            <w:r>
              <w:rPr/>
              <w:t>29</w:t>
            </w:r>
          </w:p>
        </w:tc>
      </w:tr>
      <w:tr>
        <w:trPr/>
        <w:tc>
          <w:tcPr>
            <w:tcW w:w="614" w:type="dxa"/>
            <w:tcBorders/>
            <w:vAlign w:val="center"/>
          </w:tcPr>
          <w:p>
            <w:pPr>
              <w:pStyle w:val="TableContents"/>
              <w:bidi w:val="0"/>
              <w:spacing w:before="0" w:after="283"/>
              <w:jc w:val="left"/>
              <w:rPr/>
            </w:pPr>
            <w:r>
              <w:rPr/>
            </w:r>
          </w:p>
        </w:tc>
        <w:tc>
          <w:tcPr>
            <w:tcW w:w="9330" w:type="dxa"/>
            <w:tcBorders/>
            <w:vAlign w:val="center"/>
          </w:tcPr>
          <w:p>
            <w:pPr>
              <w:pStyle w:val="TableContents"/>
              <w:bidi w:val="0"/>
              <w:spacing w:before="0" w:after="283"/>
              <w:jc w:val="left"/>
              <w:rPr/>
            </w:pPr>
            <w:r>
              <w:rPr/>
            </w:r>
          </w:p>
        </w:tc>
        <w:tc>
          <w:tcPr>
            <w:tcW w:w="261" w:type="dxa"/>
            <w:tcBorders/>
            <w:vAlign w:val="center"/>
          </w:tcPr>
          <w:p>
            <w:pPr>
              <w:pStyle w:val="TableContents"/>
              <w:bidi w:val="0"/>
              <w:spacing w:before="0" w:after="283"/>
              <w:jc w:val="left"/>
              <w:rPr/>
            </w:pPr>
            <w:r>
              <w:rPr/>
            </w:r>
          </w:p>
        </w:tc>
      </w:tr>
      <w:tr>
        <w:trPr/>
        <w:tc>
          <w:tcPr>
            <w:tcW w:w="614" w:type="dxa"/>
            <w:tcBorders/>
            <w:shd w:fill="CCEEFF" w:val="cle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4.</w:t>
            </w:r>
            <w:bookmarkStart w:id="34" w:name="BM_BI_L8KHXR82WW00000000000000000000"/>
            <w:bookmarkEnd w:id="34"/>
          </w:p>
        </w:tc>
        <w:tc>
          <w:tcPr>
            <w:tcW w:w="9330" w:type="dxa"/>
            <w:tcBorders/>
            <w:shd w:fill="CCEEFF" w:val="clear"/>
            <w:vAlign w:val="center"/>
          </w:tcPr>
          <w:p>
            <w:pPr>
              <w:pStyle w:val="TableContents"/>
              <w:bidi w:val="0"/>
              <w:spacing w:before="0" w:after="283"/>
              <w:jc w:val="left"/>
              <w:rPr/>
            </w:pPr>
            <w:hyperlink w:anchor="BI_L8KHXR82WW00000000000000000000">
              <w:r>
                <w:rPr>
                  <w:rStyle w:val="InternetLink"/>
                  <w:sz w:val="20"/>
                </w:rPr>
                <w:t>Controls and Procedures</w:t>
              </w:r>
            </w:hyperlink>
            <w:bookmarkStart w:id="35" w:name="BMP_BI_L8KHXR82WW00000000000000000000"/>
            <w:bookmarkEnd w:id="35"/>
          </w:p>
        </w:tc>
        <w:tc>
          <w:tcPr>
            <w:tcW w:w="261" w:type="dxa"/>
            <w:tcBorders/>
            <w:shd w:fill="CCEEFF" w:val="clear"/>
            <w:vAlign w:val="center"/>
          </w:tcPr>
          <w:p>
            <w:pPr>
              <w:pStyle w:val="TableContents"/>
              <w:bidi w:val="0"/>
              <w:spacing w:before="0" w:after="283"/>
              <w:jc w:val="center"/>
              <w:rPr/>
            </w:pPr>
            <w:r>
              <w:rPr/>
              <w:t>29</w:t>
            </w:r>
          </w:p>
        </w:tc>
      </w:tr>
      <w:tr>
        <w:trPr/>
        <w:tc>
          <w:tcPr>
            <w:tcW w:w="614" w:type="dxa"/>
            <w:tcBorders/>
            <w:vAlign w:val="center"/>
          </w:tcPr>
          <w:p>
            <w:pPr>
              <w:pStyle w:val="TableContents"/>
              <w:bidi w:val="0"/>
              <w:spacing w:before="0" w:after="283"/>
              <w:jc w:val="left"/>
              <w:rPr/>
            </w:pPr>
            <w:r>
              <w:rPr/>
            </w:r>
          </w:p>
        </w:tc>
        <w:tc>
          <w:tcPr>
            <w:tcW w:w="9330" w:type="dxa"/>
            <w:tcBorders/>
            <w:vAlign w:val="center"/>
          </w:tcPr>
          <w:p>
            <w:pPr>
              <w:pStyle w:val="TableContents"/>
              <w:bidi w:val="0"/>
              <w:spacing w:before="0" w:after="283"/>
              <w:jc w:val="left"/>
              <w:rPr/>
            </w:pPr>
            <w:r>
              <w:rPr/>
            </w:r>
          </w:p>
        </w:tc>
        <w:tc>
          <w:tcPr>
            <w:tcW w:w="261" w:type="dxa"/>
            <w:tcBorders/>
            <w:vAlign w:val="center"/>
          </w:tcPr>
          <w:p>
            <w:pPr>
              <w:pStyle w:val="TableContents"/>
              <w:bidi w:val="0"/>
              <w:spacing w:before="0" w:after="283"/>
              <w:jc w:val="left"/>
              <w:rPr/>
            </w:pPr>
            <w:r>
              <w:rPr/>
            </w:r>
          </w:p>
        </w:tc>
      </w:tr>
      <w:tr>
        <w:trPr/>
        <w:tc>
          <w:tcPr>
            <w:tcW w:w="614" w:type="dxa"/>
            <w:tcBorders/>
            <w:shd w:fill="CCEEFF" w:val="clear"/>
            <w:vAlign w:val="center"/>
          </w:tcPr>
          <w:p>
            <w:pPr>
              <w:pStyle w:val="TableContents"/>
              <w:bidi w:val="0"/>
              <w:spacing w:before="0" w:after="283"/>
              <w:jc w:val="left"/>
              <w:rPr/>
            </w:pPr>
            <w:r>
              <w:rPr/>
            </w:r>
            <w:bookmarkStart w:id="36" w:name="BM_BJ_TSTI5UOPUO00000000000000000000"/>
            <w:bookmarkStart w:id="37" w:name="BM_BJ_TSTI5UOPUO00000000000000000000"/>
            <w:bookmarkEnd w:id="37"/>
          </w:p>
        </w:tc>
        <w:tc>
          <w:tcPr>
            <w:tcW w:w="9330" w:type="dxa"/>
            <w:tcBorders/>
            <w:shd w:fill="CCEEFF" w:val="clear"/>
            <w:vAlign w:val="center"/>
          </w:tcPr>
          <w:p>
            <w:pPr>
              <w:pStyle w:val="TableContents"/>
              <w:bidi w:val="0"/>
              <w:spacing w:before="0" w:after="283"/>
              <w:jc w:val="left"/>
              <w:rPr/>
            </w:pPr>
            <w:hyperlink w:anchor="BJ_TSTI5UOPUO00000000000000000000">
              <w:r>
                <w:rPr>
                  <w:rStyle w:val="InternetLink"/>
                  <w:b/>
                  <w:sz w:val="20"/>
                </w:rPr>
                <w:t>PART II - OTHER INFORMATION</w:t>
              </w:r>
            </w:hyperlink>
          </w:p>
        </w:tc>
        <w:tc>
          <w:tcPr>
            <w:tcW w:w="261" w:type="dxa"/>
            <w:tcBorders/>
            <w:shd w:fill="CCEEFF" w:val="clear"/>
            <w:vAlign w:val="center"/>
          </w:tcPr>
          <w:p>
            <w:pPr>
              <w:pStyle w:val="TableContents"/>
              <w:bidi w:val="0"/>
              <w:spacing w:before="0" w:after="283"/>
              <w:jc w:val="left"/>
              <w:rPr/>
            </w:pPr>
            <w:r>
              <w:rPr/>
            </w:r>
          </w:p>
        </w:tc>
      </w:tr>
      <w:tr>
        <w:trPr/>
        <w:tc>
          <w:tcPr>
            <w:tcW w:w="614" w:type="dxa"/>
            <w:tcBorders/>
            <w:vAlign w:val="center"/>
          </w:tcPr>
          <w:p>
            <w:pPr>
              <w:pStyle w:val="TableContents"/>
              <w:bidi w:val="0"/>
              <w:spacing w:before="0" w:after="283"/>
              <w:jc w:val="left"/>
              <w:rPr/>
            </w:pPr>
            <w:r>
              <w:rPr/>
            </w:r>
          </w:p>
        </w:tc>
        <w:tc>
          <w:tcPr>
            <w:tcW w:w="9330" w:type="dxa"/>
            <w:tcBorders/>
            <w:vAlign w:val="center"/>
          </w:tcPr>
          <w:p>
            <w:pPr>
              <w:pStyle w:val="TableContents"/>
              <w:bidi w:val="0"/>
              <w:spacing w:before="0" w:after="283"/>
              <w:jc w:val="left"/>
              <w:rPr/>
            </w:pPr>
            <w:r>
              <w:rPr/>
            </w:r>
          </w:p>
        </w:tc>
        <w:tc>
          <w:tcPr>
            <w:tcW w:w="261" w:type="dxa"/>
            <w:tcBorders/>
            <w:vAlign w:val="center"/>
          </w:tcPr>
          <w:p>
            <w:pPr>
              <w:pStyle w:val="TableContents"/>
              <w:bidi w:val="0"/>
              <w:spacing w:before="0" w:after="283"/>
              <w:jc w:val="left"/>
              <w:rPr/>
            </w:pPr>
            <w:r>
              <w:rPr/>
            </w:r>
          </w:p>
        </w:tc>
      </w:tr>
      <w:tr>
        <w:trPr/>
        <w:tc>
          <w:tcPr>
            <w:tcW w:w="614" w:type="dxa"/>
            <w:tcBorders/>
            <w:shd w:fill="CCEEFF" w:val="cle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1.</w:t>
            </w:r>
            <w:bookmarkStart w:id="38" w:name="BM_BK_UH0QH1ST6800000000000000000000"/>
            <w:bookmarkEnd w:id="38"/>
          </w:p>
        </w:tc>
        <w:tc>
          <w:tcPr>
            <w:tcW w:w="9330" w:type="dxa"/>
            <w:tcBorders/>
            <w:shd w:fill="CCEEFF" w:val="clear"/>
            <w:vAlign w:val="center"/>
          </w:tcPr>
          <w:p>
            <w:pPr>
              <w:pStyle w:val="TableContents"/>
              <w:bidi w:val="0"/>
              <w:spacing w:before="0" w:after="283"/>
              <w:jc w:val="left"/>
              <w:rPr/>
            </w:pPr>
            <w:hyperlink w:anchor="BK_UH0QH1ST6800000000000000000000">
              <w:r>
                <w:rPr>
                  <w:rStyle w:val="InternetLink"/>
                  <w:sz w:val="20"/>
                </w:rPr>
                <w:t>Legal Proceedings</w:t>
              </w:r>
            </w:hyperlink>
            <w:bookmarkStart w:id="39" w:name="BMP_BK_UH0QH1ST6800000000000000000000"/>
            <w:bookmarkEnd w:id="39"/>
          </w:p>
        </w:tc>
        <w:tc>
          <w:tcPr>
            <w:tcW w:w="261" w:type="dxa"/>
            <w:tcBorders/>
            <w:shd w:fill="CCEEFF" w:val="clear"/>
            <w:vAlign w:val="center"/>
          </w:tcPr>
          <w:p>
            <w:pPr>
              <w:pStyle w:val="TableContents"/>
              <w:bidi w:val="0"/>
              <w:spacing w:before="0" w:after="283"/>
              <w:jc w:val="center"/>
              <w:rPr/>
            </w:pPr>
            <w:r>
              <w:rPr/>
              <w:t>29</w:t>
            </w:r>
          </w:p>
        </w:tc>
      </w:tr>
      <w:tr>
        <w:trPr/>
        <w:tc>
          <w:tcPr>
            <w:tcW w:w="614" w:type="dxa"/>
            <w:tcBorders/>
            <w:vAlign w:val="center"/>
          </w:tcPr>
          <w:p>
            <w:pPr>
              <w:pStyle w:val="TableContents"/>
              <w:bidi w:val="0"/>
              <w:spacing w:before="0" w:after="283"/>
              <w:jc w:val="left"/>
              <w:rPr/>
            </w:pPr>
            <w:r>
              <w:rPr/>
            </w:r>
          </w:p>
        </w:tc>
        <w:tc>
          <w:tcPr>
            <w:tcW w:w="9330" w:type="dxa"/>
            <w:tcBorders/>
            <w:vAlign w:val="center"/>
          </w:tcPr>
          <w:p>
            <w:pPr>
              <w:pStyle w:val="TableContents"/>
              <w:bidi w:val="0"/>
              <w:spacing w:before="0" w:after="283"/>
              <w:jc w:val="left"/>
              <w:rPr/>
            </w:pPr>
            <w:r>
              <w:rPr/>
            </w:r>
          </w:p>
        </w:tc>
        <w:tc>
          <w:tcPr>
            <w:tcW w:w="261" w:type="dxa"/>
            <w:tcBorders/>
            <w:vAlign w:val="center"/>
          </w:tcPr>
          <w:p>
            <w:pPr>
              <w:pStyle w:val="TableContents"/>
              <w:bidi w:val="0"/>
              <w:spacing w:before="0" w:after="283"/>
              <w:jc w:val="left"/>
              <w:rPr/>
            </w:pPr>
            <w:r>
              <w:rPr/>
            </w:r>
          </w:p>
        </w:tc>
      </w:tr>
      <w:tr>
        <w:trPr/>
        <w:tc>
          <w:tcPr>
            <w:tcW w:w="614" w:type="dxa"/>
            <w:tcBorders/>
            <w:shd w:fill="CCEEFF" w:val="cle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1A.</w:t>
            </w:r>
            <w:bookmarkStart w:id="40" w:name="BM_BL_C8C33AXDV400000000000000000000"/>
            <w:bookmarkEnd w:id="40"/>
          </w:p>
        </w:tc>
        <w:tc>
          <w:tcPr>
            <w:tcW w:w="9330" w:type="dxa"/>
            <w:tcBorders/>
            <w:shd w:fill="CCEEFF" w:val="clear"/>
            <w:vAlign w:val="center"/>
          </w:tcPr>
          <w:p>
            <w:pPr>
              <w:pStyle w:val="TableContents"/>
              <w:bidi w:val="0"/>
              <w:spacing w:before="0" w:after="283"/>
              <w:jc w:val="left"/>
              <w:rPr/>
            </w:pPr>
            <w:hyperlink w:anchor="BL_C8C33AXDV400000000000000000000">
              <w:r>
                <w:rPr>
                  <w:rStyle w:val="InternetLink"/>
                  <w:sz w:val="20"/>
                </w:rPr>
                <w:t>Risk Factors</w:t>
              </w:r>
            </w:hyperlink>
            <w:bookmarkStart w:id="41" w:name="BMP_BL_C8C33AXDV400000000000000000000"/>
            <w:bookmarkEnd w:id="41"/>
          </w:p>
        </w:tc>
        <w:tc>
          <w:tcPr>
            <w:tcW w:w="261" w:type="dxa"/>
            <w:tcBorders/>
            <w:shd w:fill="CCEEFF" w:val="clear"/>
            <w:vAlign w:val="center"/>
          </w:tcPr>
          <w:p>
            <w:pPr>
              <w:pStyle w:val="TableContents"/>
              <w:bidi w:val="0"/>
              <w:spacing w:before="0" w:after="283"/>
              <w:jc w:val="center"/>
              <w:rPr/>
            </w:pPr>
            <w:r>
              <w:rPr/>
              <w:t>29</w:t>
            </w:r>
          </w:p>
        </w:tc>
      </w:tr>
      <w:tr>
        <w:trPr/>
        <w:tc>
          <w:tcPr>
            <w:tcW w:w="614" w:type="dxa"/>
            <w:tcBorders/>
            <w:vAlign w:val="center"/>
          </w:tcPr>
          <w:p>
            <w:pPr>
              <w:pStyle w:val="TableContents"/>
              <w:bidi w:val="0"/>
              <w:spacing w:before="0" w:after="283"/>
              <w:jc w:val="left"/>
              <w:rPr/>
            </w:pPr>
            <w:r>
              <w:rPr/>
            </w:r>
          </w:p>
        </w:tc>
        <w:tc>
          <w:tcPr>
            <w:tcW w:w="9330" w:type="dxa"/>
            <w:tcBorders/>
            <w:vAlign w:val="center"/>
          </w:tcPr>
          <w:p>
            <w:pPr>
              <w:pStyle w:val="TableContents"/>
              <w:bidi w:val="0"/>
              <w:spacing w:before="0" w:after="283"/>
              <w:jc w:val="left"/>
              <w:rPr/>
            </w:pPr>
            <w:r>
              <w:rPr/>
            </w:r>
          </w:p>
        </w:tc>
        <w:tc>
          <w:tcPr>
            <w:tcW w:w="261" w:type="dxa"/>
            <w:tcBorders/>
            <w:vAlign w:val="center"/>
          </w:tcPr>
          <w:p>
            <w:pPr>
              <w:pStyle w:val="TableContents"/>
              <w:bidi w:val="0"/>
              <w:spacing w:before="0" w:after="283"/>
              <w:jc w:val="left"/>
              <w:rPr/>
            </w:pPr>
            <w:r>
              <w:rPr/>
            </w:r>
          </w:p>
        </w:tc>
      </w:tr>
      <w:tr>
        <w:trPr/>
        <w:tc>
          <w:tcPr>
            <w:tcW w:w="614" w:type="dxa"/>
            <w:tcBorders/>
            <w:shd w:fill="CCEEFF" w:val="cle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2.</w:t>
            </w:r>
            <w:bookmarkStart w:id="42" w:name="BM_BM_PXV2XAM1KG00000000000000000000"/>
            <w:bookmarkEnd w:id="42"/>
          </w:p>
        </w:tc>
        <w:tc>
          <w:tcPr>
            <w:tcW w:w="9330" w:type="dxa"/>
            <w:tcBorders/>
            <w:shd w:fill="CCEEFF" w:val="clear"/>
            <w:vAlign w:val="center"/>
          </w:tcPr>
          <w:p>
            <w:pPr>
              <w:pStyle w:val="TableContents"/>
              <w:bidi w:val="0"/>
              <w:spacing w:before="0" w:after="283"/>
              <w:jc w:val="left"/>
              <w:rPr/>
            </w:pPr>
            <w:hyperlink w:anchor="BM_PXV2XAM1KG00000000000000000000">
              <w:r>
                <w:rPr>
                  <w:rStyle w:val="InternetLink"/>
                  <w:sz w:val="20"/>
                </w:rPr>
                <w:t>Unregistered Sales of Equity Securities and Use of Proceeds</w:t>
              </w:r>
            </w:hyperlink>
            <w:bookmarkStart w:id="43" w:name="BMP_BM_PXV2XAM1KG00000000000000000000"/>
            <w:bookmarkEnd w:id="43"/>
          </w:p>
        </w:tc>
        <w:tc>
          <w:tcPr>
            <w:tcW w:w="261" w:type="dxa"/>
            <w:tcBorders/>
            <w:shd w:fill="CCEEFF" w:val="clear"/>
            <w:vAlign w:val="center"/>
          </w:tcPr>
          <w:p>
            <w:pPr>
              <w:pStyle w:val="TableContents"/>
              <w:bidi w:val="0"/>
              <w:spacing w:before="0" w:after="283"/>
              <w:jc w:val="center"/>
              <w:rPr/>
            </w:pPr>
            <w:r>
              <w:rPr/>
              <w:t>30</w:t>
            </w:r>
          </w:p>
        </w:tc>
      </w:tr>
      <w:tr>
        <w:trPr/>
        <w:tc>
          <w:tcPr>
            <w:tcW w:w="614" w:type="dxa"/>
            <w:tcBorders/>
            <w:vAlign w:val="center"/>
          </w:tcPr>
          <w:p>
            <w:pPr>
              <w:pStyle w:val="TableContents"/>
              <w:bidi w:val="0"/>
              <w:spacing w:before="0" w:after="283"/>
              <w:jc w:val="left"/>
              <w:rPr/>
            </w:pPr>
            <w:r>
              <w:rPr/>
            </w:r>
          </w:p>
        </w:tc>
        <w:tc>
          <w:tcPr>
            <w:tcW w:w="9330" w:type="dxa"/>
            <w:tcBorders/>
            <w:vAlign w:val="center"/>
          </w:tcPr>
          <w:p>
            <w:pPr>
              <w:pStyle w:val="TableContents"/>
              <w:bidi w:val="0"/>
              <w:spacing w:before="0" w:after="283"/>
              <w:jc w:val="left"/>
              <w:rPr/>
            </w:pPr>
            <w:r>
              <w:rPr/>
            </w:r>
          </w:p>
        </w:tc>
        <w:tc>
          <w:tcPr>
            <w:tcW w:w="261" w:type="dxa"/>
            <w:tcBorders/>
            <w:vAlign w:val="center"/>
          </w:tcPr>
          <w:p>
            <w:pPr>
              <w:pStyle w:val="TableContents"/>
              <w:bidi w:val="0"/>
              <w:spacing w:before="0" w:after="283"/>
              <w:jc w:val="left"/>
              <w:rPr/>
            </w:pPr>
            <w:r>
              <w:rPr/>
            </w:r>
          </w:p>
        </w:tc>
      </w:tr>
      <w:tr>
        <w:trPr/>
        <w:tc>
          <w:tcPr>
            <w:tcW w:w="614" w:type="dxa"/>
            <w:tcBorders/>
            <w:shd w:fill="CCEEFF" w:val="cle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3.</w:t>
            </w:r>
            <w:bookmarkStart w:id="44" w:name="BM_BN_EVKECWSW2800000000000000000000"/>
            <w:bookmarkEnd w:id="44"/>
          </w:p>
        </w:tc>
        <w:tc>
          <w:tcPr>
            <w:tcW w:w="9330" w:type="dxa"/>
            <w:tcBorders/>
            <w:shd w:fill="CCEEFF" w:val="clear"/>
            <w:vAlign w:val="center"/>
          </w:tcPr>
          <w:p>
            <w:pPr>
              <w:pStyle w:val="TableContents"/>
              <w:bidi w:val="0"/>
              <w:spacing w:before="0" w:after="283"/>
              <w:jc w:val="left"/>
              <w:rPr/>
            </w:pPr>
            <w:hyperlink w:anchor="BN_EVKECWSW2800000000000000000000">
              <w:r>
                <w:rPr>
                  <w:rStyle w:val="InternetLink"/>
                  <w:sz w:val="20"/>
                </w:rPr>
                <w:t>Defaults Upon Senior Securities</w:t>
              </w:r>
            </w:hyperlink>
            <w:bookmarkStart w:id="45" w:name="BMP_BN_EVKECWSW2800000000000000000000"/>
            <w:bookmarkEnd w:id="45"/>
          </w:p>
        </w:tc>
        <w:tc>
          <w:tcPr>
            <w:tcW w:w="261" w:type="dxa"/>
            <w:tcBorders/>
            <w:shd w:fill="CCEEFF" w:val="clear"/>
            <w:vAlign w:val="center"/>
          </w:tcPr>
          <w:p>
            <w:pPr>
              <w:pStyle w:val="TableContents"/>
              <w:bidi w:val="0"/>
              <w:spacing w:before="0" w:after="283"/>
              <w:jc w:val="center"/>
              <w:rPr/>
            </w:pPr>
            <w:r>
              <w:rPr/>
              <w:t>30</w:t>
            </w:r>
          </w:p>
        </w:tc>
      </w:tr>
      <w:tr>
        <w:trPr/>
        <w:tc>
          <w:tcPr>
            <w:tcW w:w="614" w:type="dxa"/>
            <w:tcBorders/>
            <w:vAlign w:val="center"/>
          </w:tcPr>
          <w:p>
            <w:pPr>
              <w:pStyle w:val="TableContents"/>
              <w:bidi w:val="0"/>
              <w:spacing w:before="0" w:after="283"/>
              <w:jc w:val="left"/>
              <w:rPr/>
            </w:pPr>
            <w:r>
              <w:rPr/>
            </w:r>
          </w:p>
        </w:tc>
        <w:tc>
          <w:tcPr>
            <w:tcW w:w="9330" w:type="dxa"/>
            <w:tcBorders/>
            <w:vAlign w:val="center"/>
          </w:tcPr>
          <w:p>
            <w:pPr>
              <w:pStyle w:val="TableContents"/>
              <w:bidi w:val="0"/>
              <w:spacing w:before="0" w:after="283"/>
              <w:jc w:val="left"/>
              <w:rPr/>
            </w:pPr>
            <w:r>
              <w:rPr/>
            </w:r>
          </w:p>
        </w:tc>
        <w:tc>
          <w:tcPr>
            <w:tcW w:w="261" w:type="dxa"/>
            <w:tcBorders/>
            <w:vAlign w:val="center"/>
          </w:tcPr>
          <w:p>
            <w:pPr>
              <w:pStyle w:val="TableContents"/>
              <w:bidi w:val="0"/>
              <w:spacing w:before="0" w:after="283"/>
              <w:jc w:val="left"/>
              <w:rPr/>
            </w:pPr>
            <w:r>
              <w:rPr/>
            </w:r>
          </w:p>
        </w:tc>
      </w:tr>
      <w:tr>
        <w:trPr/>
        <w:tc>
          <w:tcPr>
            <w:tcW w:w="614" w:type="dxa"/>
            <w:tcBorders/>
            <w:shd w:fill="CCEEFF" w:val="cle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4.</w:t>
            </w:r>
            <w:bookmarkStart w:id="46" w:name="BM_BO_VVB037J0C000000000000000000000"/>
            <w:bookmarkEnd w:id="46"/>
          </w:p>
        </w:tc>
        <w:tc>
          <w:tcPr>
            <w:tcW w:w="9330" w:type="dxa"/>
            <w:tcBorders/>
            <w:shd w:fill="CCEEFF" w:val="clear"/>
            <w:vAlign w:val="center"/>
          </w:tcPr>
          <w:p>
            <w:pPr>
              <w:pStyle w:val="TableContents"/>
              <w:bidi w:val="0"/>
              <w:spacing w:before="0" w:after="283"/>
              <w:jc w:val="left"/>
              <w:rPr/>
            </w:pPr>
            <w:hyperlink w:anchor="BO_VVB037J0C000000000000000000000">
              <w:r>
                <w:rPr>
                  <w:rStyle w:val="InternetLink"/>
                  <w:sz w:val="20"/>
                </w:rPr>
                <w:t>Mine Safety Disclosures</w:t>
              </w:r>
            </w:hyperlink>
            <w:bookmarkStart w:id="47" w:name="BMP_BO_VVB037J0C000000000000000000000"/>
            <w:bookmarkEnd w:id="47"/>
          </w:p>
        </w:tc>
        <w:tc>
          <w:tcPr>
            <w:tcW w:w="261" w:type="dxa"/>
            <w:tcBorders/>
            <w:shd w:fill="CCEEFF" w:val="clear"/>
            <w:vAlign w:val="center"/>
          </w:tcPr>
          <w:p>
            <w:pPr>
              <w:pStyle w:val="TableContents"/>
              <w:bidi w:val="0"/>
              <w:spacing w:before="0" w:after="283"/>
              <w:jc w:val="center"/>
              <w:rPr/>
            </w:pPr>
            <w:r>
              <w:rPr/>
              <w:t>30</w:t>
            </w:r>
          </w:p>
        </w:tc>
      </w:tr>
      <w:tr>
        <w:trPr/>
        <w:tc>
          <w:tcPr>
            <w:tcW w:w="614" w:type="dxa"/>
            <w:tcBorders/>
            <w:vAlign w:val="center"/>
          </w:tcPr>
          <w:p>
            <w:pPr>
              <w:pStyle w:val="TableContents"/>
              <w:bidi w:val="0"/>
              <w:spacing w:before="0" w:after="283"/>
              <w:jc w:val="left"/>
              <w:rPr/>
            </w:pPr>
            <w:r>
              <w:rPr/>
            </w:r>
          </w:p>
        </w:tc>
        <w:tc>
          <w:tcPr>
            <w:tcW w:w="9330" w:type="dxa"/>
            <w:tcBorders/>
            <w:vAlign w:val="center"/>
          </w:tcPr>
          <w:p>
            <w:pPr>
              <w:pStyle w:val="TableContents"/>
              <w:bidi w:val="0"/>
              <w:spacing w:before="0" w:after="283"/>
              <w:jc w:val="left"/>
              <w:rPr/>
            </w:pPr>
            <w:r>
              <w:rPr/>
            </w:r>
          </w:p>
        </w:tc>
        <w:tc>
          <w:tcPr>
            <w:tcW w:w="261" w:type="dxa"/>
            <w:tcBorders/>
            <w:vAlign w:val="center"/>
          </w:tcPr>
          <w:p>
            <w:pPr>
              <w:pStyle w:val="TableContents"/>
              <w:bidi w:val="0"/>
              <w:spacing w:before="0" w:after="283"/>
              <w:jc w:val="left"/>
              <w:rPr/>
            </w:pPr>
            <w:r>
              <w:rPr/>
            </w:r>
          </w:p>
        </w:tc>
      </w:tr>
      <w:tr>
        <w:trPr/>
        <w:tc>
          <w:tcPr>
            <w:tcW w:w="614" w:type="dxa"/>
            <w:tcBorders/>
            <w:shd w:fill="CCEEFF" w:val="cle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5.</w:t>
            </w:r>
            <w:bookmarkStart w:id="48" w:name="BM_BP_0LWBX5JVNK00000000000000000000"/>
            <w:bookmarkEnd w:id="48"/>
          </w:p>
        </w:tc>
        <w:tc>
          <w:tcPr>
            <w:tcW w:w="9330" w:type="dxa"/>
            <w:tcBorders/>
            <w:shd w:fill="CCEEFF" w:val="clear"/>
            <w:vAlign w:val="center"/>
          </w:tcPr>
          <w:p>
            <w:pPr>
              <w:pStyle w:val="TableContents"/>
              <w:bidi w:val="0"/>
              <w:spacing w:before="0" w:after="283"/>
              <w:jc w:val="left"/>
              <w:rPr/>
            </w:pPr>
            <w:hyperlink w:anchor="BP_0LWBX5JVNK00000000000000000000">
              <w:r>
                <w:rPr>
                  <w:rStyle w:val="InternetLink"/>
                  <w:sz w:val="20"/>
                </w:rPr>
                <w:t>Other Information</w:t>
              </w:r>
            </w:hyperlink>
            <w:bookmarkStart w:id="49" w:name="BMP_BP_0LWBX5JVNK00000000000000000000"/>
            <w:bookmarkEnd w:id="49"/>
          </w:p>
        </w:tc>
        <w:tc>
          <w:tcPr>
            <w:tcW w:w="261" w:type="dxa"/>
            <w:tcBorders/>
            <w:shd w:fill="CCEEFF" w:val="clear"/>
            <w:vAlign w:val="center"/>
          </w:tcPr>
          <w:p>
            <w:pPr>
              <w:pStyle w:val="TableContents"/>
              <w:bidi w:val="0"/>
              <w:spacing w:before="0" w:after="283"/>
              <w:jc w:val="center"/>
              <w:rPr/>
            </w:pPr>
            <w:r>
              <w:rPr/>
              <w:t>30</w:t>
            </w:r>
          </w:p>
        </w:tc>
      </w:tr>
      <w:tr>
        <w:trPr/>
        <w:tc>
          <w:tcPr>
            <w:tcW w:w="614" w:type="dxa"/>
            <w:tcBorders/>
            <w:vAlign w:val="center"/>
          </w:tcPr>
          <w:p>
            <w:pPr>
              <w:pStyle w:val="TableContents"/>
              <w:bidi w:val="0"/>
              <w:spacing w:before="0" w:after="283"/>
              <w:jc w:val="left"/>
              <w:rPr/>
            </w:pPr>
            <w:r>
              <w:rPr/>
            </w:r>
          </w:p>
        </w:tc>
        <w:tc>
          <w:tcPr>
            <w:tcW w:w="9330" w:type="dxa"/>
            <w:tcBorders/>
            <w:vAlign w:val="center"/>
          </w:tcPr>
          <w:p>
            <w:pPr>
              <w:pStyle w:val="TableContents"/>
              <w:bidi w:val="0"/>
              <w:spacing w:before="0" w:after="283"/>
              <w:jc w:val="left"/>
              <w:rPr/>
            </w:pPr>
            <w:r>
              <w:rPr/>
            </w:r>
          </w:p>
        </w:tc>
        <w:tc>
          <w:tcPr>
            <w:tcW w:w="261" w:type="dxa"/>
            <w:tcBorders/>
            <w:vAlign w:val="center"/>
          </w:tcPr>
          <w:p>
            <w:pPr>
              <w:pStyle w:val="TableContents"/>
              <w:bidi w:val="0"/>
              <w:spacing w:before="0" w:after="283"/>
              <w:jc w:val="left"/>
              <w:rPr/>
            </w:pPr>
            <w:r>
              <w:rPr/>
            </w:r>
          </w:p>
        </w:tc>
      </w:tr>
      <w:tr>
        <w:trPr/>
        <w:tc>
          <w:tcPr>
            <w:tcW w:w="614" w:type="dxa"/>
            <w:tcBorders/>
            <w:shd w:fill="CCEEFF" w:val="cle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6.</w:t>
            </w:r>
            <w:bookmarkStart w:id="50" w:name="BM_Bit6_1272025194021232"/>
            <w:bookmarkEnd w:id="50"/>
          </w:p>
        </w:tc>
        <w:tc>
          <w:tcPr>
            <w:tcW w:w="9330" w:type="dxa"/>
            <w:tcBorders/>
            <w:shd w:fill="CCEEFF" w:val="clear"/>
            <w:vAlign w:val="center"/>
          </w:tcPr>
          <w:p>
            <w:pPr>
              <w:pStyle w:val="TableContents"/>
              <w:bidi w:val="0"/>
              <w:spacing w:before="0" w:after="283"/>
              <w:jc w:val="left"/>
              <w:rPr/>
            </w:pPr>
            <w:hyperlink w:anchor="Bit6_1272025202146458">
              <w:r>
                <w:rPr>
                  <w:rStyle w:val="InternetLink"/>
                  <w:sz w:val="20"/>
                </w:rPr>
                <w:t>Exhibits</w:t>
              </w:r>
            </w:hyperlink>
            <w:bookmarkStart w:id="51" w:name="BMP_Bit6_1272025202146458"/>
            <w:bookmarkEnd w:id="51"/>
          </w:p>
        </w:tc>
        <w:tc>
          <w:tcPr>
            <w:tcW w:w="261" w:type="dxa"/>
            <w:tcBorders/>
            <w:shd w:fill="CCEEFF" w:val="clear"/>
            <w:vAlign w:val="center"/>
          </w:tcPr>
          <w:p>
            <w:pPr>
              <w:pStyle w:val="TableContents"/>
              <w:bidi w:val="0"/>
              <w:spacing w:before="0" w:after="283"/>
              <w:jc w:val="center"/>
              <w:rPr/>
            </w:pPr>
            <w:r>
              <w:rPr/>
              <w:t>31</w:t>
            </w:r>
          </w:p>
        </w:tc>
      </w:tr>
    </w:tbl>
    <w:p>
      <w:pPr>
        <w:pStyle w:val="TextBody"/>
        <w:bidi w:val="0"/>
        <w:spacing w:before="0" w:after="0"/>
        <w:ind w:left="144" w:right="144" w:hanging="0"/>
        <w:jc w:val="center"/>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bookmarkStart w:id="52" w:name="PageBreakNo2"/>
            <w:bookmarkEnd w:id="52"/>
            <w:r>
              <w:rPr>
                <w:sz w:val="20"/>
              </w:rPr>
              <w:t>2</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 w:hAnsi="times new roman;times"/>
            <w:sz w:val="20"/>
          </w:rPr>
          <w:t>Table of Contents</w:t>
        </w:r>
      </w:hyperlink>
    </w:p>
    <w:p>
      <w:pPr>
        <w:pStyle w:val="TextBody"/>
        <w:bidi w:val="0"/>
        <w:spacing w:lineRule="auto" w:line="288" w:before="200" w:after="200"/>
        <w:ind w:left="0" w:right="0" w:hanging="0"/>
        <w:jc w:val="both"/>
        <w:rPr/>
      </w:pPr>
      <w:hyperlink r:id="rId2">
        <w:bookmarkStart w:id="53" w:name="BA_ITXHYI3BG000000000000000000000"/>
        <w:bookmarkEnd w:id="53"/>
        <w:r>
          <w:rPr>
            <w:rStyle w:val="InternetLink"/>
            <w:rFonts w:ascii="Times New Roman" w:hAnsi="Times New Roman"/>
            <w:b/>
            <w:strike w:val="false"/>
            <w:dstrike w:val="false"/>
            <w:color w:val="000000"/>
            <w:sz w:val="20"/>
            <w:u w:val="none"/>
            <w:effect w:val="none"/>
          </w:rPr>
          <w:t>PART I - FINANCIAL INFORMATION</w:t>
        </w:r>
      </w:hyperlink>
    </w:p>
    <w:p>
      <w:pPr>
        <w:pStyle w:val="TextBody"/>
        <w:bidi w:val="0"/>
        <w:spacing w:lineRule="auto" w:line="288"/>
        <w:ind w:left="0" w:right="0" w:hanging="0"/>
        <w:jc w:val="both"/>
        <w:rPr/>
      </w:pPr>
      <w:hyperlink r:id="rId3">
        <w:bookmarkStart w:id="54" w:name="BB_DACLJMO6HS00000000000000000000"/>
        <w:bookmarkEnd w:id="54"/>
        <w:r>
          <w:rPr>
            <w:rStyle w:val="InternetLink"/>
            <w:rFonts w:ascii="Times New Roman" w:hAnsi="Times New Roman"/>
            <w:b/>
            <w:strike w:val="false"/>
            <w:dstrike w:val="false"/>
            <w:color w:val="000000"/>
            <w:sz w:val="20"/>
            <w:u w:val="none"/>
            <w:effect w:val="none"/>
          </w:rPr>
          <w:t xml:space="preserve">Item </w:t>
        </w:r>
      </w:hyperlink>
      <w:hyperlink r:id="rId4">
        <w:bookmarkStart w:id="55" w:name="fs_ZX1F4AO7NK00000000000000000000fs"/>
        <w:bookmarkEnd w:id="55"/>
        <w:r>
          <w:rPr>
            <w:rStyle w:val="InternetLink"/>
            <w:rFonts w:ascii="Times New Roman" w:hAnsi="Times New Roman"/>
            <w:b/>
            <w:strike w:val="false"/>
            <w:dstrike w:val="false"/>
            <w:color w:val="000000"/>
            <w:sz w:val="20"/>
            <w:u w:val="none"/>
            <w:effect w:val="none"/>
          </w:rPr>
          <w:t>1</w:t>
        </w:r>
      </w:hyperlink>
      <w:hyperlink r:id="rId5">
        <w:r>
          <w:rPr>
            <w:rStyle w:val="InternetLink"/>
            <w:rFonts w:ascii="Times New Roman" w:hAnsi="Times New Roman"/>
            <w:b/>
            <w:strike w:val="false"/>
            <w:dstrike w:val="false"/>
            <w:color w:val="000000"/>
            <w:sz w:val="20"/>
            <w:u w:val="none"/>
            <w:effect w:val="none"/>
          </w:rPr>
          <w:t>. FINANCIAL STATEMENTS</w:t>
        </w:r>
      </w:hyperlink>
    </w:p>
    <w:p>
      <w:pPr>
        <w:pStyle w:val="TextBody"/>
        <w:bidi w:val="0"/>
        <w:spacing w:lineRule="auto" w:line="288" w:before="200" w:after="0"/>
        <w:ind w:left="144" w:right="144" w:hanging="0"/>
        <w:jc w:val="center"/>
        <w:rPr>
          <w:rFonts w:ascii="Times New Roman" w:hAnsi="Times New Roman"/>
          <w:b/>
          <w:sz w:val="20"/>
        </w:rPr>
      </w:pPr>
      <w:r>
        <w:rPr>
          <w:rFonts w:ascii="Times New Roman" w:hAnsi="Times New Roman"/>
          <w:b/>
          <w:sz w:val="20"/>
        </w:rPr>
        <w:t>CLEARONE, INC</w:t>
      </w:r>
    </w:p>
    <w:p>
      <w:pPr>
        <w:pStyle w:val="TextBody"/>
        <w:bidi w:val="0"/>
        <w:spacing w:lineRule="auto" w:line="288"/>
        <w:ind w:left="144" w:right="144" w:hanging="0"/>
        <w:jc w:val="center"/>
        <w:rPr/>
      </w:pPr>
      <w:hyperlink r:id="rId6">
        <w:bookmarkStart w:id="56" w:name="BC_67A6VPX3U800000000000000000000"/>
        <w:bookmarkEnd w:id="56"/>
        <w:r>
          <w:rPr>
            <w:rStyle w:val="InternetLink"/>
            <w:rFonts w:ascii="Times New Roman" w:hAnsi="Times New Roman"/>
            <w:b/>
            <w:strike w:val="false"/>
            <w:dstrike w:val="false"/>
            <w:color w:val="000000"/>
            <w:sz w:val="20"/>
            <w:u w:val="none"/>
            <w:effect w:val="none"/>
          </w:rPr>
          <w:t>UNAUDITED CONDENSED CONSOLIDATED BALANCE SHEETS</w:t>
        </w:r>
      </w:hyperlink>
    </w:p>
    <w:p>
      <w:pPr>
        <w:pStyle w:val="TextBody"/>
        <w:bidi w:val="0"/>
        <w:spacing w:lineRule="auto" w:line="288" w:before="0" w:after="200"/>
        <w:ind w:left="144" w:right="144" w:hanging="0"/>
        <w:jc w:val="center"/>
        <w:rPr>
          <w:rFonts w:ascii="Times New Roman" w:hAnsi="Times New Roman"/>
          <w:sz w:val="20"/>
        </w:rPr>
      </w:pPr>
      <w:r>
        <w:rPr>
          <w:rFonts w:ascii="Times New Roman" w:hAnsi="Times New Roman"/>
          <w:sz w:val="20"/>
        </w:rPr>
        <w:t>(Dollars in thousands, except par value)</w:t>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7317"/>
        <w:gridCol w:w="23"/>
        <w:gridCol w:w="232"/>
        <w:gridCol w:w="1103"/>
        <w:gridCol w:w="95"/>
        <w:gridCol w:w="23"/>
        <w:gridCol w:w="227"/>
        <w:gridCol w:w="1064"/>
        <w:gridCol w:w="121"/>
      </w:tblGrid>
      <w:tr>
        <w:trPr/>
        <w:tc>
          <w:tcPr>
            <w:tcW w:w="7317" w:type="dxa"/>
            <w:tcBorders/>
            <w:vAlign w:val="center"/>
          </w:tcPr>
          <w:p>
            <w:pPr>
              <w:pStyle w:val="TableContents"/>
              <w:bidi w:val="0"/>
              <w:spacing w:before="0" w:after="0"/>
              <w:ind w:left="0" w:right="0" w:hanging="0"/>
              <w:jc w:val="left"/>
              <w:rPr/>
            </w:pPr>
            <w:r>
              <w:rPr/>
            </w:r>
          </w:p>
        </w:tc>
        <w:tc>
          <w:tcPr>
            <w:tcW w:w="23" w:type="dxa"/>
            <w:tcBorders/>
            <w:vAlign w:val="center"/>
          </w:tcPr>
          <w:p>
            <w:pPr>
              <w:pStyle w:val="TableContents"/>
              <w:bidi w:val="0"/>
              <w:spacing w:before="0" w:after="0"/>
              <w:ind w:left="0" w:right="0" w:hanging="0"/>
              <w:jc w:val="left"/>
              <w:rPr/>
            </w:pPr>
            <w:r>
              <w:rPr/>
            </w:r>
          </w:p>
        </w:tc>
        <w:tc>
          <w:tcPr>
            <w:tcW w:w="1335" w:type="dxa"/>
            <w:gridSpan w:val="2"/>
            <w:tcBorders/>
            <w:vAlign w:val="center"/>
          </w:tcPr>
          <w:p>
            <w:pPr>
              <w:pStyle w:val="TableContents"/>
              <w:bidi w:val="0"/>
              <w:spacing w:before="0" w:after="0"/>
              <w:ind w:left="0" w:right="0" w:hanging="0"/>
              <w:jc w:val="center"/>
              <w:rPr>
                <w:rFonts w:ascii="Times New Roman" w:hAnsi="Times New Roman"/>
                <w:b/>
                <w:sz w:val="20"/>
              </w:rPr>
            </w:pPr>
            <w:bookmarkStart w:id="57" w:name="fs_E9YN51KTWW00000000000000000000FM"/>
            <w:bookmarkEnd w:id="57"/>
            <w:r>
              <w:rPr>
                <w:rFonts w:ascii="Times New Roman" w:hAnsi="Times New Roman"/>
                <w:b/>
                <w:sz w:val="20"/>
              </w:rPr>
              <w:t xml:space="preserve">September 30, 2025 </w:t>
            </w:r>
          </w:p>
        </w:tc>
        <w:tc>
          <w:tcPr>
            <w:tcW w:w="95" w:type="dxa"/>
            <w:tcBorders/>
            <w:vAlign w:val="center"/>
          </w:tcPr>
          <w:p>
            <w:pPr>
              <w:pStyle w:val="TableContents"/>
              <w:bidi w:val="0"/>
              <w:spacing w:before="0" w:after="0"/>
              <w:ind w:left="0" w:right="0" w:hanging="0"/>
              <w:jc w:val="left"/>
              <w:rPr/>
            </w:pPr>
            <w:r>
              <w:rPr/>
            </w:r>
          </w:p>
        </w:tc>
        <w:tc>
          <w:tcPr>
            <w:tcW w:w="23" w:type="dxa"/>
            <w:tcBorders/>
            <w:vAlign w:val="center"/>
          </w:tcPr>
          <w:p>
            <w:pPr>
              <w:pStyle w:val="TableContents"/>
              <w:bidi w:val="0"/>
              <w:spacing w:before="0" w:after="0"/>
              <w:ind w:left="0" w:right="0" w:hanging="0"/>
              <w:jc w:val="left"/>
              <w:rPr/>
            </w:pPr>
            <w:r>
              <w:rPr/>
            </w:r>
          </w:p>
        </w:tc>
        <w:tc>
          <w:tcPr>
            <w:tcW w:w="1291" w:type="dxa"/>
            <w:gridSpan w:val="2"/>
            <w:tcBorders/>
            <w:vAlign w:val="center"/>
          </w:tcPr>
          <w:p>
            <w:pPr>
              <w:pStyle w:val="TableContents"/>
              <w:bidi w:val="0"/>
              <w:spacing w:before="0" w:after="0"/>
              <w:ind w:left="0" w:right="0" w:hanging="0"/>
              <w:jc w:val="center"/>
              <w:rPr>
                <w:rFonts w:ascii="Times New Roman" w:hAnsi="Times New Roman"/>
                <w:b/>
                <w:sz w:val="20"/>
              </w:rPr>
            </w:pPr>
            <w:bookmarkStart w:id="58" w:name="fs_QS6X4K1V8000000000000000000000FM"/>
            <w:bookmarkEnd w:id="58"/>
            <w:r>
              <w:rPr>
                <w:rFonts w:ascii="Times New Roman" w:hAnsi="Times New Roman"/>
                <w:b/>
                <w:sz w:val="20"/>
              </w:rPr>
              <w:t xml:space="preserve">December 31, 2024 </w:t>
            </w:r>
          </w:p>
        </w:tc>
        <w:tc>
          <w:tcPr>
            <w:tcW w:w="121" w:type="dxa"/>
            <w:tcBorders/>
            <w:vAlign w:val="center"/>
          </w:tcPr>
          <w:p>
            <w:pPr>
              <w:pStyle w:val="TableContents"/>
              <w:bidi w:val="0"/>
              <w:spacing w:before="0" w:after="0"/>
              <w:ind w:left="0" w:right="0" w:hanging="0"/>
              <w:jc w:val="left"/>
              <w:rPr/>
            </w:pPr>
            <w:r>
              <w:rPr/>
            </w:r>
          </w:p>
        </w:tc>
      </w:tr>
      <w:tr>
        <w:trPr/>
        <w:tc>
          <w:tcPr>
            <w:tcW w:w="7317" w:type="dxa"/>
            <w:tcBorders/>
            <w:shd w:fill="CCEEFF" w:val="cle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ASSETS </w:t>
            </w:r>
          </w:p>
        </w:tc>
        <w:tc>
          <w:tcPr>
            <w:tcW w:w="23" w:type="dxa"/>
            <w:tcBorders/>
            <w:shd w:fill="CCEEFF" w:val="clear"/>
            <w:vAlign w:val="center"/>
          </w:tcPr>
          <w:p>
            <w:pPr>
              <w:pStyle w:val="TableContents"/>
              <w:bidi w:val="0"/>
              <w:spacing w:before="0" w:after="0"/>
              <w:ind w:left="0" w:right="0" w:hanging="0"/>
              <w:jc w:val="left"/>
              <w:rPr/>
            </w:pPr>
            <w:r>
              <w:rPr/>
            </w:r>
          </w:p>
        </w:tc>
        <w:tc>
          <w:tcPr>
            <w:tcW w:w="232" w:type="dxa"/>
            <w:tcBorders/>
            <w:shd w:fill="CCEEFF" w:val="clear"/>
            <w:vAlign w:val="center"/>
          </w:tcPr>
          <w:p>
            <w:pPr>
              <w:pStyle w:val="TableContents"/>
              <w:bidi w:val="0"/>
              <w:spacing w:before="0" w:after="0"/>
              <w:ind w:left="0" w:right="0" w:hanging="0"/>
              <w:jc w:val="left"/>
              <w:rPr/>
            </w:pPr>
            <w:r>
              <w:rPr/>
            </w:r>
          </w:p>
        </w:tc>
        <w:tc>
          <w:tcPr>
            <w:tcW w:w="1103" w:type="dxa"/>
            <w:tcBorders/>
            <w:shd w:fill="CCEEFF" w:val="clear"/>
            <w:vAlign w:val="center"/>
          </w:tcPr>
          <w:p>
            <w:pPr>
              <w:pStyle w:val="TableContents"/>
              <w:bidi w:val="0"/>
              <w:spacing w:before="0" w:after="0"/>
              <w:ind w:left="0" w:right="0" w:hanging="0"/>
              <w:jc w:val="center"/>
              <w:rPr/>
            </w:pPr>
            <w:r>
              <w:rPr/>
            </w:r>
          </w:p>
        </w:tc>
        <w:tc>
          <w:tcPr>
            <w:tcW w:w="95" w:type="dxa"/>
            <w:tcBorders/>
            <w:shd w:fill="CCEEFF" w:val="clear"/>
            <w:vAlign w:val="center"/>
          </w:tcPr>
          <w:p>
            <w:pPr>
              <w:pStyle w:val="TableContents"/>
              <w:bidi w:val="0"/>
              <w:spacing w:before="0" w:after="0"/>
              <w:ind w:left="0" w:right="0" w:hanging="0"/>
              <w:jc w:val="left"/>
              <w:rPr/>
            </w:pPr>
            <w:r>
              <w:rPr/>
            </w:r>
          </w:p>
        </w:tc>
        <w:tc>
          <w:tcPr>
            <w:tcW w:w="23" w:type="dxa"/>
            <w:tcBorders/>
            <w:shd w:fill="CCEEFF" w:val="clear"/>
            <w:vAlign w:val="center"/>
          </w:tcPr>
          <w:p>
            <w:pPr>
              <w:pStyle w:val="TableContents"/>
              <w:bidi w:val="0"/>
              <w:spacing w:before="0" w:after="0"/>
              <w:ind w:left="0" w:right="0" w:hanging="0"/>
              <w:jc w:val="left"/>
              <w:rPr/>
            </w:pPr>
            <w:r>
              <w:rPr/>
            </w:r>
          </w:p>
        </w:tc>
        <w:tc>
          <w:tcPr>
            <w:tcW w:w="227" w:type="dxa"/>
            <w:tcBorders/>
            <w:shd w:fill="CCEEFF" w:val="clear"/>
            <w:vAlign w:val="center"/>
          </w:tcPr>
          <w:p>
            <w:pPr>
              <w:pStyle w:val="TableContents"/>
              <w:bidi w:val="0"/>
              <w:spacing w:before="0" w:after="0"/>
              <w:ind w:left="0" w:right="0" w:hanging="0"/>
              <w:jc w:val="left"/>
              <w:rPr/>
            </w:pPr>
            <w:r>
              <w:rPr/>
            </w:r>
          </w:p>
        </w:tc>
        <w:tc>
          <w:tcPr>
            <w:tcW w:w="1064" w:type="dxa"/>
            <w:tcBorders/>
            <w:shd w:fill="CCEEFF" w:val="clear"/>
            <w:vAlign w:val="center"/>
          </w:tcPr>
          <w:p>
            <w:pPr>
              <w:pStyle w:val="TableContents"/>
              <w:bidi w:val="0"/>
              <w:spacing w:before="0" w:after="0"/>
              <w:ind w:left="0" w:right="0" w:hanging="0"/>
              <w:jc w:val="center"/>
              <w:rPr/>
            </w:pPr>
            <w:r>
              <w:rPr/>
            </w:r>
          </w:p>
        </w:tc>
        <w:tc>
          <w:tcPr>
            <w:tcW w:w="121" w:type="dxa"/>
            <w:tcBorders/>
            <w:shd w:fill="CCEEFF" w:val="clear"/>
            <w:vAlign w:val="center"/>
          </w:tcPr>
          <w:p>
            <w:pPr>
              <w:pStyle w:val="TableContents"/>
              <w:bidi w:val="0"/>
              <w:spacing w:before="0" w:after="0"/>
              <w:ind w:left="0" w:right="0" w:hanging="0"/>
              <w:jc w:val="left"/>
              <w:rPr/>
            </w:pPr>
            <w:r>
              <w:rPr/>
            </w:r>
          </w:p>
        </w:tc>
      </w:tr>
      <w:tr>
        <w:trPr/>
        <w:tc>
          <w:tcPr>
            <w:tcW w:w="731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Current assets: </w:t>
            </w:r>
          </w:p>
        </w:tc>
        <w:tc>
          <w:tcPr>
            <w:tcW w:w="23" w:type="dxa"/>
            <w:tcBorders/>
            <w:vAlign w:val="center"/>
          </w:tcPr>
          <w:p>
            <w:pPr>
              <w:pStyle w:val="TableContents"/>
              <w:bidi w:val="0"/>
              <w:spacing w:before="0" w:after="0"/>
              <w:ind w:left="0" w:right="0" w:hanging="0"/>
              <w:jc w:val="left"/>
              <w:rPr/>
            </w:pPr>
            <w:r>
              <w:rPr/>
            </w:r>
          </w:p>
        </w:tc>
        <w:tc>
          <w:tcPr>
            <w:tcW w:w="232" w:type="dxa"/>
            <w:tcBorders/>
            <w:vAlign w:val="center"/>
          </w:tcPr>
          <w:p>
            <w:pPr>
              <w:pStyle w:val="TableContents"/>
              <w:bidi w:val="0"/>
              <w:spacing w:before="0" w:after="0"/>
              <w:ind w:left="0" w:right="0" w:hanging="0"/>
              <w:jc w:val="left"/>
              <w:rPr/>
            </w:pPr>
            <w:r>
              <w:rPr/>
            </w:r>
          </w:p>
        </w:tc>
        <w:tc>
          <w:tcPr>
            <w:tcW w:w="1103" w:type="dxa"/>
            <w:tcBorders/>
            <w:vAlign w:val="center"/>
          </w:tcPr>
          <w:p>
            <w:pPr>
              <w:pStyle w:val="TableContents"/>
              <w:bidi w:val="0"/>
              <w:spacing w:before="0" w:after="0"/>
              <w:ind w:left="0" w:right="0" w:hanging="0"/>
              <w:jc w:val="left"/>
              <w:rPr/>
            </w:pPr>
            <w:r>
              <w:rPr/>
            </w:r>
          </w:p>
        </w:tc>
        <w:tc>
          <w:tcPr>
            <w:tcW w:w="95" w:type="dxa"/>
            <w:tcBorders/>
            <w:vAlign w:val="center"/>
          </w:tcPr>
          <w:p>
            <w:pPr>
              <w:pStyle w:val="TableContents"/>
              <w:bidi w:val="0"/>
              <w:spacing w:before="0" w:after="0"/>
              <w:ind w:left="0" w:right="0" w:hanging="0"/>
              <w:jc w:val="left"/>
              <w:rPr/>
            </w:pPr>
            <w:r>
              <w:rPr/>
            </w:r>
          </w:p>
        </w:tc>
        <w:tc>
          <w:tcPr>
            <w:tcW w:w="23" w:type="dxa"/>
            <w:tcBorders/>
            <w:vAlign w:val="center"/>
          </w:tcPr>
          <w:p>
            <w:pPr>
              <w:pStyle w:val="TableContents"/>
              <w:bidi w:val="0"/>
              <w:spacing w:before="0" w:after="0"/>
              <w:ind w:left="0" w:right="0" w:hanging="0"/>
              <w:jc w:val="left"/>
              <w:rPr/>
            </w:pPr>
            <w:r>
              <w:rPr/>
            </w:r>
          </w:p>
        </w:tc>
        <w:tc>
          <w:tcPr>
            <w:tcW w:w="227" w:type="dxa"/>
            <w:tcBorders/>
            <w:vAlign w:val="center"/>
          </w:tcPr>
          <w:p>
            <w:pPr>
              <w:pStyle w:val="TableContents"/>
              <w:bidi w:val="0"/>
              <w:spacing w:before="0" w:after="0"/>
              <w:ind w:left="0" w:right="0" w:hanging="0"/>
              <w:jc w:val="left"/>
              <w:rPr/>
            </w:pPr>
            <w:r>
              <w:rPr/>
            </w:r>
          </w:p>
        </w:tc>
        <w:tc>
          <w:tcPr>
            <w:tcW w:w="1064" w:type="dxa"/>
            <w:tcBorders/>
            <w:vAlign w:val="center"/>
          </w:tcPr>
          <w:p>
            <w:pPr>
              <w:pStyle w:val="TableContents"/>
              <w:bidi w:val="0"/>
              <w:spacing w:before="0" w:after="0"/>
              <w:ind w:left="0" w:right="0" w:hanging="0"/>
              <w:jc w:val="left"/>
              <w:rPr/>
            </w:pPr>
            <w:r>
              <w:rPr/>
            </w:r>
          </w:p>
        </w:tc>
        <w:tc>
          <w:tcPr>
            <w:tcW w:w="121" w:type="dxa"/>
            <w:tcBorders/>
            <w:vAlign w:val="center"/>
          </w:tcPr>
          <w:p>
            <w:pPr>
              <w:pStyle w:val="TableContents"/>
              <w:bidi w:val="0"/>
              <w:spacing w:before="0" w:after="0"/>
              <w:ind w:left="0" w:right="0" w:hanging="0"/>
              <w:jc w:val="left"/>
              <w:rPr/>
            </w:pPr>
            <w:r>
              <w:rPr/>
            </w:r>
          </w:p>
        </w:tc>
      </w:tr>
      <w:tr>
        <w:trPr/>
        <w:tc>
          <w:tcPr>
            <w:tcW w:w="731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Cash and cash equivalents </w:t>
            </w:r>
          </w:p>
        </w:tc>
        <w:tc>
          <w:tcPr>
            <w:tcW w:w="23" w:type="dxa"/>
            <w:tcBorders/>
            <w:shd w:fill="CCEEFF" w:val="clear"/>
            <w:vAlign w:val="center"/>
          </w:tcPr>
          <w:p>
            <w:pPr>
              <w:pStyle w:val="TableContents"/>
              <w:bidi w:val="0"/>
              <w:spacing w:before="0" w:after="0"/>
              <w:ind w:left="0" w:right="0" w:hanging="0"/>
              <w:jc w:val="left"/>
              <w:rPr/>
            </w:pPr>
            <w:r>
              <w:rPr/>
            </w:r>
          </w:p>
        </w:tc>
        <w:tc>
          <w:tcPr>
            <w:tcW w:w="23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10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101</w:t>
            </w:r>
          </w:p>
        </w:tc>
        <w:tc>
          <w:tcPr>
            <w:tcW w:w="95" w:type="dxa"/>
            <w:tcBorders/>
            <w:shd w:fill="CCEEFF" w:val="clear"/>
            <w:vAlign w:val="center"/>
          </w:tcPr>
          <w:p>
            <w:pPr>
              <w:pStyle w:val="TableContents"/>
              <w:bidi w:val="0"/>
              <w:spacing w:before="0" w:after="0"/>
              <w:ind w:left="0" w:right="0" w:hanging="0"/>
              <w:jc w:val="left"/>
              <w:rPr/>
            </w:pPr>
            <w:r>
              <w:rPr/>
            </w:r>
          </w:p>
        </w:tc>
        <w:tc>
          <w:tcPr>
            <w:tcW w:w="23" w:type="dxa"/>
            <w:tcBorders/>
            <w:shd w:fill="CCEEFF" w:val="clear"/>
            <w:vAlign w:val="center"/>
          </w:tcPr>
          <w:p>
            <w:pPr>
              <w:pStyle w:val="TableContents"/>
              <w:bidi w:val="0"/>
              <w:spacing w:before="0" w:after="0"/>
              <w:ind w:left="0" w:right="0" w:hanging="0"/>
              <w:jc w:val="left"/>
              <w:rPr/>
            </w:pPr>
            <w:r>
              <w:rPr/>
            </w:r>
          </w:p>
        </w:tc>
        <w:tc>
          <w:tcPr>
            <w:tcW w:w="22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06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1,417 </w:t>
            </w:r>
          </w:p>
        </w:tc>
        <w:tc>
          <w:tcPr>
            <w:tcW w:w="121" w:type="dxa"/>
            <w:tcBorders/>
            <w:shd w:fill="CCEEFF" w:val="clear"/>
            <w:vAlign w:val="center"/>
          </w:tcPr>
          <w:p>
            <w:pPr>
              <w:pStyle w:val="TableContents"/>
              <w:bidi w:val="0"/>
              <w:spacing w:before="0" w:after="0"/>
              <w:ind w:left="0" w:right="0" w:hanging="0"/>
              <w:jc w:val="left"/>
              <w:rPr/>
            </w:pPr>
            <w:r>
              <w:rPr/>
            </w:r>
          </w:p>
        </w:tc>
      </w:tr>
      <w:tr>
        <w:trPr/>
        <w:tc>
          <w:tcPr>
            <w:tcW w:w="7317" w:type="dxa"/>
            <w:tcBorders/>
            <w:vAlign w:val="center"/>
          </w:tcPr>
          <w:p>
            <w:pPr>
              <w:pStyle w:val="TableContents"/>
              <w:bidi w:val="0"/>
              <w:spacing w:before="0" w:after="283"/>
              <w:jc w:val="left"/>
              <w:rPr/>
            </w:pPr>
            <w:r>
              <w:rPr/>
              <w:t>Restricted cash</w:t>
            </w:r>
          </w:p>
        </w:tc>
        <w:tc>
          <w:tcPr>
            <w:tcW w:w="23" w:type="dxa"/>
            <w:tcBorders/>
            <w:vAlign w:val="center"/>
          </w:tcPr>
          <w:p>
            <w:pPr>
              <w:pStyle w:val="TableContents"/>
              <w:bidi w:val="0"/>
              <w:spacing w:before="0" w:after="283"/>
              <w:jc w:val="left"/>
              <w:rPr/>
            </w:pPr>
            <w:r>
              <w:rPr/>
            </w:r>
          </w:p>
        </w:tc>
        <w:tc>
          <w:tcPr>
            <w:tcW w:w="232" w:type="dxa"/>
            <w:tcBorders/>
            <w:vAlign w:val="center"/>
          </w:tcPr>
          <w:p>
            <w:pPr>
              <w:pStyle w:val="TableContents"/>
              <w:bidi w:val="0"/>
              <w:spacing w:before="0" w:after="283"/>
              <w:jc w:val="left"/>
              <w:rPr/>
            </w:pPr>
            <w:r>
              <w:rPr/>
            </w:r>
          </w:p>
        </w:tc>
        <w:tc>
          <w:tcPr>
            <w:tcW w:w="1103" w:type="dxa"/>
            <w:tcBorders/>
            <w:vAlign w:val="center"/>
          </w:tcPr>
          <w:p>
            <w:pPr>
              <w:pStyle w:val="TableContents"/>
              <w:bidi w:val="0"/>
              <w:spacing w:before="0" w:after="283"/>
              <w:jc w:val="right"/>
              <w:rPr/>
            </w:pPr>
            <w:r>
              <w:rPr/>
              <w:t>663</w:t>
            </w:r>
          </w:p>
        </w:tc>
        <w:tc>
          <w:tcPr>
            <w:tcW w:w="95"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27" w:type="dxa"/>
            <w:tcBorders/>
            <w:vAlign w:val="center"/>
          </w:tcPr>
          <w:p>
            <w:pPr>
              <w:pStyle w:val="TableContents"/>
              <w:bidi w:val="0"/>
              <w:spacing w:before="0" w:after="283"/>
              <w:jc w:val="left"/>
              <w:rPr/>
            </w:pPr>
            <w:r>
              <w:rPr/>
            </w:r>
          </w:p>
        </w:tc>
        <w:tc>
          <w:tcPr>
            <w:tcW w:w="1064" w:type="dxa"/>
            <w:tcBorders/>
            <w:vAlign w:val="center"/>
          </w:tcPr>
          <w:p>
            <w:pPr>
              <w:pStyle w:val="TableContents"/>
              <w:bidi w:val="0"/>
              <w:spacing w:before="0" w:after="283"/>
              <w:jc w:val="right"/>
              <w:rPr/>
            </w:pPr>
            <w:r>
              <w:rPr/>
              <w:t>—</w:t>
            </w:r>
          </w:p>
        </w:tc>
        <w:tc>
          <w:tcPr>
            <w:tcW w:w="121" w:type="dxa"/>
            <w:tcBorders/>
            <w:vAlign w:val="center"/>
          </w:tcPr>
          <w:p>
            <w:pPr>
              <w:pStyle w:val="TableContents"/>
              <w:bidi w:val="0"/>
              <w:spacing w:before="0" w:after="283"/>
              <w:jc w:val="left"/>
              <w:rPr/>
            </w:pPr>
            <w:r>
              <w:rPr/>
            </w:r>
          </w:p>
        </w:tc>
      </w:tr>
      <w:tr>
        <w:trPr/>
        <w:tc>
          <w:tcPr>
            <w:tcW w:w="731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Inventories, net </w:t>
            </w:r>
          </w:p>
        </w:tc>
        <w:tc>
          <w:tcPr>
            <w:tcW w:w="23" w:type="dxa"/>
            <w:tcBorders/>
            <w:shd w:fill="CCEEFF" w:val="clear"/>
            <w:vAlign w:val="center"/>
          </w:tcPr>
          <w:p>
            <w:pPr>
              <w:pStyle w:val="TableContents"/>
              <w:bidi w:val="0"/>
              <w:spacing w:before="0" w:after="0"/>
              <w:ind w:left="0" w:right="0" w:hanging="0"/>
              <w:jc w:val="left"/>
              <w:rPr/>
            </w:pPr>
            <w:r>
              <w:rPr/>
            </w:r>
          </w:p>
        </w:tc>
        <w:tc>
          <w:tcPr>
            <w:tcW w:w="232" w:type="dxa"/>
            <w:tcBorders/>
            <w:shd w:fill="CCEEFF" w:val="clear"/>
            <w:vAlign w:val="center"/>
          </w:tcPr>
          <w:p>
            <w:pPr>
              <w:pStyle w:val="TableContents"/>
              <w:bidi w:val="0"/>
              <w:spacing w:before="0" w:after="0"/>
              <w:ind w:left="0" w:right="0" w:hanging="0"/>
              <w:jc w:val="left"/>
              <w:rPr/>
            </w:pPr>
            <w:r>
              <w:rPr/>
            </w:r>
          </w:p>
        </w:tc>
        <w:tc>
          <w:tcPr>
            <w:tcW w:w="110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392 </w:t>
            </w:r>
          </w:p>
        </w:tc>
        <w:tc>
          <w:tcPr>
            <w:tcW w:w="95" w:type="dxa"/>
            <w:tcBorders/>
            <w:shd w:fill="CCEEFF" w:val="clear"/>
            <w:vAlign w:val="center"/>
          </w:tcPr>
          <w:p>
            <w:pPr>
              <w:pStyle w:val="TableContents"/>
              <w:bidi w:val="0"/>
              <w:spacing w:before="0" w:after="0"/>
              <w:ind w:left="0" w:right="0" w:hanging="0"/>
              <w:jc w:val="left"/>
              <w:rPr/>
            </w:pPr>
            <w:r>
              <w:rPr/>
            </w:r>
          </w:p>
        </w:tc>
        <w:tc>
          <w:tcPr>
            <w:tcW w:w="23" w:type="dxa"/>
            <w:tcBorders/>
            <w:shd w:fill="CCEEFF" w:val="clear"/>
            <w:vAlign w:val="center"/>
          </w:tcPr>
          <w:p>
            <w:pPr>
              <w:pStyle w:val="TableContents"/>
              <w:bidi w:val="0"/>
              <w:spacing w:before="0" w:after="0"/>
              <w:ind w:left="0" w:right="0" w:hanging="0"/>
              <w:jc w:val="left"/>
              <w:rPr/>
            </w:pPr>
            <w:r>
              <w:rPr/>
            </w:r>
          </w:p>
        </w:tc>
        <w:tc>
          <w:tcPr>
            <w:tcW w:w="227" w:type="dxa"/>
            <w:tcBorders/>
            <w:shd w:fill="CCEEFF" w:val="clear"/>
            <w:vAlign w:val="center"/>
          </w:tcPr>
          <w:p>
            <w:pPr>
              <w:pStyle w:val="TableContents"/>
              <w:bidi w:val="0"/>
              <w:spacing w:before="0" w:after="0"/>
              <w:ind w:left="0" w:right="0" w:hanging="0"/>
              <w:jc w:val="left"/>
              <w:rPr/>
            </w:pPr>
            <w:r>
              <w:rPr/>
            </w:r>
          </w:p>
        </w:tc>
        <w:tc>
          <w:tcPr>
            <w:tcW w:w="106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392 </w:t>
            </w:r>
          </w:p>
        </w:tc>
        <w:tc>
          <w:tcPr>
            <w:tcW w:w="121" w:type="dxa"/>
            <w:tcBorders/>
            <w:shd w:fill="CCEEFF" w:val="clear"/>
            <w:vAlign w:val="center"/>
          </w:tcPr>
          <w:p>
            <w:pPr>
              <w:pStyle w:val="TableContents"/>
              <w:bidi w:val="0"/>
              <w:spacing w:before="0" w:after="0"/>
              <w:ind w:left="0" w:right="0" w:hanging="0"/>
              <w:jc w:val="left"/>
              <w:rPr/>
            </w:pPr>
            <w:r>
              <w:rPr/>
            </w:r>
          </w:p>
        </w:tc>
      </w:tr>
      <w:tr>
        <w:trPr/>
        <w:tc>
          <w:tcPr>
            <w:tcW w:w="7317" w:type="dxa"/>
            <w:tcBorders/>
            <w:vAlign w:val="center"/>
          </w:tcPr>
          <w:p>
            <w:pPr>
              <w:pStyle w:val="TableContents"/>
              <w:bidi w:val="0"/>
              <w:spacing w:before="0" w:after="283"/>
              <w:jc w:val="left"/>
              <w:rPr/>
            </w:pPr>
            <w:r>
              <w:rPr/>
              <w:t>Assets held for sale</w:t>
            </w:r>
          </w:p>
        </w:tc>
        <w:tc>
          <w:tcPr>
            <w:tcW w:w="23" w:type="dxa"/>
            <w:tcBorders/>
            <w:vAlign w:val="center"/>
          </w:tcPr>
          <w:p>
            <w:pPr>
              <w:pStyle w:val="TableContents"/>
              <w:bidi w:val="0"/>
              <w:spacing w:before="0" w:after="283"/>
              <w:jc w:val="left"/>
              <w:rPr/>
            </w:pPr>
            <w:r>
              <w:rPr/>
            </w:r>
          </w:p>
        </w:tc>
        <w:tc>
          <w:tcPr>
            <w:tcW w:w="232" w:type="dxa"/>
            <w:tcBorders/>
            <w:vAlign w:val="center"/>
          </w:tcPr>
          <w:p>
            <w:pPr>
              <w:pStyle w:val="TableContents"/>
              <w:bidi w:val="0"/>
              <w:spacing w:before="0" w:after="283"/>
              <w:jc w:val="left"/>
              <w:rPr/>
            </w:pPr>
            <w:r>
              <w:rPr/>
            </w:r>
          </w:p>
        </w:tc>
        <w:tc>
          <w:tcPr>
            <w:tcW w:w="1103" w:type="dxa"/>
            <w:tcBorders/>
            <w:vAlign w:val="center"/>
          </w:tcPr>
          <w:p>
            <w:pPr>
              <w:pStyle w:val="TableContents"/>
              <w:bidi w:val="0"/>
              <w:spacing w:before="0" w:after="283"/>
              <w:jc w:val="right"/>
              <w:rPr/>
            </w:pPr>
            <w:r>
              <w:rPr/>
              <w:t>2,900</w:t>
            </w:r>
          </w:p>
        </w:tc>
        <w:tc>
          <w:tcPr>
            <w:tcW w:w="95"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27" w:type="dxa"/>
            <w:tcBorders/>
            <w:vAlign w:val="center"/>
          </w:tcPr>
          <w:p>
            <w:pPr>
              <w:pStyle w:val="TableContents"/>
              <w:bidi w:val="0"/>
              <w:spacing w:before="0" w:after="283"/>
              <w:jc w:val="left"/>
              <w:rPr/>
            </w:pPr>
            <w:r>
              <w:rPr/>
            </w:r>
          </w:p>
        </w:tc>
        <w:tc>
          <w:tcPr>
            <w:tcW w:w="1064" w:type="dxa"/>
            <w:tcBorders/>
            <w:vAlign w:val="center"/>
          </w:tcPr>
          <w:p>
            <w:pPr>
              <w:pStyle w:val="TableContents"/>
              <w:bidi w:val="0"/>
              <w:spacing w:before="0" w:after="283"/>
              <w:jc w:val="right"/>
              <w:rPr/>
            </w:pPr>
            <w:r>
              <w:rPr/>
              <w:t>2,900</w:t>
            </w:r>
          </w:p>
        </w:tc>
        <w:tc>
          <w:tcPr>
            <w:tcW w:w="121" w:type="dxa"/>
            <w:tcBorders/>
            <w:vAlign w:val="center"/>
          </w:tcPr>
          <w:p>
            <w:pPr>
              <w:pStyle w:val="TableContents"/>
              <w:bidi w:val="0"/>
              <w:spacing w:before="0" w:after="283"/>
              <w:jc w:val="left"/>
              <w:rPr/>
            </w:pPr>
            <w:r>
              <w:rPr/>
            </w:r>
          </w:p>
        </w:tc>
      </w:tr>
      <w:tr>
        <w:trPr/>
        <w:tc>
          <w:tcPr>
            <w:tcW w:w="7317" w:type="dxa"/>
            <w:tcBorders/>
            <w:shd w:fill="CCEEFF" w:val="clear"/>
            <w:vAlign w:val="center"/>
          </w:tcPr>
          <w:p>
            <w:pPr>
              <w:pStyle w:val="TableContents"/>
              <w:bidi w:val="0"/>
              <w:spacing w:before="0" w:after="283"/>
              <w:jc w:val="left"/>
              <w:rPr/>
            </w:pPr>
            <w:r>
              <w:rPr/>
              <w:t>Current assets related to discontinued operations</w:t>
            </w:r>
          </w:p>
        </w:tc>
        <w:tc>
          <w:tcPr>
            <w:tcW w:w="23" w:type="dxa"/>
            <w:tcBorders/>
            <w:shd w:fill="CCEEFF" w:val="clear"/>
            <w:vAlign w:val="center"/>
          </w:tcPr>
          <w:p>
            <w:pPr>
              <w:pStyle w:val="TableContents"/>
              <w:bidi w:val="0"/>
              <w:spacing w:before="0" w:after="283"/>
              <w:jc w:val="left"/>
              <w:rPr/>
            </w:pPr>
            <w:r>
              <w:rPr/>
            </w:r>
          </w:p>
        </w:tc>
        <w:tc>
          <w:tcPr>
            <w:tcW w:w="232" w:type="dxa"/>
            <w:tcBorders/>
            <w:shd w:fill="CCEEFF" w:val="clear"/>
            <w:vAlign w:val="center"/>
          </w:tcPr>
          <w:p>
            <w:pPr>
              <w:pStyle w:val="TableContents"/>
              <w:bidi w:val="0"/>
              <w:spacing w:before="0" w:after="283"/>
              <w:jc w:val="left"/>
              <w:rPr/>
            </w:pPr>
            <w:r>
              <w:rPr/>
            </w:r>
          </w:p>
        </w:tc>
        <w:tc>
          <w:tcPr>
            <w:tcW w:w="1103" w:type="dxa"/>
            <w:tcBorders/>
            <w:shd w:fill="CCEEFF" w:val="clear"/>
            <w:vAlign w:val="center"/>
          </w:tcPr>
          <w:p>
            <w:pPr>
              <w:pStyle w:val="TableContents"/>
              <w:bidi w:val="0"/>
              <w:spacing w:before="0" w:after="283"/>
              <w:jc w:val="right"/>
              <w:rPr/>
            </w:pPr>
            <w:r>
              <w:rPr/>
              <w:t>4,542</w:t>
            </w:r>
          </w:p>
        </w:tc>
        <w:tc>
          <w:tcPr>
            <w:tcW w:w="95"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227" w:type="dxa"/>
            <w:tcBorders/>
            <w:shd w:fill="CCEEFF" w:val="clear"/>
            <w:vAlign w:val="center"/>
          </w:tcPr>
          <w:p>
            <w:pPr>
              <w:pStyle w:val="TableContents"/>
              <w:bidi w:val="0"/>
              <w:spacing w:before="0" w:after="283"/>
              <w:jc w:val="left"/>
              <w:rPr/>
            </w:pPr>
            <w:r>
              <w:rPr/>
            </w:r>
          </w:p>
        </w:tc>
        <w:tc>
          <w:tcPr>
            <w:tcW w:w="1064" w:type="dxa"/>
            <w:tcBorders/>
            <w:shd w:fill="CCEEFF" w:val="clear"/>
            <w:vAlign w:val="center"/>
          </w:tcPr>
          <w:p>
            <w:pPr>
              <w:pStyle w:val="TableContents"/>
              <w:bidi w:val="0"/>
              <w:spacing w:before="0" w:after="283"/>
              <w:jc w:val="right"/>
              <w:rPr/>
            </w:pPr>
            <w:r>
              <w:rPr/>
              <w:t>14,044</w:t>
            </w:r>
          </w:p>
        </w:tc>
        <w:tc>
          <w:tcPr>
            <w:tcW w:w="121" w:type="dxa"/>
            <w:tcBorders/>
            <w:shd w:fill="CCEEFF" w:val="clear"/>
            <w:vAlign w:val="center"/>
          </w:tcPr>
          <w:p>
            <w:pPr>
              <w:pStyle w:val="TableContents"/>
              <w:bidi w:val="0"/>
              <w:spacing w:before="0" w:after="283"/>
              <w:jc w:val="left"/>
              <w:rPr/>
            </w:pPr>
            <w:r>
              <w:rPr/>
            </w:r>
          </w:p>
        </w:tc>
      </w:tr>
      <w:tr>
        <w:trPr/>
        <w:tc>
          <w:tcPr>
            <w:tcW w:w="7317" w:type="dxa"/>
            <w:tcBorders/>
            <w:vAlign w:val="center"/>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 xml:space="preserve">Total current assets </w:t>
            </w:r>
          </w:p>
        </w:tc>
        <w:tc>
          <w:tcPr>
            <w:tcW w:w="23" w:type="dxa"/>
            <w:tcBorders/>
            <w:vAlign w:val="center"/>
          </w:tcPr>
          <w:p>
            <w:pPr>
              <w:pStyle w:val="TableContents"/>
              <w:bidi w:val="0"/>
              <w:spacing w:before="0" w:after="0"/>
              <w:ind w:left="0" w:right="0" w:hanging="0"/>
              <w:jc w:val="left"/>
              <w:rPr/>
            </w:pPr>
            <w:r>
              <w:rPr/>
            </w:r>
          </w:p>
        </w:tc>
        <w:tc>
          <w:tcPr>
            <w:tcW w:w="232" w:type="dxa"/>
            <w:tcBorders/>
            <w:vAlign w:val="center"/>
          </w:tcPr>
          <w:p>
            <w:pPr>
              <w:pStyle w:val="TableContents"/>
              <w:bidi w:val="0"/>
              <w:spacing w:before="0" w:after="0"/>
              <w:ind w:left="0" w:right="0" w:hanging="0"/>
              <w:jc w:val="left"/>
              <w:rPr/>
            </w:pPr>
            <w:r>
              <w:rPr/>
            </w:r>
          </w:p>
        </w:tc>
        <w:tc>
          <w:tcPr>
            <w:tcW w:w="1103"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8,598</w:t>
            </w:r>
          </w:p>
        </w:tc>
        <w:tc>
          <w:tcPr>
            <w:tcW w:w="95" w:type="dxa"/>
            <w:tcBorders/>
            <w:vAlign w:val="center"/>
          </w:tcPr>
          <w:p>
            <w:pPr>
              <w:pStyle w:val="TableContents"/>
              <w:bidi w:val="0"/>
              <w:spacing w:before="0" w:after="0"/>
              <w:ind w:left="0" w:right="0" w:hanging="0"/>
              <w:jc w:val="left"/>
              <w:rPr/>
            </w:pPr>
            <w:r>
              <w:rPr/>
            </w:r>
          </w:p>
        </w:tc>
        <w:tc>
          <w:tcPr>
            <w:tcW w:w="23" w:type="dxa"/>
            <w:tcBorders/>
            <w:vAlign w:val="center"/>
          </w:tcPr>
          <w:p>
            <w:pPr>
              <w:pStyle w:val="TableContents"/>
              <w:bidi w:val="0"/>
              <w:spacing w:before="0" w:after="0"/>
              <w:ind w:left="0" w:right="0" w:hanging="0"/>
              <w:jc w:val="left"/>
              <w:rPr/>
            </w:pPr>
            <w:r>
              <w:rPr/>
            </w:r>
          </w:p>
        </w:tc>
        <w:tc>
          <w:tcPr>
            <w:tcW w:w="227" w:type="dxa"/>
            <w:tcBorders/>
            <w:vAlign w:val="center"/>
          </w:tcPr>
          <w:p>
            <w:pPr>
              <w:pStyle w:val="TableContents"/>
              <w:bidi w:val="0"/>
              <w:spacing w:before="0" w:after="0"/>
              <w:ind w:left="0" w:right="0" w:hanging="0"/>
              <w:jc w:val="left"/>
              <w:rPr/>
            </w:pPr>
            <w:r>
              <w:rPr/>
            </w:r>
          </w:p>
        </w:tc>
        <w:tc>
          <w:tcPr>
            <w:tcW w:w="1064"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18,753 </w:t>
            </w:r>
          </w:p>
        </w:tc>
        <w:tc>
          <w:tcPr>
            <w:tcW w:w="121" w:type="dxa"/>
            <w:tcBorders/>
            <w:vAlign w:val="center"/>
          </w:tcPr>
          <w:p>
            <w:pPr>
              <w:pStyle w:val="TableContents"/>
              <w:bidi w:val="0"/>
              <w:spacing w:before="0" w:after="0"/>
              <w:ind w:left="0" w:right="0" w:hanging="0"/>
              <w:jc w:val="left"/>
              <w:rPr/>
            </w:pPr>
            <w:r>
              <w:rPr/>
            </w:r>
          </w:p>
        </w:tc>
      </w:tr>
      <w:tr>
        <w:trPr/>
        <w:tc>
          <w:tcPr>
            <w:tcW w:w="731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Operating lease - right of use assets, net </w:t>
            </w:r>
          </w:p>
        </w:tc>
        <w:tc>
          <w:tcPr>
            <w:tcW w:w="23" w:type="dxa"/>
            <w:tcBorders/>
            <w:shd w:fill="CCEEFF" w:val="clear"/>
            <w:vAlign w:val="center"/>
          </w:tcPr>
          <w:p>
            <w:pPr>
              <w:pStyle w:val="TableContents"/>
              <w:bidi w:val="0"/>
              <w:spacing w:before="0" w:after="0"/>
              <w:ind w:left="0" w:right="0" w:hanging="0"/>
              <w:jc w:val="left"/>
              <w:rPr/>
            </w:pPr>
            <w:r>
              <w:rPr/>
            </w:r>
          </w:p>
        </w:tc>
        <w:tc>
          <w:tcPr>
            <w:tcW w:w="232" w:type="dxa"/>
            <w:tcBorders/>
            <w:shd w:fill="CCEEFF" w:val="clear"/>
            <w:vAlign w:val="center"/>
          </w:tcPr>
          <w:p>
            <w:pPr>
              <w:pStyle w:val="TableContents"/>
              <w:bidi w:val="0"/>
              <w:spacing w:before="0" w:after="0"/>
              <w:ind w:left="0" w:right="0" w:hanging="0"/>
              <w:jc w:val="left"/>
              <w:rPr/>
            </w:pPr>
            <w:r>
              <w:rPr/>
            </w:r>
          </w:p>
        </w:tc>
        <w:tc>
          <w:tcPr>
            <w:tcW w:w="110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546 </w:t>
            </w:r>
          </w:p>
        </w:tc>
        <w:tc>
          <w:tcPr>
            <w:tcW w:w="95" w:type="dxa"/>
            <w:tcBorders/>
            <w:shd w:fill="CCEEFF" w:val="clear"/>
            <w:vAlign w:val="center"/>
          </w:tcPr>
          <w:p>
            <w:pPr>
              <w:pStyle w:val="TableContents"/>
              <w:bidi w:val="0"/>
              <w:spacing w:before="0" w:after="0"/>
              <w:ind w:left="0" w:right="0" w:hanging="0"/>
              <w:jc w:val="left"/>
              <w:rPr/>
            </w:pPr>
            <w:r>
              <w:rPr/>
            </w:r>
          </w:p>
        </w:tc>
        <w:tc>
          <w:tcPr>
            <w:tcW w:w="23" w:type="dxa"/>
            <w:tcBorders/>
            <w:shd w:fill="CCEEFF" w:val="clear"/>
            <w:vAlign w:val="center"/>
          </w:tcPr>
          <w:p>
            <w:pPr>
              <w:pStyle w:val="TableContents"/>
              <w:bidi w:val="0"/>
              <w:spacing w:before="0" w:after="0"/>
              <w:ind w:left="0" w:right="0" w:hanging="0"/>
              <w:jc w:val="left"/>
              <w:rPr/>
            </w:pPr>
            <w:r>
              <w:rPr/>
            </w:r>
          </w:p>
        </w:tc>
        <w:tc>
          <w:tcPr>
            <w:tcW w:w="227" w:type="dxa"/>
            <w:tcBorders/>
            <w:shd w:fill="CCEEFF" w:val="clear"/>
            <w:vAlign w:val="center"/>
          </w:tcPr>
          <w:p>
            <w:pPr>
              <w:pStyle w:val="TableContents"/>
              <w:bidi w:val="0"/>
              <w:spacing w:before="0" w:after="0"/>
              <w:ind w:left="0" w:right="0" w:hanging="0"/>
              <w:jc w:val="left"/>
              <w:rPr/>
            </w:pPr>
            <w:r>
              <w:rPr/>
            </w:r>
          </w:p>
        </w:tc>
        <w:tc>
          <w:tcPr>
            <w:tcW w:w="106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750</w:t>
            </w:r>
          </w:p>
        </w:tc>
        <w:tc>
          <w:tcPr>
            <w:tcW w:w="121" w:type="dxa"/>
            <w:tcBorders/>
            <w:shd w:fill="CCEEFF" w:val="clear"/>
            <w:vAlign w:val="center"/>
          </w:tcPr>
          <w:p>
            <w:pPr>
              <w:pStyle w:val="TableContents"/>
              <w:bidi w:val="0"/>
              <w:spacing w:before="0" w:after="0"/>
              <w:ind w:left="0" w:right="0" w:hanging="0"/>
              <w:jc w:val="left"/>
              <w:rPr/>
            </w:pPr>
            <w:r>
              <w:rPr/>
            </w:r>
          </w:p>
        </w:tc>
      </w:tr>
      <w:tr>
        <w:trPr/>
        <w:tc>
          <w:tcPr>
            <w:tcW w:w="7317" w:type="dxa"/>
            <w:tcBorders/>
            <w:vAlign w:val="center"/>
          </w:tcPr>
          <w:p>
            <w:pPr>
              <w:pStyle w:val="TableContents"/>
              <w:bidi w:val="0"/>
              <w:spacing w:before="0" w:after="283"/>
              <w:jc w:val="left"/>
              <w:rPr/>
            </w:pPr>
            <w:r>
              <w:rPr/>
              <w:t>Long term assets related to discontinued operations</w:t>
            </w:r>
          </w:p>
        </w:tc>
        <w:tc>
          <w:tcPr>
            <w:tcW w:w="23" w:type="dxa"/>
            <w:tcBorders/>
            <w:vAlign w:val="center"/>
          </w:tcPr>
          <w:p>
            <w:pPr>
              <w:pStyle w:val="TableContents"/>
              <w:bidi w:val="0"/>
              <w:spacing w:before="0" w:after="283"/>
              <w:jc w:val="left"/>
              <w:rPr/>
            </w:pPr>
            <w:r>
              <w:rPr/>
            </w:r>
          </w:p>
        </w:tc>
        <w:tc>
          <w:tcPr>
            <w:tcW w:w="232" w:type="dxa"/>
            <w:tcBorders>
              <w:bottom w:val="single" w:sz="8" w:space="0" w:color="000000"/>
            </w:tcBorders>
            <w:tcMar>
              <w:bottom w:w="28" w:type="dxa"/>
            </w:tcMar>
            <w:vAlign w:val="center"/>
          </w:tcPr>
          <w:p>
            <w:pPr>
              <w:pStyle w:val="TableContents"/>
              <w:bidi w:val="0"/>
              <w:spacing w:before="0" w:after="283"/>
              <w:jc w:val="left"/>
              <w:rPr/>
            </w:pPr>
            <w:r>
              <w:rPr/>
            </w:r>
          </w:p>
        </w:tc>
        <w:tc>
          <w:tcPr>
            <w:tcW w:w="1103" w:type="dxa"/>
            <w:tcBorders>
              <w:bottom w:val="single" w:sz="8" w:space="0" w:color="000000"/>
            </w:tcBorders>
            <w:tcMar>
              <w:bottom w:w="28" w:type="dxa"/>
            </w:tcMar>
            <w:vAlign w:val="center"/>
          </w:tcPr>
          <w:p>
            <w:pPr>
              <w:pStyle w:val="TableContents"/>
              <w:bidi w:val="0"/>
              <w:spacing w:before="0" w:after="283"/>
              <w:jc w:val="right"/>
              <w:rPr/>
            </w:pPr>
            <w:r>
              <w:rPr/>
              <w:t>329</w:t>
            </w:r>
          </w:p>
        </w:tc>
        <w:tc>
          <w:tcPr>
            <w:tcW w:w="95"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27" w:type="dxa"/>
            <w:tcBorders>
              <w:bottom w:val="single" w:sz="8" w:space="0" w:color="000000"/>
            </w:tcBorders>
            <w:tcMar>
              <w:bottom w:w="28" w:type="dxa"/>
            </w:tcMar>
            <w:vAlign w:val="center"/>
          </w:tcPr>
          <w:p>
            <w:pPr>
              <w:pStyle w:val="TableContents"/>
              <w:bidi w:val="0"/>
              <w:spacing w:before="0" w:after="283"/>
              <w:jc w:val="left"/>
              <w:rPr/>
            </w:pPr>
            <w:r>
              <w:rPr/>
            </w:r>
          </w:p>
        </w:tc>
        <w:tc>
          <w:tcPr>
            <w:tcW w:w="1064" w:type="dxa"/>
            <w:tcBorders>
              <w:bottom w:val="single" w:sz="8" w:space="0" w:color="000000"/>
            </w:tcBorders>
            <w:tcMar>
              <w:bottom w:w="28" w:type="dxa"/>
            </w:tcMar>
            <w:vAlign w:val="center"/>
          </w:tcPr>
          <w:p>
            <w:pPr>
              <w:pStyle w:val="TableContents"/>
              <w:bidi w:val="0"/>
              <w:spacing w:before="0" w:after="283"/>
              <w:jc w:val="right"/>
              <w:rPr/>
            </w:pPr>
            <w:r>
              <w:rPr/>
              <w:t>7,041</w:t>
            </w:r>
          </w:p>
        </w:tc>
        <w:tc>
          <w:tcPr>
            <w:tcW w:w="121" w:type="dxa"/>
            <w:tcBorders/>
            <w:vAlign w:val="center"/>
          </w:tcPr>
          <w:p>
            <w:pPr>
              <w:pStyle w:val="TableContents"/>
              <w:bidi w:val="0"/>
              <w:spacing w:before="0" w:after="283"/>
              <w:jc w:val="left"/>
              <w:rPr/>
            </w:pPr>
            <w:r>
              <w:rPr/>
            </w:r>
          </w:p>
        </w:tc>
      </w:tr>
      <w:tr>
        <w:trPr/>
        <w:tc>
          <w:tcPr>
            <w:tcW w:w="7317" w:type="dxa"/>
            <w:tcBorders/>
            <w:shd w:fill="CCEEFF" w:val="clear"/>
            <w:vAlign w:val="center"/>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 xml:space="preserve">Total assets </w:t>
            </w:r>
          </w:p>
        </w:tc>
        <w:tc>
          <w:tcPr>
            <w:tcW w:w="23" w:type="dxa"/>
            <w:tcBorders/>
            <w:shd w:fill="CCEEFF" w:val="clear"/>
            <w:vAlign w:val="center"/>
          </w:tcPr>
          <w:p>
            <w:pPr>
              <w:pStyle w:val="TableContents"/>
              <w:bidi w:val="0"/>
              <w:spacing w:before="0" w:after="0"/>
              <w:ind w:left="0" w:right="0" w:hanging="0"/>
              <w:jc w:val="left"/>
              <w:rPr/>
            </w:pPr>
            <w:r>
              <w:rPr/>
            </w:r>
          </w:p>
        </w:tc>
        <w:tc>
          <w:tcPr>
            <w:tcW w:w="23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10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9,473</w:t>
            </w:r>
          </w:p>
        </w:tc>
        <w:tc>
          <w:tcPr>
            <w:tcW w:w="95" w:type="dxa"/>
            <w:tcBorders/>
            <w:shd w:fill="CCEEFF" w:val="clear"/>
            <w:vAlign w:val="center"/>
          </w:tcPr>
          <w:p>
            <w:pPr>
              <w:pStyle w:val="TableContents"/>
              <w:bidi w:val="0"/>
              <w:spacing w:before="0" w:after="0"/>
              <w:ind w:left="0" w:right="0" w:hanging="0"/>
              <w:jc w:val="left"/>
              <w:rPr/>
            </w:pPr>
            <w:r>
              <w:rPr/>
            </w:r>
          </w:p>
        </w:tc>
        <w:tc>
          <w:tcPr>
            <w:tcW w:w="23" w:type="dxa"/>
            <w:tcBorders/>
            <w:shd w:fill="CCEEFF" w:val="clear"/>
            <w:vAlign w:val="center"/>
          </w:tcPr>
          <w:p>
            <w:pPr>
              <w:pStyle w:val="TableContents"/>
              <w:bidi w:val="0"/>
              <w:spacing w:before="0" w:after="0"/>
              <w:ind w:left="0" w:right="0" w:hanging="0"/>
              <w:jc w:val="left"/>
              <w:rPr/>
            </w:pPr>
            <w:r>
              <w:rPr/>
            </w:r>
          </w:p>
        </w:tc>
        <w:tc>
          <w:tcPr>
            <w:tcW w:w="22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06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26,544 </w:t>
            </w:r>
          </w:p>
        </w:tc>
        <w:tc>
          <w:tcPr>
            <w:tcW w:w="121" w:type="dxa"/>
            <w:tcBorders/>
            <w:shd w:fill="CCEEFF" w:val="clear"/>
            <w:vAlign w:val="center"/>
          </w:tcPr>
          <w:p>
            <w:pPr>
              <w:pStyle w:val="TableContents"/>
              <w:bidi w:val="0"/>
              <w:spacing w:before="0" w:after="0"/>
              <w:ind w:left="0" w:right="0" w:hanging="0"/>
              <w:jc w:val="left"/>
              <w:rPr/>
            </w:pPr>
            <w:r>
              <w:rPr/>
            </w:r>
          </w:p>
        </w:tc>
      </w:tr>
      <w:tr>
        <w:trPr/>
        <w:tc>
          <w:tcPr>
            <w:tcW w:w="7317"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LIABILITIES AND SHAREHOLDERS' EQUITY </w:t>
            </w:r>
          </w:p>
        </w:tc>
        <w:tc>
          <w:tcPr>
            <w:tcW w:w="23" w:type="dxa"/>
            <w:tcBorders/>
            <w:vAlign w:val="center"/>
          </w:tcPr>
          <w:p>
            <w:pPr>
              <w:pStyle w:val="TableContents"/>
              <w:bidi w:val="0"/>
              <w:spacing w:before="0" w:after="0"/>
              <w:ind w:left="0" w:right="0" w:hanging="0"/>
              <w:jc w:val="left"/>
              <w:rPr/>
            </w:pPr>
            <w:r>
              <w:rPr/>
            </w:r>
          </w:p>
        </w:tc>
        <w:tc>
          <w:tcPr>
            <w:tcW w:w="232" w:type="dxa"/>
            <w:tcBorders/>
            <w:vAlign w:val="center"/>
          </w:tcPr>
          <w:p>
            <w:pPr>
              <w:pStyle w:val="TableContents"/>
              <w:bidi w:val="0"/>
              <w:spacing w:before="0" w:after="0"/>
              <w:ind w:left="0" w:right="0" w:hanging="0"/>
              <w:jc w:val="left"/>
              <w:rPr/>
            </w:pPr>
            <w:r>
              <w:rPr/>
            </w:r>
          </w:p>
        </w:tc>
        <w:tc>
          <w:tcPr>
            <w:tcW w:w="1103" w:type="dxa"/>
            <w:tcBorders/>
            <w:vAlign w:val="center"/>
          </w:tcPr>
          <w:p>
            <w:pPr>
              <w:pStyle w:val="TableContents"/>
              <w:bidi w:val="0"/>
              <w:spacing w:before="0" w:after="0"/>
              <w:ind w:left="0" w:right="0" w:hanging="0"/>
              <w:jc w:val="center"/>
              <w:rPr/>
            </w:pPr>
            <w:r>
              <w:rPr/>
            </w:r>
          </w:p>
        </w:tc>
        <w:tc>
          <w:tcPr>
            <w:tcW w:w="95" w:type="dxa"/>
            <w:tcBorders/>
            <w:vAlign w:val="center"/>
          </w:tcPr>
          <w:p>
            <w:pPr>
              <w:pStyle w:val="TableContents"/>
              <w:bidi w:val="0"/>
              <w:spacing w:before="0" w:after="0"/>
              <w:ind w:left="0" w:right="0" w:hanging="0"/>
              <w:jc w:val="left"/>
              <w:rPr/>
            </w:pPr>
            <w:r>
              <w:rPr/>
            </w:r>
          </w:p>
        </w:tc>
        <w:tc>
          <w:tcPr>
            <w:tcW w:w="23" w:type="dxa"/>
            <w:tcBorders/>
            <w:vAlign w:val="center"/>
          </w:tcPr>
          <w:p>
            <w:pPr>
              <w:pStyle w:val="TableContents"/>
              <w:bidi w:val="0"/>
              <w:spacing w:before="0" w:after="0"/>
              <w:ind w:left="0" w:right="0" w:hanging="0"/>
              <w:jc w:val="left"/>
              <w:rPr/>
            </w:pPr>
            <w:r>
              <w:rPr/>
            </w:r>
          </w:p>
        </w:tc>
        <w:tc>
          <w:tcPr>
            <w:tcW w:w="227" w:type="dxa"/>
            <w:tcBorders/>
            <w:vAlign w:val="center"/>
          </w:tcPr>
          <w:p>
            <w:pPr>
              <w:pStyle w:val="TableContents"/>
              <w:bidi w:val="0"/>
              <w:spacing w:before="0" w:after="0"/>
              <w:ind w:left="0" w:right="0" w:hanging="0"/>
              <w:jc w:val="left"/>
              <w:rPr/>
            </w:pPr>
            <w:r>
              <w:rPr/>
            </w:r>
          </w:p>
        </w:tc>
        <w:tc>
          <w:tcPr>
            <w:tcW w:w="1064" w:type="dxa"/>
            <w:tcBorders/>
            <w:vAlign w:val="center"/>
          </w:tcPr>
          <w:p>
            <w:pPr>
              <w:pStyle w:val="TableContents"/>
              <w:bidi w:val="0"/>
              <w:spacing w:before="0" w:after="0"/>
              <w:ind w:left="0" w:right="0" w:hanging="0"/>
              <w:jc w:val="center"/>
              <w:rPr/>
            </w:pPr>
            <w:r>
              <w:rPr/>
            </w:r>
          </w:p>
        </w:tc>
        <w:tc>
          <w:tcPr>
            <w:tcW w:w="121" w:type="dxa"/>
            <w:tcBorders/>
            <w:vAlign w:val="center"/>
          </w:tcPr>
          <w:p>
            <w:pPr>
              <w:pStyle w:val="TableContents"/>
              <w:bidi w:val="0"/>
              <w:spacing w:before="0" w:after="0"/>
              <w:ind w:left="0" w:right="0" w:hanging="0"/>
              <w:jc w:val="left"/>
              <w:rPr/>
            </w:pPr>
            <w:r>
              <w:rPr/>
            </w:r>
          </w:p>
        </w:tc>
      </w:tr>
      <w:tr>
        <w:trPr/>
        <w:tc>
          <w:tcPr>
            <w:tcW w:w="731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Current liabilities: </w:t>
            </w:r>
          </w:p>
        </w:tc>
        <w:tc>
          <w:tcPr>
            <w:tcW w:w="23" w:type="dxa"/>
            <w:tcBorders/>
            <w:shd w:fill="CCEEFF" w:val="clear"/>
            <w:vAlign w:val="center"/>
          </w:tcPr>
          <w:p>
            <w:pPr>
              <w:pStyle w:val="TableContents"/>
              <w:bidi w:val="0"/>
              <w:spacing w:before="0" w:after="0"/>
              <w:ind w:left="0" w:right="0" w:hanging="0"/>
              <w:jc w:val="left"/>
              <w:rPr/>
            </w:pPr>
            <w:r>
              <w:rPr/>
            </w:r>
          </w:p>
        </w:tc>
        <w:tc>
          <w:tcPr>
            <w:tcW w:w="232" w:type="dxa"/>
            <w:tcBorders/>
            <w:shd w:fill="CCEEFF" w:val="clear"/>
            <w:vAlign w:val="center"/>
          </w:tcPr>
          <w:p>
            <w:pPr>
              <w:pStyle w:val="TableContents"/>
              <w:bidi w:val="0"/>
              <w:spacing w:before="0" w:after="0"/>
              <w:ind w:left="0" w:right="0" w:hanging="0"/>
              <w:jc w:val="left"/>
              <w:rPr/>
            </w:pPr>
            <w:r>
              <w:rPr/>
            </w:r>
          </w:p>
        </w:tc>
        <w:tc>
          <w:tcPr>
            <w:tcW w:w="1103" w:type="dxa"/>
            <w:tcBorders/>
            <w:shd w:fill="CCEEFF" w:val="clear"/>
            <w:vAlign w:val="center"/>
          </w:tcPr>
          <w:p>
            <w:pPr>
              <w:pStyle w:val="TableContents"/>
              <w:bidi w:val="0"/>
              <w:spacing w:before="0" w:after="0"/>
              <w:ind w:left="0" w:right="0" w:hanging="0"/>
              <w:jc w:val="left"/>
              <w:rPr/>
            </w:pPr>
            <w:r>
              <w:rPr/>
            </w:r>
          </w:p>
        </w:tc>
        <w:tc>
          <w:tcPr>
            <w:tcW w:w="95" w:type="dxa"/>
            <w:tcBorders/>
            <w:shd w:fill="CCEEFF" w:val="clear"/>
            <w:vAlign w:val="center"/>
          </w:tcPr>
          <w:p>
            <w:pPr>
              <w:pStyle w:val="TableContents"/>
              <w:bidi w:val="0"/>
              <w:spacing w:before="0" w:after="0"/>
              <w:ind w:left="0" w:right="0" w:hanging="0"/>
              <w:jc w:val="left"/>
              <w:rPr/>
            </w:pPr>
            <w:r>
              <w:rPr/>
            </w:r>
          </w:p>
        </w:tc>
        <w:tc>
          <w:tcPr>
            <w:tcW w:w="23" w:type="dxa"/>
            <w:tcBorders/>
            <w:shd w:fill="CCEEFF" w:val="clear"/>
            <w:vAlign w:val="center"/>
          </w:tcPr>
          <w:p>
            <w:pPr>
              <w:pStyle w:val="TableContents"/>
              <w:bidi w:val="0"/>
              <w:spacing w:before="0" w:after="0"/>
              <w:ind w:left="0" w:right="0" w:hanging="0"/>
              <w:jc w:val="left"/>
              <w:rPr/>
            </w:pPr>
            <w:r>
              <w:rPr/>
            </w:r>
          </w:p>
        </w:tc>
        <w:tc>
          <w:tcPr>
            <w:tcW w:w="227" w:type="dxa"/>
            <w:tcBorders/>
            <w:shd w:fill="CCEEFF" w:val="clear"/>
            <w:vAlign w:val="center"/>
          </w:tcPr>
          <w:p>
            <w:pPr>
              <w:pStyle w:val="TableContents"/>
              <w:bidi w:val="0"/>
              <w:spacing w:before="0" w:after="0"/>
              <w:ind w:left="0" w:right="0" w:hanging="0"/>
              <w:jc w:val="left"/>
              <w:rPr/>
            </w:pPr>
            <w:r>
              <w:rPr/>
            </w:r>
          </w:p>
        </w:tc>
        <w:tc>
          <w:tcPr>
            <w:tcW w:w="1064" w:type="dxa"/>
            <w:tcBorders/>
            <w:shd w:fill="CCEEFF" w:val="clear"/>
            <w:vAlign w:val="center"/>
          </w:tcPr>
          <w:p>
            <w:pPr>
              <w:pStyle w:val="TableContents"/>
              <w:bidi w:val="0"/>
              <w:spacing w:before="0" w:after="0"/>
              <w:ind w:left="0" w:right="0" w:hanging="0"/>
              <w:jc w:val="left"/>
              <w:rPr/>
            </w:pPr>
            <w:r>
              <w:rPr/>
            </w:r>
          </w:p>
        </w:tc>
        <w:tc>
          <w:tcPr>
            <w:tcW w:w="121" w:type="dxa"/>
            <w:tcBorders/>
            <w:shd w:fill="CCEEFF" w:val="clear"/>
            <w:vAlign w:val="center"/>
          </w:tcPr>
          <w:p>
            <w:pPr>
              <w:pStyle w:val="TableContents"/>
              <w:bidi w:val="0"/>
              <w:spacing w:before="0" w:after="0"/>
              <w:ind w:left="0" w:right="0" w:hanging="0"/>
              <w:jc w:val="left"/>
              <w:rPr/>
            </w:pPr>
            <w:r>
              <w:rPr/>
            </w:r>
          </w:p>
        </w:tc>
      </w:tr>
      <w:tr>
        <w:trPr/>
        <w:tc>
          <w:tcPr>
            <w:tcW w:w="731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Accounts payable </w:t>
            </w:r>
          </w:p>
        </w:tc>
        <w:tc>
          <w:tcPr>
            <w:tcW w:w="23" w:type="dxa"/>
            <w:tcBorders/>
            <w:vAlign w:val="center"/>
          </w:tcPr>
          <w:p>
            <w:pPr>
              <w:pStyle w:val="TableContents"/>
              <w:bidi w:val="0"/>
              <w:spacing w:before="0" w:after="0"/>
              <w:ind w:left="0" w:right="0" w:hanging="0"/>
              <w:jc w:val="left"/>
              <w:rPr/>
            </w:pPr>
            <w:r>
              <w:rPr/>
            </w:r>
          </w:p>
        </w:tc>
        <w:tc>
          <w:tcPr>
            <w:tcW w:w="23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103"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118 </w:t>
            </w:r>
          </w:p>
        </w:tc>
        <w:tc>
          <w:tcPr>
            <w:tcW w:w="95" w:type="dxa"/>
            <w:tcBorders/>
            <w:vAlign w:val="center"/>
          </w:tcPr>
          <w:p>
            <w:pPr>
              <w:pStyle w:val="TableContents"/>
              <w:bidi w:val="0"/>
              <w:spacing w:before="0" w:after="0"/>
              <w:ind w:left="0" w:right="0" w:hanging="0"/>
              <w:jc w:val="left"/>
              <w:rPr/>
            </w:pPr>
            <w:r>
              <w:rPr/>
            </w:r>
          </w:p>
        </w:tc>
        <w:tc>
          <w:tcPr>
            <w:tcW w:w="23" w:type="dxa"/>
            <w:tcBorders/>
            <w:vAlign w:val="center"/>
          </w:tcPr>
          <w:p>
            <w:pPr>
              <w:pStyle w:val="TableContents"/>
              <w:bidi w:val="0"/>
              <w:spacing w:before="0" w:after="0"/>
              <w:ind w:left="0" w:right="0" w:hanging="0"/>
              <w:jc w:val="left"/>
              <w:rPr/>
            </w:pPr>
            <w:r>
              <w:rPr/>
            </w:r>
          </w:p>
        </w:tc>
        <w:tc>
          <w:tcPr>
            <w:tcW w:w="22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064"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76 </w:t>
            </w:r>
          </w:p>
        </w:tc>
        <w:tc>
          <w:tcPr>
            <w:tcW w:w="121" w:type="dxa"/>
            <w:tcBorders/>
            <w:vAlign w:val="center"/>
          </w:tcPr>
          <w:p>
            <w:pPr>
              <w:pStyle w:val="TableContents"/>
              <w:bidi w:val="0"/>
              <w:spacing w:before="0" w:after="0"/>
              <w:ind w:left="0" w:right="0" w:hanging="0"/>
              <w:jc w:val="left"/>
              <w:rPr/>
            </w:pPr>
            <w:r>
              <w:rPr/>
            </w:r>
          </w:p>
        </w:tc>
      </w:tr>
      <w:tr>
        <w:trPr/>
        <w:tc>
          <w:tcPr>
            <w:tcW w:w="731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Accrued liabilities </w:t>
            </w:r>
          </w:p>
        </w:tc>
        <w:tc>
          <w:tcPr>
            <w:tcW w:w="23" w:type="dxa"/>
            <w:tcBorders/>
            <w:shd w:fill="CCEEFF" w:val="clear"/>
            <w:vAlign w:val="center"/>
          </w:tcPr>
          <w:p>
            <w:pPr>
              <w:pStyle w:val="TableContents"/>
              <w:bidi w:val="0"/>
              <w:spacing w:before="0" w:after="0"/>
              <w:ind w:left="0" w:right="0" w:hanging="0"/>
              <w:jc w:val="left"/>
              <w:rPr/>
            </w:pPr>
            <w:r>
              <w:rPr/>
            </w:r>
          </w:p>
        </w:tc>
        <w:tc>
          <w:tcPr>
            <w:tcW w:w="232" w:type="dxa"/>
            <w:tcBorders/>
            <w:shd w:fill="CCEEFF" w:val="clear"/>
            <w:vAlign w:val="center"/>
          </w:tcPr>
          <w:p>
            <w:pPr>
              <w:pStyle w:val="TableContents"/>
              <w:bidi w:val="0"/>
              <w:spacing w:before="0" w:after="0"/>
              <w:ind w:left="0" w:right="0" w:hanging="0"/>
              <w:jc w:val="left"/>
              <w:rPr/>
            </w:pPr>
            <w:r>
              <w:rPr/>
            </w:r>
          </w:p>
        </w:tc>
        <w:tc>
          <w:tcPr>
            <w:tcW w:w="1103" w:type="dxa"/>
            <w:tcBorders/>
            <w:shd w:fill="CCEEFF" w:val="clear"/>
            <w:vAlign w:val="center"/>
          </w:tcPr>
          <w:p>
            <w:pPr>
              <w:pStyle w:val="TableContents"/>
              <w:bidi w:val="0"/>
              <w:spacing w:before="0" w:after="0"/>
              <w:ind w:left="0" w:right="0" w:hanging="0"/>
              <w:jc w:val="right"/>
              <w:rPr/>
            </w:pPr>
            <w:r>
              <w:rPr/>
              <w:t>181</w:t>
            </w:r>
          </w:p>
        </w:tc>
        <w:tc>
          <w:tcPr>
            <w:tcW w:w="95" w:type="dxa"/>
            <w:tcBorders/>
            <w:shd w:fill="CCEEFF" w:val="clear"/>
            <w:vAlign w:val="center"/>
          </w:tcPr>
          <w:p>
            <w:pPr>
              <w:pStyle w:val="TableContents"/>
              <w:bidi w:val="0"/>
              <w:spacing w:before="0" w:after="0"/>
              <w:ind w:left="0" w:right="0" w:hanging="0"/>
              <w:jc w:val="left"/>
              <w:rPr/>
            </w:pPr>
            <w:r>
              <w:rPr/>
            </w:r>
          </w:p>
        </w:tc>
        <w:tc>
          <w:tcPr>
            <w:tcW w:w="23" w:type="dxa"/>
            <w:tcBorders/>
            <w:shd w:fill="CCEEFF" w:val="clear"/>
            <w:vAlign w:val="center"/>
          </w:tcPr>
          <w:p>
            <w:pPr>
              <w:pStyle w:val="TableContents"/>
              <w:bidi w:val="0"/>
              <w:spacing w:before="0" w:after="0"/>
              <w:ind w:left="0" w:right="0" w:hanging="0"/>
              <w:jc w:val="left"/>
              <w:rPr/>
            </w:pPr>
            <w:r>
              <w:rPr/>
            </w:r>
          </w:p>
        </w:tc>
        <w:tc>
          <w:tcPr>
            <w:tcW w:w="227" w:type="dxa"/>
            <w:tcBorders/>
            <w:shd w:fill="CCEEFF" w:val="clear"/>
            <w:vAlign w:val="center"/>
          </w:tcPr>
          <w:p>
            <w:pPr>
              <w:pStyle w:val="TableContents"/>
              <w:bidi w:val="0"/>
              <w:spacing w:before="0" w:after="0"/>
              <w:ind w:left="0" w:right="0" w:hanging="0"/>
              <w:jc w:val="left"/>
              <w:rPr/>
            </w:pPr>
            <w:r>
              <w:rPr/>
            </w:r>
          </w:p>
        </w:tc>
        <w:tc>
          <w:tcPr>
            <w:tcW w:w="106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360 </w:t>
            </w:r>
          </w:p>
        </w:tc>
        <w:tc>
          <w:tcPr>
            <w:tcW w:w="121" w:type="dxa"/>
            <w:tcBorders/>
            <w:shd w:fill="CCEEFF" w:val="clear"/>
            <w:vAlign w:val="center"/>
          </w:tcPr>
          <w:p>
            <w:pPr>
              <w:pStyle w:val="TableContents"/>
              <w:bidi w:val="0"/>
              <w:spacing w:before="0" w:after="0"/>
              <w:ind w:left="0" w:right="0" w:hanging="0"/>
              <w:jc w:val="left"/>
              <w:rPr/>
            </w:pPr>
            <w:r>
              <w:rPr/>
            </w:r>
          </w:p>
        </w:tc>
      </w:tr>
      <w:tr>
        <w:trPr/>
        <w:tc>
          <w:tcPr>
            <w:tcW w:w="7317" w:type="dxa"/>
            <w:tcBorders/>
            <w:vAlign w:val="center"/>
          </w:tcPr>
          <w:p>
            <w:pPr>
              <w:pStyle w:val="TableContents"/>
              <w:bidi w:val="0"/>
              <w:spacing w:before="0" w:after="283"/>
              <w:jc w:val="left"/>
              <w:rPr/>
            </w:pPr>
            <w:r>
              <w:rPr/>
              <w:t>Current operating lease liability</w:t>
            </w:r>
          </w:p>
        </w:tc>
        <w:tc>
          <w:tcPr>
            <w:tcW w:w="23" w:type="dxa"/>
            <w:tcBorders/>
            <w:vAlign w:val="center"/>
          </w:tcPr>
          <w:p>
            <w:pPr>
              <w:pStyle w:val="TableContents"/>
              <w:bidi w:val="0"/>
              <w:spacing w:before="0" w:after="283"/>
              <w:jc w:val="left"/>
              <w:rPr/>
            </w:pPr>
            <w:r>
              <w:rPr/>
            </w:r>
          </w:p>
        </w:tc>
        <w:tc>
          <w:tcPr>
            <w:tcW w:w="232" w:type="dxa"/>
            <w:tcBorders/>
            <w:vAlign w:val="center"/>
          </w:tcPr>
          <w:p>
            <w:pPr>
              <w:pStyle w:val="TableContents"/>
              <w:bidi w:val="0"/>
              <w:spacing w:before="0" w:after="283"/>
              <w:jc w:val="left"/>
              <w:rPr/>
            </w:pPr>
            <w:r>
              <w:rPr/>
            </w:r>
          </w:p>
        </w:tc>
        <w:tc>
          <w:tcPr>
            <w:tcW w:w="1103" w:type="dxa"/>
            <w:tcBorders/>
            <w:vAlign w:val="center"/>
          </w:tcPr>
          <w:p>
            <w:pPr>
              <w:pStyle w:val="TableContents"/>
              <w:bidi w:val="0"/>
              <w:spacing w:before="0" w:after="283"/>
              <w:jc w:val="right"/>
              <w:rPr/>
            </w:pPr>
            <w:r>
              <w:rPr/>
              <w:t>218</w:t>
            </w:r>
          </w:p>
        </w:tc>
        <w:tc>
          <w:tcPr>
            <w:tcW w:w="95"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27" w:type="dxa"/>
            <w:tcBorders/>
            <w:vAlign w:val="center"/>
          </w:tcPr>
          <w:p>
            <w:pPr>
              <w:pStyle w:val="TableContents"/>
              <w:bidi w:val="0"/>
              <w:spacing w:before="0" w:after="283"/>
              <w:jc w:val="left"/>
              <w:rPr/>
            </w:pPr>
            <w:r>
              <w:rPr/>
            </w:r>
          </w:p>
        </w:tc>
        <w:tc>
          <w:tcPr>
            <w:tcW w:w="1064" w:type="dxa"/>
            <w:tcBorders/>
            <w:vAlign w:val="center"/>
          </w:tcPr>
          <w:p>
            <w:pPr>
              <w:pStyle w:val="TableContents"/>
              <w:bidi w:val="0"/>
              <w:spacing w:before="0" w:after="283"/>
              <w:jc w:val="right"/>
              <w:rPr/>
            </w:pPr>
            <w:r>
              <w:rPr/>
              <w:t>257</w:t>
            </w:r>
          </w:p>
        </w:tc>
        <w:tc>
          <w:tcPr>
            <w:tcW w:w="121" w:type="dxa"/>
            <w:tcBorders/>
            <w:vAlign w:val="center"/>
          </w:tcPr>
          <w:p>
            <w:pPr>
              <w:pStyle w:val="TableContents"/>
              <w:bidi w:val="0"/>
              <w:spacing w:before="0" w:after="283"/>
              <w:jc w:val="left"/>
              <w:rPr/>
            </w:pPr>
            <w:r>
              <w:rPr/>
            </w:r>
          </w:p>
        </w:tc>
      </w:tr>
      <w:tr>
        <w:trPr/>
        <w:tc>
          <w:tcPr>
            <w:tcW w:w="7317" w:type="dxa"/>
            <w:tcBorders/>
            <w:shd w:fill="CCEEFF" w:val="clear"/>
            <w:vAlign w:val="center"/>
          </w:tcPr>
          <w:p>
            <w:pPr>
              <w:pStyle w:val="TableContents"/>
              <w:bidi w:val="0"/>
              <w:spacing w:before="0" w:after="283"/>
              <w:jc w:val="left"/>
              <w:rPr>
                <w:rFonts w:ascii="Times New Roman;serif" w:hAnsi="Times New Roman;serif"/>
                <w:color w:val="000000"/>
                <w:sz w:val="20"/>
              </w:rPr>
            </w:pPr>
            <w:r>
              <w:rPr>
                <w:rFonts w:ascii="Times New Roman;serif" w:hAnsi="Times New Roman;serif"/>
                <w:color w:val="000000"/>
                <w:sz w:val="20"/>
              </w:rPr>
              <w:t xml:space="preserve">Current liabilities related to discontinued operations </w:t>
            </w:r>
          </w:p>
        </w:tc>
        <w:tc>
          <w:tcPr>
            <w:tcW w:w="23" w:type="dxa"/>
            <w:tcBorders/>
            <w:shd w:fill="CCEEFF" w:val="clear"/>
            <w:vAlign w:val="center"/>
          </w:tcPr>
          <w:p>
            <w:pPr>
              <w:pStyle w:val="TableContents"/>
              <w:bidi w:val="0"/>
              <w:spacing w:before="0" w:after="283"/>
              <w:jc w:val="left"/>
              <w:rPr/>
            </w:pPr>
            <w:r>
              <w:rPr/>
            </w:r>
          </w:p>
        </w:tc>
        <w:tc>
          <w:tcPr>
            <w:tcW w:w="232" w:type="dxa"/>
            <w:tcBorders/>
            <w:shd w:fill="CCEEFF" w:val="clear"/>
            <w:vAlign w:val="center"/>
          </w:tcPr>
          <w:p>
            <w:pPr>
              <w:pStyle w:val="TableContents"/>
              <w:bidi w:val="0"/>
              <w:spacing w:before="0" w:after="283"/>
              <w:jc w:val="left"/>
              <w:rPr/>
            </w:pPr>
            <w:r>
              <w:rPr/>
            </w:r>
          </w:p>
        </w:tc>
        <w:tc>
          <w:tcPr>
            <w:tcW w:w="1103" w:type="dxa"/>
            <w:tcBorders/>
            <w:shd w:fill="CCEEFF" w:val="clear"/>
            <w:vAlign w:val="center"/>
          </w:tcPr>
          <w:p>
            <w:pPr>
              <w:pStyle w:val="TableContents"/>
              <w:bidi w:val="0"/>
              <w:spacing w:before="0" w:after="283"/>
              <w:jc w:val="right"/>
              <w:rPr/>
            </w:pPr>
            <w:r>
              <w:rPr/>
              <w:t>3,234</w:t>
            </w:r>
          </w:p>
        </w:tc>
        <w:tc>
          <w:tcPr>
            <w:tcW w:w="95"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227" w:type="dxa"/>
            <w:tcBorders/>
            <w:shd w:fill="CCEEFF" w:val="clear"/>
            <w:vAlign w:val="center"/>
          </w:tcPr>
          <w:p>
            <w:pPr>
              <w:pStyle w:val="TableContents"/>
              <w:bidi w:val="0"/>
              <w:spacing w:before="0" w:after="283"/>
              <w:jc w:val="left"/>
              <w:rPr/>
            </w:pPr>
            <w:r>
              <w:rPr/>
            </w:r>
          </w:p>
        </w:tc>
        <w:tc>
          <w:tcPr>
            <w:tcW w:w="1064" w:type="dxa"/>
            <w:tcBorders/>
            <w:shd w:fill="CCEEFF" w:val="clear"/>
            <w:vAlign w:val="center"/>
          </w:tcPr>
          <w:p>
            <w:pPr>
              <w:pStyle w:val="TableContents"/>
              <w:bidi w:val="0"/>
              <w:spacing w:before="0" w:after="283"/>
              <w:jc w:val="right"/>
              <w:rPr/>
            </w:pPr>
            <w:r>
              <w:rPr/>
              <w:t>2,852</w:t>
            </w:r>
          </w:p>
        </w:tc>
        <w:tc>
          <w:tcPr>
            <w:tcW w:w="121" w:type="dxa"/>
            <w:tcBorders/>
            <w:shd w:fill="CCEEFF" w:val="clear"/>
            <w:vAlign w:val="center"/>
          </w:tcPr>
          <w:p>
            <w:pPr>
              <w:pStyle w:val="TableContents"/>
              <w:bidi w:val="0"/>
              <w:spacing w:before="0" w:after="283"/>
              <w:jc w:val="left"/>
              <w:rPr/>
            </w:pPr>
            <w:r>
              <w:rPr/>
            </w:r>
          </w:p>
        </w:tc>
      </w:tr>
      <w:tr>
        <w:trPr/>
        <w:tc>
          <w:tcPr>
            <w:tcW w:w="7317" w:type="dxa"/>
            <w:tcBorders/>
            <w:vAlign w:val="center"/>
          </w:tcPr>
          <w:p>
            <w:pPr>
              <w:pStyle w:val="TableContents"/>
              <w:bidi w:val="0"/>
              <w:spacing w:before="0" w:after="0"/>
              <w:ind w:left="240" w:right="0" w:hanging="0"/>
              <w:jc w:val="left"/>
              <w:rPr/>
            </w:pPr>
            <w:r>
              <w:rPr/>
              <w:t xml:space="preserve">Total current liabilities </w:t>
            </w:r>
          </w:p>
        </w:tc>
        <w:tc>
          <w:tcPr>
            <w:tcW w:w="23" w:type="dxa"/>
            <w:tcBorders/>
            <w:vAlign w:val="center"/>
          </w:tcPr>
          <w:p>
            <w:pPr>
              <w:pStyle w:val="TableContents"/>
              <w:bidi w:val="0"/>
              <w:spacing w:before="0" w:after="0"/>
              <w:ind w:left="0" w:right="0" w:hanging="0"/>
              <w:jc w:val="left"/>
              <w:rPr/>
            </w:pPr>
            <w:r>
              <w:rPr/>
            </w:r>
          </w:p>
        </w:tc>
        <w:tc>
          <w:tcPr>
            <w:tcW w:w="232" w:type="dxa"/>
            <w:tcBorders/>
            <w:vAlign w:val="center"/>
          </w:tcPr>
          <w:p>
            <w:pPr>
              <w:pStyle w:val="TableContents"/>
              <w:bidi w:val="0"/>
              <w:spacing w:before="0" w:after="0"/>
              <w:ind w:left="0" w:right="0" w:hanging="0"/>
              <w:jc w:val="left"/>
              <w:rPr/>
            </w:pPr>
            <w:r>
              <w:rPr/>
            </w:r>
          </w:p>
        </w:tc>
        <w:tc>
          <w:tcPr>
            <w:tcW w:w="1103"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3,751 </w:t>
            </w:r>
          </w:p>
        </w:tc>
        <w:tc>
          <w:tcPr>
            <w:tcW w:w="95" w:type="dxa"/>
            <w:tcBorders/>
            <w:vAlign w:val="center"/>
          </w:tcPr>
          <w:p>
            <w:pPr>
              <w:pStyle w:val="TableContents"/>
              <w:bidi w:val="0"/>
              <w:spacing w:before="0" w:after="0"/>
              <w:ind w:left="0" w:right="0" w:hanging="0"/>
              <w:jc w:val="left"/>
              <w:rPr/>
            </w:pPr>
            <w:r>
              <w:rPr/>
            </w:r>
          </w:p>
        </w:tc>
        <w:tc>
          <w:tcPr>
            <w:tcW w:w="23" w:type="dxa"/>
            <w:tcBorders/>
            <w:vAlign w:val="center"/>
          </w:tcPr>
          <w:p>
            <w:pPr>
              <w:pStyle w:val="TableContents"/>
              <w:bidi w:val="0"/>
              <w:spacing w:before="0" w:after="0"/>
              <w:ind w:left="0" w:right="0" w:hanging="0"/>
              <w:jc w:val="left"/>
              <w:rPr/>
            </w:pPr>
            <w:r>
              <w:rPr/>
            </w:r>
          </w:p>
        </w:tc>
        <w:tc>
          <w:tcPr>
            <w:tcW w:w="227" w:type="dxa"/>
            <w:tcBorders/>
            <w:vAlign w:val="center"/>
          </w:tcPr>
          <w:p>
            <w:pPr>
              <w:pStyle w:val="TableContents"/>
              <w:bidi w:val="0"/>
              <w:spacing w:before="0" w:after="0"/>
              <w:ind w:left="0" w:right="0" w:hanging="0"/>
              <w:jc w:val="left"/>
              <w:rPr/>
            </w:pPr>
            <w:r>
              <w:rPr/>
            </w:r>
          </w:p>
        </w:tc>
        <w:tc>
          <w:tcPr>
            <w:tcW w:w="1064"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3,545 </w:t>
            </w:r>
          </w:p>
        </w:tc>
        <w:tc>
          <w:tcPr>
            <w:tcW w:w="121" w:type="dxa"/>
            <w:tcBorders/>
            <w:vAlign w:val="center"/>
          </w:tcPr>
          <w:p>
            <w:pPr>
              <w:pStyle w:val="TableContents"/>
              <w:bidi w:val="0"/>
              <w:spacing w:before="0" w:after="0"/>
              <w:ind w:left="0" w:right="0" w:hanging="0"/>
              <w:jc w:val="left"/>
              <w:rPr/>
            </w:pPr>
            <w:r>
              <w:rPr/>
            </w:r>
          </w:p>
        </w:tc>
      </w:tr>
      <w:tr>
        <w:trPr/>
        <w:tc>
          <w:tcPr>
            <w:tcW w:w="731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Long term operating lease liability </w:t>
            </w:r>
          </w:p>
        </w:tc>
        <w:tc>
          <w:tcPr>
            <w:tcW w:w="23" w:type="dxa"/>
            <w:tcBorders/>
            <w:shd w:fill="CCEEFF" w:val="clear"/>
            <w:vAlign w:val="center"/>
          </w:tcPr>
          <w:p>
            <w:pPr>
              <w:pStyle w:val="TableContents"/>
              <w:bidi w:val="0"/>
              <w:spacing w:before="0" w:after="0"/>
              <w:ind w:left="0" w:right="0" w:hanging="0"/>
              <w:jc w:val="left"/>
              <w:rPr/>
            </w:pPr>
            <w:r>
              <w:rPr/>
            </w:r>
          </w:p>
        </w:tc>
        <w:tc>
          <w:tcPr>
            <w:tcW w:w="232" w:type="dxa"/>
            <w:tcBorders/>
            <w:shd w:fill="CCEEFF" w:val="clear"/>
            <w:vAlign w:val="center"/>
          </w:tcPr>
          <w:p>
            <w:pPr>
              <w:pStyle w:val="TableContents"/>
              <w:bidi w:val="0"/>
              <w:spacing w:before="0" w:after="0"/>
              <w:ind w:left="0" w:right="0" w:hanging="0"/>
              <w:jc w:val="left"/>
              <w:rPr/>
            </w:pPr>
            <w:r>
              <w:rPr/>
            </w:r>
          </w:p>
        </w:tc>
        <w:tc>
          <w:tcPr>
            <w:tcW w:w="110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348 </w:t>
            </w:r>
          </w:p>
        </w:tc>
        <w:tc>
          <w:tcPr>
            <w:tcW w:w="95" w:type="dxa"/>
            <w:tcBorders/>
            <w:shd w:fill="CCEEFF" w:val="clear"/>
            <w:vAlign w:val="center"/>
          </w:tcPr>
          <w:p>
            <w:pPr>
              <w:pStyle w:val="TableContents"/>
              <w:bidi w:val="0"/>
              <w:spacing w:before="0" w:after="0"/>
              <w:ind w:left="0" w:right="0" w:hanging="0"/>
              <w:jc w:val="left"/>
              <w:rPr/>
            </w:pPr>
            <w:r>
              <w:rPr/>
            </w:r>
          </w:p>
        </w:tc>
        <w:tc>
          <w:tcPr>
            <w:tcW w:w="23" w:type="dxa"/>
            <w:tcBorders/>
            <w:shd w:fill="CCEEFF" w:val="clear"/>
            <w:vAlign w:val="center"/>
          </w:tcPr>
          <w:p>
            <w:pPr>
              <w:pStyle w:val="TableContents"/>
              <w:bidi w:val="0"/>
              <w:spacing w:before="0" w:after="0"/>
              <w:ind w:left="0" w:right="0" w:hanging="0"/>
              <w:jc w:val="left"/>
              <w:rPr/>
            </w:pPr>
            <w:r>
              <w:rPr/>
            </w:r>
          </w:p>
        </w:tc>
        <w:tc>
          <w:tcPr>
            <w:tcW w:w="227" w:type="dxa"/>
            <w:tcBorders/>
            <w:shd w:fill="CCEEFF" w:val="clear"/>
            <w:vAlign w:val="center"/>
          </w:tcPr>
          <w:p>
            <w:pPr>
              <w:pStyle w:val="TableContents"/>
              <w:bidi w:val="0"/>
              <w:spacing w:before="0" w:after="0"/>
              <w:ind w:left="0" w:right="0" w:hanging="0"/>
              <w:jc w:val="left"/>
              <w:rPr/>
            </w:pPr>
            <w:r>
              <w:rPr/>
            </w:r>
          </w:p>
        </w:tc>
        <w:tc>
          <w:tcPr>
            <w:tcW w:w="106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514</w:t>
            </w:r>
          </w:p>
        </w:tc>
        <w:tc>
          <w:tcPr>
            <w:tcW w:w="121" w:type="dxa"/>
            <w:tcBorders/>
            <w:shd w:fill="CCEEFF" w:val="clear"/>
            <w:vAlign w:val="center"/>
          </w:tcPr>
          <w:p>
            <w:pPr>
              <w:pStyle w:val="TableContents"/>
              <w:bidi w:val="0"/>
              <w:spacing w:before="0" w:after="0"/>
              <w:ind w:left="0" w:right="0" w:hanging="0"/>
              <w:jc w:val="left"/>
              <w:rPr/>
            </w:pPr>
            <w:r>
              <w:rPr/>
            </w:r>
          </w:p>
        </w:tc>
      </w:tr>
      <w:tr>
        <w:trPr/>
        <w:tc>
          <w:tcPr>
            <w:tcW w:w="7317" w:type="dxa"/>
            <w:tcBorders/>
            <w:vAlign w:val="center"/>
          </w:tcPr>
          <w:p>
            <w:pPr>
              <w:pStyle w:val="TableContents"/>
              <w:bidi w:val="0"/>
              <w:spacing w:before="0" w:after="0"/>
              <w:ind w:left="0" w:right="0" w:hanging="0"/>
              <w:jc w:val="left"/>
              <w:rPr>
                <w:rFonts w:ascii="Times New Roman;serif" w:hAnsi="Times New Roman;serif"/>
                <w:color w:val="000000"/>
                <w:sz w:val="20"/>
              </w:rPr>
            </w:pPr>
            <w:r>
              <w:rPr>
                <w:rFonts w:ascii="Times New Roman;serif" w:hAnsi="Times New Roman;serif"/>
                <w:color w:val="000000"/>
                <w:sz w:val="20"/>
              </w:rPr>
              <w:t xml:space="preserve">Long-term liabilities related to discontinued operations </w:t>
            </w:r>
          </w:p>
        </w:tc>
        <w:tc>
          <w:tcPr>
            <w:tcW w:w="23" w:type="dxa"/>
            <w:tcBorders/>
            <w:vAlign w:val="center"/>
          </w:tcPr>
          <w:p>
            <w:pPr>
              <w:pStyle w:val="TableContents"/>
              <w:bidi w:val="0"/>
              <w:spacing w:before="0" w:after="0"/>
              <w:ind w:left="0" w:right="0" w:hanging="0"/>
              <w:jc w:val="left"/>
              <w:rPr/>
            </w:pPr>
            <w:r>
              <w:rPr/>
            </w:r>
          </w:p>
        </w:tc>
        <w:tc>
          <w:tcPr>
            <w:tcW w:w="232" w:type="dxa"/>
            <w:tcBorders/>
            <w:vAlign w:val="center"/>
          </w:tcPr>
          <w:p>
            <w:pPr>
              <w:pStyle w:val="TableContents"/>
              <w:bidi w:val="0"/>
              <w:spacing w:before="0" w:after="0"/>
              <w:ind w:left="0" w:right="0" w:hanging="0"/>
              <w:jc w:val="left"/>
              <w:rPr/>
            </w:pPr>
            <w:r>
              <w:rPr/>
            </w:r>
          </w:p>
        </w:tc>
        <w:tc>
          <w:tcPr>
            <w:tcW w:w="1103"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1,155 </w:t>
            </w:r>
          </w:p>
        </w:tc>
        <w:tc>
          <w:tcPr>
            <w:tcW w:w="95" w:type="dxa"/>
            <w:tcBorders/>
            <w:vAlign w:val="center"/>
          </w:tcPr>
          <w:p>
            <w:pPr>
              <w:pStyle w:val="TableContents"/>
              <w:bidi w:val="0"/>
              <w:spacing w:before="0" w:after="0"/>
              <w:ind w:left="0" w:right="0" w:hanging="0"/>
              <w:jc w:val="left"/>
              <w:rPr/>
            </w:pPr>
            <w:r>
              <w:rPr/>
            </w:r>
          </w:p>
        </w:tc>
        <w:tc>
          <w:tcPr>
            <w:tcW w:w="23" w:type="dxa"/>
            <w:tcBorders/>
            <w:vAlign w:val="center"/>
          </w:tcPr>
          <w:p>
            <w:pPr>
              <w:pStyle w:val="TableContents"/>
              <w:bidi w:val="0"/>
              <w:spacing w:before="0" w:after="0"/>
              <w:ind w:left="0" w:right="0" w:hanging="0"/>
              <w:jc w:val="left"/>
              <w:rPr/>
            </w:pPr>
            <w:r>
              <w:rPr/>
            </w:r>
          </w:p>
        </w:tc>
        <w:tc>
          <w:tcPr>
            <w:tcW w:w="227" w:type="dxa"/>
            <w:tcBorders/>
            <w:vAlign w:val="center"/>
          </w:tcPr>
          <w:p>
            <w:pPr>
              <w:pStyle w:val="TableContents"/>
              <w:bidi w:val="0"/>
              <w:spacing w:before="0" w:after="0"/>
              <w:ind w:left="0" w:right="0" w:hanging="0"/>
              <w:jc w:val="left"/>
              <w:rPr/>
            </w:pPr>
            <w:r>
              <w:rPr/>
            </w:r>
          </w:p>
        </w:tc>
        <w:tc>
          <w:tcPr>
            <w:tcW w:w="1064"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1,154 </w:t>
            </w:r>
          </w:p>
        </w:tc>
        <w:tc>
          <w:tcPr>
            <w:tcW w:w="121" w:type="dxa"/>
            <w:tcBorders/>
            <w:vAlign w:val="center"/>
          </w:tcPr>
          <w:p>
            <w:pPr>
              <w:pStyle w:val="TableContents"/>
              <w:bidi w:val="0"/>
              <w:spacing w:before="0" w:after="0"/>
              <w:ind w:left="0" w:right="0" w:hanging="0"/>
              <w:jc w:val="left"/>
              <w:rPr/>
            </w:pPr>
            <w:r>
              <w:rPr/>
            </w:r>
          </w:p>
        </w:tc>
      </w:tr>
      <w:tr>
        <w:trPr/>
        <w:tc>
          <w:tcPr>
            <w:tcW w:w="7317" w:type="dxa"/>
            <w:tcBorders/>
            <w:shd w:fill="CCEEFF" w:val="clear"/>
            <w:vAlign w:val="center"/>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 xml:space="preserve">Total liabilities </w:t>
            </w:r>
          </w:p>
        </w:tc>
        <w:tc>
          <w:tcPr>
            <w:tcW w:w="23" w:type="dxa"/>
            <w:tcBorders/>
            <w:shd w:fill="CCEEFF" w:val="clear"/>
            <w:vAlign w:val="center"/>
          </w:tcPr>
          <w:p>
            <w:pPr>
              <w:pStyle w:val="TableContents"/>
              <w:bidi w:val="0"/>
              <w:spacing w:before="0" w:after="0"/>
              <w:ind w:left="0" w:right="0" w:hanging="0"/>
              <w:jc w:val="left"/>
              <w:rPr/>
            </w:pPr>
            <w:r>
              <w:rPr/>
            </w:r>
          </w:p>
        </w:tc>
        <w:tc>
          <w:tcPr>
            <w:tcW w:w="232" w:type="dxa"/>
            <w:tcBorders/>
            <w:shd w:fill="CCEEFF" w:val="clear"/>
            <w:vAlign w:val="center"/>
          </w:tcPr>
          <w:p>
            <w:pPr>
              <w:pStyle w:val="TableContents"/>
              <w:bidi w:val="0"/>
              <w:spacing w:before="0" w:after="0"/>
              <w:ind w:left="0" w:right="0" w:hanging="0"/>
              <w:jc w:val="left"/>
              <w:rPr/>
            </w:pPr>
            <w:r>
              <w:rPr/>
            </w:r>
          </w:p>
        </w:tc>
        <w:tc>
          <w:tcPr>
            <w:tcW w:w="110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5,254 </w:t>
            </w:r>
          </w:p>
        </w:tc>
        <w:tc>
          <w:tcPr>
            <w:tcW w:w="95" w:type="dxa"/>
            <w:tcBorders/>
            <w:shd w:fill="CCEEFF" w:val="clear"/>
            <w:vAlign w:val="center"/>
          </w:tcPr>
          <w:p>
            <w:pPr>
              <w:pStyle w:val="TableContents"/>
              <w:bidi w:val="0"/>
              <w:spacing w:before="0" w:after="0"/>
              <w:ind w:left="0" w:right="0" w:hanging="0"/>
              <w:jc w:val="left"/>
              <w:rPr/>
            </w:pPr>
            <w:r>
              <w:rPr/>
            </w:r>
          </w:p>
        </w:tc>
        <w:tc>
          <w:tcPr>
            <w:tcW w:w="23" w:type="dxa"/>
            <w:tcBorders/>
            <w:shd w:fill="CCEEFF" w:val="clear"/>
            <w:vAlign w:val="center"/>
          </w:tcPr>
          <w:p>
            <w:pPr>
              <w:pStyle w:val="TableContents"/>
              <w:bidi w:val="0"/>
              <w:spacing w:before="0" w:after="0"/>
              <w:ind w:left="0" w:right="0" w:hanging="0"/>
              <w:jc w:val="left"/>
              <w:rPr/>
            </w:pPr>
            <w:r>
              <w:rPr/>
            </w:r>
          </w:p>
        </w:tc>
        <w:tc>
          <w:tcPr>
            <w:tcW w:w="227" w:type="dxa"/>
            <w:tcBorders/>
            <w:shd w:fill="CCEEFF" w:val="clear"/>
            <w:vAlign w:val="center"/>
          </w:tcPr>
          <w:p>
            <w:pPr>
              <w:pStyle w:val="TableContents"/>
              <w:bidi w:val="0"/>
              <w:spacing w:before="0" w:after="0"/>
              <w:ind w:left="0" w:right="0" w:hanging="0"/>
              <w:jc w:val="left"/>
              <w:rPr/>
            </w:pPr>
            <w:r>
              <w:rPr/>
            </w:r>
          </w:p>
        </w:tc>
        <w:tc>
          <w:tcPr>
            <w:tcW w:w="106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5,213 </w:t>
            </w:r>
          </w:p>
        </w:tc>
        <w:tc>
          <w:tcPr>
            <w:tcW w:w="121" w:type="dxa"/>
            <w:tcBorders/>
            <w:shd w:fill="CCEEFF" w:val="clear"/>
            <w:vAlign w:val="center"/>
          </w:tcPr>
          <w:p>
            <w:pPr>
              <w:pStyle w:val="TableContents"/>
              <w:bidi w:val="0"/>
              <w:spacing w:before="0" w:after="0"/>
              <w:ind w:left="0" w:right="0" w:hanging="0"/>
              <w:jc w:val="left"/>
              <w:rPr/>
            </w:pPr>
            <w:r>
              <w:rPr/>
            </w:r>
          </w:p>
        </w:tc>
      </w:tr>
      <w:tr>
        <w:trPr/>
        <w:tc>
          <w:tcPr>
            <w:tcW w:w="7317" w:type="dxa"/>
            <w:tcBorders/>
            <w:vAlign w:val="center"/>
          </w:tcPr>
          <w:p>
            <w:pPr>
              <w:pStyle w:val="TableContents"/>
              <w:bidi w:val="0"/>
              <w:spacing w:before="0" w:after="0"/>
              <w:ind w:left="0" w:right="0" w:hanging="0"/>
              <w:jc w:val="left"/>
              <w:rPr/>
            </w:pPr>
            <w:r>
              <w:rPr/>
            </w:r>
          </w:p>
        </w:tc>
        <w:tc>
          <w:tcPr>
            <w:tcW w:w="23" w:type="dxa"/>
            <w:tcBorders/>
            <w:vAlign w:val="center"/>
          </w:tcPr>
          <w:p>
            <w:pPr>
              <w:pStyle w:val="TableContents"/>
              <w:bidi w:val="0"/>
              <w:spacing w:before="0" w:after="0"/>
              <w:ind w:left="0" w:right="0" w:hanging="0"/>
              <w:jc w:val="left"/>
              <w:rPr/>
            </w:pPr>
            <w:r>
              <w:rPr/>
            </w:r>
          </w:p>
        </w:tc>
        <w:tc>
          <w:tcPr>
            <w:tcW w:w="232" w:type="dxa"/>
            <w:tcBorders/>
            <w:vAlign w:val="center"/>
          </w:tcPr>
          <w:p>
            <w:pPr>
              <w:pStyle w:val="TableContents"/>
              <w:bidi w:val="0"/>
              <w:spacing w:before="0" w:after="0"/>
              <w:ind w:left="0" w:right="0" w:hanging="0"/>
              <w:jc w:val="left"/>
              <w:rPr/>
            </w:pPr>
            <w:r>
              <w:rPr/>
            </w:r>
          </w:p>
        </w:tc>
        <w:tc>
          <w:tcPr>
            <w:tcW w:w="1103" w:type="dxa"/>
            <w:tcBorders/>
            <w:vAlign w:val="center"/>
          </w:tcPr>
          <w:p>
            <w:pPr>
              <w:pStyle w:val="TableContents"/>
              <w:bidi w:val="0"/>
              <w:spacing w:before="0" w:after="0"/>
              <w:ind w:left="0" w:right="0" w:hanging="0"/>
              <w:jc w:val="left"/>
              <w:rPr/>
            </w:pPr>
            <w:r>
              <w:rPr/>
            </w:r>
          </w:p>
        </w:tc>
        <w:tc>
          <w:tcPr>
            <w:tcW w:w="95" w:type="dxa"/>
            <w:tcBorders/>
            <w:vAlign w:val="center"/>
          </w:tcPr>
          <w:p>
            <w:pPr>
              <w:pStyle w:val="TableContents"/>
              <w:bidi w:val="0"/>
              <w:spacing w:before="0" w:after="0"/>
              <w:ind w:left="0" w:right="0" w:hanging="0"/>
              <w:jc w:val="left"/>
              <w:rPr/>
            </w:pPr>
            <w:r>
              <w:rPr/>
            </w:r>
          </w:p>
        </w:tc>
        <w:tc>
          <w:tcPr>
            <w:tcW w:w="23" w:type="dxa"/>
            <w:tcBorders/>
            <w:vAlign w:val="center"/>
          </w:tcPr>
          <w:p>
            <w:pPr>
              <w:pStyle w:val="TableContents"/>
              <w:bidi w:val="0"/>
              <w:spacing w:before="0" w:after="0"/>
              <w:ind w:left="0" w:right="0" w:hanging="0"/>
              <w:jc w:val="left"/>
              <w:rPr/>
            </w:pPr>
            <w:r>
              <w:rPr/>
            </w:r>
          </w:p>
        </w:tc>
        <w:tc>
          <w:tcPr>
            <w:tcW w:w="227" w:type="dxa"/>
            <w:tcBorders/>
            <w:vAlign w:val="center"/>
          </w:tcPr>
          <w:p>
            <w:pPr>
              <w:pStyle w:val="TableContents"/>
              <w:bidi w:val="0"/>
              <w:spacing w:before="0" w:after="0"/>
              <w:ind w:left="0" w:right="0" w:hanging="0"/>
              <w:jc w:val="left"/>
              <w:rPr/>
            </w:pPr>
            <w:r>
              <w:rPr/>
            </w:r>
          </w:p>
        </w:tc>
        <w:tc>
          <w:tcPr>
            <w:tcW w:w="1064" w:type="dxa"/>
            <w:tcBorders/>
            <w:vAlign w:val="center"/>
          </w:tcPr>
          <w:p>
            <w:pPr>
              <w:pStyle w:val="TableContents"/>
              <w:bidi w:val="0"/>
              <w:spacing w:before="0" w:after="0"/>
              <w:ind w:left="0" w:right="0" w:hanging="0"/>
              <w:jc w:val="left"/>
              <w:rPr/>
            </w:pPr>
            <w:r>
              <w:rPr/>
            </w:r>
          </w:p>
        </w:tc>
        <w:tc>
          <w:tcPr>
            <w:tcW w:w="121" w:type="dxa"/>
            <w:tcBorders/>
            <w:vAlign w:val="center"/>
          </w:tcPr>
          <w:p>
            <w:pPr>
              <w:pStyle w:val="TableContents"/>
              <w:bidi w:val="0"/>
              <w:spacing w:before="0" w:after="0"/>
              <w:ind w:left="0" w:right="0" w:hanging="0"/>
              <w:jc w:val="left"/>
              <w:rPr/>
            </w:pPr>
            <w:r>
              <w:rPr/>
            </w:r>
          </w:p>
        </w:tc>
      </w:tr>
      <w:tr>
        <w:trPr/>
        <w:tc>
          <w:tcPr>
            <w:tcW w:w="7317" w:type="dxa"/>
            <w:tcBorders/>
            <w:shd w:fill="CCEEFF" w:val="clear"/>
            <w:vAlign w:val="center"/>
          </w:tcPr>
          <w:p>
            <w:pPr>
              <w:pStyle w:val="TableContents"/>
              <w:bidi w:val="0"/>
              <w:spacing w:before="0" w:after="283"/>
              <w:jc w:val="left"/>
              <w:rPr/>
            </w:pPr>
            <w:r>
              <w:rPr/>
              <w:t>Temporary equity</w:t>
            </w:r>
          </w:p>
        </w:tc>
        <w:tc>
          <w:tcPr>
            <w:tcW w:w="23" w:type="dxa"/>
            <w:tcBorders/>
            <w:shd w:fill="CCEEFF" w:val="clear"/>
            <w:vAlign w:val="center"/>
          </w:tcPr>
          <w:p>
            <w:pPr>
              <w:pStyle w:val="TableContents"/>
              <w:bidi w:val="0"/>
              <w:spacing w:before="0" w:after="283"/>
              <w:jc w:val="left"/>
              <w:rPr/>
            </w:pPr>
            <w:r>
              <w:rPr/>
            </w:r>
          </w:p>
        </w:tc>
        <w:tc>
          <w:tcPr>
            <w:tcW w:w="232" w:type="dxa"/>
            <w:tcBorders/>
            <w:shd w:fill="CCEEFF" w:val="clear"/>
            <w:vAlign w:val="center"/>
          </w:tcPr>
          <w:p>
            <w:pPr>
              <w:pStyle w:val="TableContents"/>
              <w:bidi w:val="0"/>
              <w:spacing w:before="0" w:after="283"/>
              <w:jc w:val="left"/>
              <w:rPr/>
            </w:pPr>
            <w:r>
              <w:rPr/>
            </w:r>
          </w:p>
        </w:tc>
        <w:tc>
          <w:tcPr>
            <w:tcW w:w="1103" w:type="dxa"/>
            <w:tcBorders/>
            <w:shd w:fill="CCEEFF" w:val="clear"/>
            <w:vAlign w:val="center"/>
          </w:tcPr>
          <w:p>
            <w:pPr>
              <w:pStyle w:val="TableContents"/>
              <w:bidi w:val="0"/>
              <w:spacing w:before="0" w:after="283"/>
              <w:jc w:val="left"/>
              <w:rPr/>
            </w:pPr>
            <w:r>
              <w:rPr/>
            </w:r>
          </w:p>
        </w:tc>
        <w:tc>
          <w:tcPr>
            <w:tcW w:w="95"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227" w:type="dxa"/>
            <w:tcBorders/>
            <w:shd w:fill="CCEEFF" w:val="clear"/>
            <w:vAlign w:val="center"/>
          </w:tcPr>
          <w:p>
            <w:pPr>
              <w:pStyle w:val="TableContents"/>
              <w:bidi w:val="0"/>
              <w:spacing w:before="0" w:after="283"/>
              <w:jc w:val="left"/>
              <w:rPr/>
            </w:pPr>
            <w:r>
              <w:rPr/>
            </w:r>
          </w:p>
        </w:tc>
        <w:tc>
          <w:tcPr>
            <w:tcW w:w="1064" w:type="dxa"/>
            <w:tcBorders/>
            <w:shd w:fill="CCEEFF" w:val="clear"/>
            <w:vAlign w:val="center"/>
          </w:tcPr>
          <w:p>
            <w:pPr>
              <w:pStyle w:val="TableContents"/>
              <w:bidi w:val="0"/>
              <w:spacing w:before="0" w:after="283"/>
              <w:jc w:val="left"/>
              <w:rPr/>
            </w:pPr>
            <w:r>
              <w:rPr/>
            </w:r>
          </w:p>
        </w:tc>
        <w:tc>
          <w:tcPr>
            <w:tcW w:w="121" w:type="dxa"/>
            <w:tcBorders/>
            <w:shd w:fill="CCEEFF" w:val="clear"/>
            <w:vAlign w:val="center"/>
          </w:tcPr>
          <w:p>
            <w:pPr>
              <w:pStyle w:val="TableContents"/>
              <w:bidi w:val="0"/>
              <w:spacing w:before="0" w:after="283"/>
              <w:jc w:val="left"/>
              <w:rPr/>
            </w:pPr>
            <w:r>
              <w:rPr/>
            </w:r>
          </w:p>
        </w:tc>
      </w:tr>
      <w:tr>
        <w:trPr/>
        <w:tc>
          <w:tcPr>
            <w:tcW w:w="7317" w:type="dxa"/>
            <w:tcBorders/>
            <w:vAlign w:val="center"/>
          </w:tcPr>
          <w:p>
            <w:pPr>
              <w:pStyle w:val="TableContents"/>
              <w:widowControl/>
              <w:bidi w:val="0"/>
              <w:spacing w:before="0" w:after="0"/>
              <w:ind w:left="24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Class A redeemable preferred stock, $0.001 par value, 2,069,065 shares issued and outstanding, redeemable 100% upon completion of asset sale (Note </w:t>
            </w:r>
            <w:bookmarkStart w:id="59" w:name="fs_RD1FCCRW5S00000000000000000000fs"/>
            <w:bookmarkEnd w:id="59"/>
            <w:r>
              <w:rPr>
                <w:rFonts w:ascii="times new roman" w:hAnsi="times new roman"/>
                <w:b w:val="false"/>
                <w:i w:val="false"/>
                <w:caps w:val="false"/>
                <w:smallCaps w:val="false"/>
                <w:color w:val="000000"/>
                <w:spacing w:val="0"/>
                <w:sz w:val="20"/>
              </w:rPr>
              <w:t>3)</w:t>
            </w:r>
          </w:p>
        </w:tc>
        <w:tc>
          <w:tcPr>
            <w:tcW w:w="23" w:type="dxa"/>
            <w:tcBorders/>
            <w:vAlign w:val="center"/>
          </w:tcPr>
          <w:p>
            <w:pPr>
              <w:pStyle w:val="TableContents"/>
              <w:bidi w:val="0"/>
              <w:spacing w:before="0" w:after="283"/>
              <w:jc w:val="left"/>
              <w:rPr/>
            </w:pPr>
            <w:r>
              <w:rPr/>
            </w:r>
          </w:p>
        </w:tc>
        <w:tc>
          <w:tcPr>
            <w:tcW w:w="232" w:type="dxa"/>
            <w:tcBorders/>
            <w:vAlign w:val="center"/>
          </w:tcPr>
          <w:p>
            <w:pPr>
              <w:pStyle w:val="TableContents"/>
              <w:bidi w:val="0"/>
              <w:spacing w:before="0" w:after="283"/>
              <w:jc w:val="left"/>
              <w:rPr/>
            </w:pPr>
            <w:r>
              <w:rPr/>
            </w:r>
          </w:p>
        </w:tc>
        <w:tc>
          <w:tcPr>
            <w:tcW w:w="1103" w:type="dxa"/>
            <w:tcBorders/>
            <w:vAlign w:val="center"/>
          </w:tcPr>
          <w:p>
            <w:pPr>
              <w:pStyle w:val="TableContents"/>
              <w:bidi w:val="0"/>
              <w:spacing w:before="0" w:after="283"/>
              <w:jc w:val="right"/>
              <w:rPr/>
            </w:pPr>
            <w:r>
              <w:rPr/>
              <w:t>758</w:t>
            </w:r>
          </w:p>
        </w:tc>
        <w:tc>
          <w:tcPr>
            <w:tcW w:w="95"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27" w:type="dxa"/>
            <w:tcBorders/>
            <w:vAlign w:val="center"/>
          </w:tcPr>
          <w:p>
            <w:pPr>
              <w:pStyle w:val="TableContents"/>
              <w:bidi w:val="0"/>
              <w:spacing w:before="0" w:after="283"/>
              <w:jc w:val="left"/>
              <w:rPr/>
            </w:pPr>
            <w:r>
              <w:rPr/>
            </w:r>
          </w:p>
        </w:tc>
        <w:tc>
          <w:tcPr>
            <w:tcW w:w="1064" w:type="dxa"/>
            <w:tcBorders/>
            <w:vAlign w:val="center"/>
          </w:tcPr>
          <w:p>
            <w:pPr>
              <w:pStyle w:val="TableContents"/>
              <w:bidi w:val="0"/>
              <w:spacing w:before="0" w:after="283"/>
              <w:jc w:val="right"/>
              <w:rPr/>
            </w:pPr>
            <w:r>
              <w:rPr/>
              <w:t>—</w:t>
            </w:r>
          </w:p>
        </w:tc>
        <w:tc>
          <w:tcPr>
            <w:tcW w:w="121" w:type="dxa"/>
            <w:tcBorders/>
            <w:vAlign w:val="center"/>
          </w:tcPr>
          <w:p>
            <w:pPr>
              <w:pStyle w:val="TableContents"/>
              <w:bidi w:val="0"/>
              <w:spacing w:before="0" w:after="283"/>
              <w:jc w:val="left"/>
              <w:rPr/>
            </w:pPr>
            <w:r>
              <w:rPr/>
            </w:r>
          </w:p>
        </w:tc>
      </w:tr>
      <w:tr>
        <w:trPr/>
        <w:tc>
          <w:tcPr>
            <w:tcW w:w="7317"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232" w:type="dxa"/>
            <w:tcBorders/>
            <w:shd w:fill="CCEEFF" w:val="clear"/>
            <w:vAlign w:val="center"/>
          </w:tcPr>
          <w:p>
            <w:pPr>
              <w:pStyle w:val="TableContents"/>
              <w:bidi w:val="0"/>
              <w:spacing w:before="0" w:after="283"/>
              <w:jc w:val="left"/>
              <w:rPr/>
            </w:pPr>
            <w:r>
              <w:rPr/>
            </w:r>
          </w:p>
        </w:tc>
        <w:tc>
          <w:tcPr>
            <w:tcW w:w="1103" w:type="dxa"/>
            <w:tcBorders/>
            <w:shd w:fill="CCEEFF" w:val="clear"/>
            <w:vAlign w:val="center"/>
          </w:tcPr>
          <w:p>
            <w:pPr>
              <w:pStyle w:val="TableContents"/>
              <w:bidi w:val="0"/>
              <w:spacing w:before="0" w:after="283"/>
              <w:jc w:val="left"/>
              <w:rPr/>
            </w:pPr>
            <w:r>
              <w:rPr/>
            </w:r>
          </w:p>
        </w:tc>
        <w:tc>
          <w:tcPr>
            <w:tcW w:w="95"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227" w:type="dxa"/>
            <w:tcBorders/>
            <w:shd w:fill="CCEEFF" w:val="clear"/>
            <w:vAlign w:val="center"/>
          </w:tcPr>
          <w:p>
            <w:pPr>
              <w:pStyle w:val="TableContents"/>
              <w:bidi w:val="0"/>
              <w:spacing w:before="0" w:after="283"/>
              <w:jc w:val="left"/>
              <w:rPr/>
            </w:pPr>
            <w:r>
              <w:rPr/>
            </w:r>
          </w:p>
        </w:tc>
        <w:tc>
          <w:tcPr>
            <w:tcW w:w="1064" w:type="dxa"/>
            <w:tcBorders/>
            <w:shd w:fill="CCEEFF" w:val="clear"/>
            <w:vAlign w:val="center"/>
          </w:tcPr>
          <w:p>
            <w:pPr>
              <w:pStyle w:val="TableContents"/>
              <w:bidi w:val="0"/>
              <w:spacing w:before="0" w:after="283"/>
              <w:jc w:val="left"/>
              <w:rPr/>
            </w:pPr>
            <w:r>
              <w:rPr/>
            </w:r>
          </w:p>
        </w:tc>
        <w:tc>
          <w:tcPr>
            <w:tcW w:w="121" w:type="dxa"/>
            <w:tcBorders/>
            <w:shd w:fill="CCEEFF" w:val="clear"/>
            <w:vAlign w:val="center"/>
          </w:tcPr>
          <w:p>
            <w:pPr>
              <w:pStyle w:val="TableContents"/>
              <w:bidi w:val="0"/>
              <w:spacing w:before="0" w:after="283"/>
              <w:jc w:val="left"/>
              <w:rPr/>
            </w:pPr>
            <w:r>
              <w:rPr/>
            </w:r>
          </w:p>
        </w:tc>
      </w:tr>
      <w:tr>
        <w:trPr/>
        <w:tc>
          <w:tcPr>
            <w:tcW w:w="731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Shareholders' equity: </w:t>
            </w:r>
          </w:p>
        </w:tc>
        <w:tc>
          <w:tcPr>
            <w:tcW w:w="23" w:type="dxa"/>
            <w:tcBorders/>
            <w:vAlign w:val="center"/>
          </w:tcPr>
          <w:p>
            <w:pPr>
              <w:pStyle w:val="TableContents"/>
              <w:bidi w:val="0"/>
              <w:spacing w:before="0" w:after="0"/>
              <w:ind w:left="0" w:right="0" w:hanging="0"/>
              <w:jc w:val="left"/>
              <w:rPr/>
            </w:pPr>
            <w:r>
              <w:rPr/>
            </w:r>
          </w:p>
        </w:tc>
        <w:tc>
          <w:tcPr>
            <w:tcW w:w="232" w:type="dxa"/>
            <w:tcBorders/>
            <w:vAlign w:val="center"/>
          </w:tcPr>
          <w:p>
            <w:pPr>
              <w:pStyle w:val="TableContents"/>
              <w:bidi w:val="0"/>
              <w:spacing w:before="0" w:after="0"/>
              <w:ind w:left="0" w:right="0" w:hanging="0"/>
              <w:jc w:val="left"/>
              <w:rPr/>
            </w:pPr>
            <w:r>
              <w:rPr/>
            </w:r>
          </w:p>
        </w:tc>
        <w:tc>
          <w:tcPr>
            <w:tcW w:w="1103" w:type="dxa"/>
            <w:tcBorders/>
            <w:vAlign w:val="center"/>
          </w:tcPr>
          <w:p>
            <w:pPr>
              <w:pStyle w:val="TableContents"/>
              <w:bidi w:val="0"/>
              <w:spacing w:before="0" w:after="0"/>
              <w:ind w:left="0" w:right="0" w:hanging="0"/>
              <w:jc w:val="left"/>
              <w:rPr/>
            </w:pPr>
            <w:r>
              <w:rPr/>
            </w:r>
          </w:p>
        </w:tc>
        <w:tc>
          <w:tcPr>
            <w:tcW w:w="95" w:type="dxa"/>
            <w:tcBorders/>
            <w:vAlign w:val="center"/>
          </w:tcPr>
          <w:p>
            <w:pPr>
              <w:pStyle w:val="TableContents"/>
              <w:bidi w:val="0"/>
              <w:spacing w:before="0" w:after="0"/>
              <w:ind w:left="0" w:right="0" w:hanging="0"/>
              <w:jc w:val="left"/>
              <w:rPr/>
            </w:pPr>
            <w:r>
              <w:rPr/>
            </w:r>
          </w:p>
        </w:tc>
        <w:tc>
          <w:tcPr>
            <w:tcW w:w="23" w:type="dxa"/>
            <w:tcBorders/>
            <w:vAlign w:val="center"/>
          </w:tcPr>
          <w:p>
            <w:pPr>
              <w:pStyle w:val="TableContents"/>
              <w:bidi w:val="0"/>
              <w:spacing w:before="0" w:after="0"/>
              <w:ind w:left="0" w:right="0" w:hanging="0"/>
              <w:jc w:val="left"/>
              <w:rPr/>
            </w:pPr>
            <w:r>
              <w:rPr/>
            </w:r>
          </w:p>
        </w:tc>
        <w:tc>
          <w:tcPr>
            <w:tcW w:w="227" w:type="dxa"/>
            <w:tcBorders/>
            <w:vAlign w:val="center"/>
          </w:tcPr>
          <w:p>
            <w:pPr>
              <w:pStyle w:val="TableContents"/>
              <w:bidi w:val="0"/>
              <w:spacing w:before="0" w:after="0"/>
              <w:ind w:left="0" w:right="0" w:hanging="0"/>
              <w:jc w:val="left"/>
              <w:rPr/>
            </w:pPr>
            <w:r>
              <w:rPr/>
            </w:r>
          </w:p>
        </w:tc>
        <w:tc>
          <w:tcPr>
            <w:tcW w:w="1064" w:type="dxa"/>
            <w:tcBorders/>
            <w:vAlign w:val="center"/>
          </w:tcPr>
          <w:p>
            <w:pPr>
              <w:pStyle w:val="TableContents"/>
              <w:bidi w:val="0"/>
              <w:spacing w:before="0" w:after="0"/>
              <w:ind w:left="0" w:right="0" w:hanging="0"/>
              <w:jc w:val="left"/>
              <w:rPr/>
            </w:pPr>
            <w:r>
              <w:rPr/>
            </w:r>
          </w:p>
        </w:tc>
        <w:tc>
          <w:tcPr>
            <w:tcW w:w="121" w:type="dxa"/>
            <w:tcBorders/>
            <w:vAlign w:val="center"/>
          </w:tcPr>
          <w:p>
            <w:pPr>
              <w:pStyle w:val="TableContents"/>
              <w:bidi w:val="0"/>
              <w:spacing w:before="0" w:after="0"/>
              <w:ind w:left="0" w:right="0" w:hanging="0"/>
              <w:jc w:val="left"/>
              <w:rPr/>
            </w:pPr>
            <w:r>
              <w:rPr/>
            </w:r>
          </w:p>
        </w:tc>
      </w:tr>
      <w:tr>
        <w:trPr/>
        <w:tc>
          <w:tcPr>
            <w:tcW w:w="7317" w:type="dxa"/>
            <w:tcBorders/>
            <w:shd w:fill="CCEEFF" w:val="clear"/>
            <w:vAlign w:val="center"/>
          </w:tcPr>
          <w:p>
            <w:pPr>
              <w:pStyle w:val="TableContents"/>
              <w:bidi w:val="0"/>
              <w:spacing w:before="0" w:after="283"/>
              <w:jc w:val="left"/>
              <w:rPr/>
            </w:pPr>
            <w:r>
              <w:rPr>
                <w:rFonts w:ascii="Times New Roman;serif" w:hAnsi="Times New Roman;serif"/>
                <w:color w:val="000000"/>
                <w:sz w:val="20"/>
              </w:rPr>
              <w:t>Class B convertible preferred stock, par value $0.001, 5,100 shares authorized, 3,026 and 0 shares issued and outstanding, respectively</w:t>
            </w:r>
            <w:r>
              <w:rPr/>
              <w:t xml:space="preserve"> </w:t>
            </w:r>
          </w:p>
        </w:tc>
        <w:tc>
          <w:tcPr>
            <w:tcW w:w="23" w:type="dxa"/>
            <w:tcBorders/>
            <w:shd w:fill="CCEEFF" w:val="clear"/>
            <w:vAlign w:val="center"/>
          </w:tcPr>
          <w:p>
            <w:pPr>
              <w:pStyle w:val="TableContents"/>
              <w:bidi w:val="0"/>
              <w:spacing w:before="0" w:after="283"/>
              <w:jc w:val="left"/>
              <w:rPr/>
            </w:pPr>
            <w:r>
              <w:rPr/>
            </w:r>
          </w:p>
        </w:tc>
        <w:tc>
          <w:tcPr>
            <w:tcW w:w="232" w:type="dxa"/>
            <w:tcBorders/>
            <w:shd w:fill="CCEEFF" w:val="clear"/>
            <w:vAlign w:val="center"/>
          </w:tcPr>
          <w:p>
            <w:pPr>
              <w:pStyle w:val="TableContents"/>
              <w:bidi w:val="0"/>
              <w:spacing w:before="0" w:after="283"/>
              <w:jc w:val="left"/>
              <w:rPr/>
            </w:pPr>
            <w:r>
              <w:rPr/>
            </w:r>
          </w:p>
        </w:tc>
        <w:tc>
          <w:tcPr>
            <w:tcW w:w="1103" w:type="dxa"/>
            <w:tcBorders/>
            <w:shd w:fill="CCEEFF" w:val="clear"/>
            <w:vAlign w:val="center"/>
          </w:tcPr>
          <w:p>
            <w:pPr>
              <w:pStyle w:val="TableContents"/>
              <w:bidi w:val="0"/>
              <w:spacing w:before="0" w:after="283"/>
              <w:jc w:val="right"/>
              <w:rPr/>
            </w:pPr>
            <w:r>
              <w:rPr/>
              <w:t>3,026</w:t>
            </w:r>
          </w:p>
        </w:tc>
        <w:tc>
          <w:tcPr>
            <w:tcW w:w="95"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227" w:type="dxa"/>
            <w:tcBorders/>
            <w:shd w:fill="CCEEFF" w:val="clear"/>
            <w:vAlign w:val="center"/>
          </w:tcPr>
          <w:p>
            <w:pPr>
              <w:pStyle w:val="TableContents"/>
              <w:bidi w:val="0"/>
              <w:spacing w:before="0" w:after="283"/>
              <w:jc w:val="left"/>
              <w:rPr/>
            </w:pPr>
            <w:r>
              <w:rPr/>
            </w:r>
          </w:p>
        </w:tc>
        <w:tc>
          <w:tcPr>
            <w:tcW w:w="1064" w:type="dxa"/>
            <w:tcBorders/>
            <w:shd w:fill="CCEEFF" w:val="clear"/>
            <w:vAlign w:val="center"/>
          </w:tcPr>
          <w:p>
            <w:pPr>
              <w:pStyle w:val="TableContents"/>
              <w:bidi w:val="0"/>
              <w:spacing w:before="0" w:after="283"/>
              <w:jc w:val="right"/>
              <w:rPr/>
            </w:pPr>
            <w:r>
              <w:rPr/>
              <w:t>—</w:t>
            </w:r>
          </w:p>
        </w:tc>
        <w:tc>
          <w:tcPr>
            <w:tcW w:w="121" w:type="dxa"/>
            <w:tcBorders/>
            <w:shd w:fill="CCEEFF" w:val="clear"/>
            <w:vAlign w:val="center"/>
          </w:tcPr>
          <w:p>
            <w:pPr>
              <w:pStyle w:val="TableContents"/>
              <w:bidi w:val="0"/>
              <w:spacing w:before="0" w:after="283"/>
              <w:jc w:val="left"/>
              <w:rPr/>
            </w:pPr>
            <w:r>
              <w:rPr/>
            </w:r>
          </w:p>
        </w:tc>
      </w:tr>
      <w:tr>
        <w:trPr/>
        <w:tc>
          <w:tcPr>
            <w:tcW w:w="731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Common stock, par value $0.001, 150,000,000 shares authorized, 1,734,250 and 1,599,534 shares issued and outstanding, respectively</w:t>
            </w:r>
          </w:p>
        </w:tc>
        <w:tc>
          <w:tcPr>
            <w:tcW w:w="23" w:type="dxa"/>
            <w:tcBorders/>
            <w:vAlign w:val="center"/>
          </w:tcPr>
          <w:p>
            <w:pPr>
              <w:pStyle w:val="TableContents"/>
              <w:bidi w:val="0"/>
              <w:spacing w:before="0" w:after="0"/>
              <w:ind w:left="0" w:right="0" w:hanging="0"/>
              <w:jc w:val="left"/>
              <w:rPr/>
            </w:pPr>
            <w:r>
              <w:rPr/>
            </w:r>
          </w:p>
        </w:tc>
        <w:tc>
          <w:tcPr>
            <w:tcW w:w="232" w:type="dxa"/>
            <w:tcBorders/>
            <w:vAlign w:val="center"/>
          </w:tcPr>
          <w:p>
            <w:pPr>
              <w:pStyle w:val="TableContents"/>
              <w:bidi w:val="0"/>
              <w:spacing w:before="0" w:after="0"/>
              <w:ind w:left="0" w:right="0" w:hanging="0"/>
              <w:jc w:val="left"/>
              <w:rPr/>
            </w:pPr>
            <w:r>
              <w:rPr/>
            </w:r>
          </w:p>
        </w:tc>
        <w:tc>
          <w:tcPr>
            <w:tcW w:w="1103"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2 </w:t>
            </w:r>
          </w:p>
        </w:tc>
        <w:tc>
          <w:tcPr>
            <w:tcW w:w="95" w:type="dxa"/>
            <w:tcBorders/>
            <w:vAlign w:val="center"/>
          </w:tcPr>
          <w:p>
            <w:pPr>
              <w:pStyle w:val="TableContents"/>
              <w:bidi w:val="0"/>
              <w:spacing w:before="0" w:after="0"/>
              <w:ind w:left="0" w:right="0" w:hanging="0"/>
              <w:jc w:val="left"/>
              <w:rPr/>
            </w:pPr>
            <w:r>
              <w:rPr/>
            </w:r>
          </w:p>
        </w:tc>
        <w:tc>
          <w:tcPr>
            <w:tcW w:w="23" w:type="dxa"/>
            <w:tcBorders/>
            <w:vAlign w:val="center"/>
          </w:tcPr>
          <w:p>
            <w:pPr>
              <w:pStyle w:val="TableContents"/>
              <w:bidi w:val="0"/>
              <w:spacing w:before="0" w:after="0"/>
              <w:ind w:left="0" w:right="0" w:hanging="0"/>
              <w:jc w:val="left"/>
              <w:rPr/>
            </w:pPr>
            <w:r>
              <w:rPr/>
            </w:r>
          </w:p>
        </w:tc>
        <w:tc>
          <w:tcPr>
            <w:tcW w:w="227" w:type="dxa"/>
            <w:tcBorders/>
            <w:vAlign w:val="center"/>
          </w:tcPr>
          <w:p>
            <w:pPr>
              <w:pStyle w:val="TableContents"/>
              <w:bidi w:val="0"/>
              <w:spacing w:before="0" w:after="0"/>
              <w:ind w:left="0" w:right="0" w:hanging="0"/>
              <w:jc w:val="left"/>
              <w:rPr/>
            </w:pPr>
            <w:r>
              <w:rPr/>
            </w:r>
          </w:p>
        </w:tc>
        <w:tc>
          <w:tcPr>
            <w:tcW w:w="1064"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2 </w:t>
            </w:r>
          </w:p>
        </w:tc>
        <w:tc>
          <w:tcPr>
            <w:tcW w:w="121" w:type="dxa"/>
            <w:tcBorders/>
            <w:vAlign w:val="center"/>
          </w:tcPr>
          <w:p>
            <w:pPr>
              <w:pStyle w:val="TableContents"/>
              <w:bidi w:val="0"/>
              <w:spacing w:before="0" w:after="0"/>
              <w:ind w:left="0" w:right="0" w:hanging="0"/>
              <w:jc w:val="left"/>
              <w:rPr/>
            </w:pPr>
            <w:r>
              <w:rPr/>
            </w:r>
          </w:p>
        </w:tc>
      </w:tr>
      <w:tr>
        <w:trPr/>
        <w:tc>
          <w:tcPr>
            <w:tcW w:w="731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Additional paid-in capital </w:t>
            </w:r>
          </w:p>
        </w:tc>
        <w:tc>
          <w:tcPr>
            <w:tcW w:w="23" w:type="dxa"/>
            <w:tcBorders/>
            <w:shd w:fill="CCEEFF" w:val="clear"/>
            <w:vAlign w:val="center"/>
          </w:tcPr>
          <w:p>
            <w:pPr>
              <w:pStyle w:val="TableContents"/>
              <w:bidi w:val="0"/>
              <w:spacing w:before="0" w:after="0"/>
              <w:ind w:left="0" w:right="0" w:hanging="0"/>
              <w:jc w:val="left"/>
              <w:rPr/>
            </w:pPr>
            <w:r>
              <w:rPr/>
            </w:r>
          </w:p>
        </w:tc>
        <w:tc>
          <w:tcPr>
            <w:tcW w:w="232" w:type="dxa"/>
            <w:tcBorders/>
            <w:shd w:fill="CCEEFF" w:val="clear"/>
            <w:vAlign w:val="center"/>
          </w:tcPr>
          <w:p>
            <w:pPr>
              <w:pStyle w:val="TableContents"/>
              <w:bidi w:val="0"/>
              <w:spacing w:before="0" w:after="0"/>
              <w:ind w:left="0" w:right="0" w:hanging="0"/>
              <w:jc w:val="left"/>
              <w:rPr/>
            </w:pPr>
            <w:r>
              <w:rPr/>
            </w:r>
          </w:p>
        </w:tc>
        <w:tc>
          <w:tcPr>
            <w:tcW w:w="110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32,726 </w:t>
            </w:r>
          </w:p>
        </w:tc>
        <w:tc>
          <w:tcPr>
            <w:tcW w:w="95" w:type="dxa"/>
            <w:tcBorders/>
            <w:shd w:fill="CCEEFF" w:val="clear"/>
            <w:vAlign w:val="center"/>
          </w:tcPr>
          <w:p>
            <w:pPr>
              <w:pStyle w:val="TableContents"/>
              <w:bidi w:val="0"/>
              <w:spacing w:before="0" w:after="0"/>
              <w:ind w:left="0" w:right="0" w:hanging="0"/>
              <w:jc w:val="left"/>
              <w:rPr/>
            </w:pPr>
            <w:r>
              <w:rPr/>
            </w:r>
          </w:p>
        </w:tc>
        <w:tc>
          <w:tcPr>
            <w:tcW w:w="23" w:type="dxa"/>
            <w:tcBorders/>
            <w:shd w:fill="CCEEFF" w:val="clear"/>
            <w:vAlign w:val="center"/>
          </w:tcPr>
          <w:p>
            <w:pPr>
              <w:pStyle w:val="TableContents"/>
              <w:bidi w:val="0"/>
              <w:spacing w:before="0" w:after="0"/>
              <w:ind w:left="0" w:right="0" w:hanging="0"/>
              <w:jc w:val="left"/>
              <w:rPr/>
            </w:pPr>
            <w:r>
              <w:rPr/>
            </w:r>
          </w:p>
        </w:tc>
        <w:tc>
          <w:tcPr>
            <w:tcW w:w="227" w:type="dxa"/>
            <w:tcBorders/>
            <w:shd w:fill="CCEEFF" w:val="clear"/>
            <w:vAlign w:val="center"/>
          </w:tcPr>
          <w:p>
            <w:pPr>
              <w:pStyle w:val="TableContents"/>
              <w:bidi w:val="0"/>
              <w:spacing w:before="0" w:after="0"/>
              <w:ind w:left="0" w:right="0" w:hanging="0"/>
              <w:jc w:val="left"/>
              <w:rPr/>
            </w:pPr>
            <w:r>
              <w:rPr/>
            </w:r>
          </w:p>
        </w:tc>
        <w:tc>
          <w:tcPr>
            <w:tcW w:w="106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31,694 </w:t>
            </w:r>
          </w:p>
        </w:tc>
        <w:tc>
          <w:tcPr>
            <w:tcW w:w="121" w:type="dxa"/>
            <w:tcBorders/>
            <w:shd w:fill="CCEEFF" w:val="clear"/>
            <w:vAlign w:val="center"/>
          </w:tcPr>
          <w:p>
            <w:pPr>
              <w:pStyle w:val="TableContents"/>
              <w:bidi w:val="0"/>
              <w:spacing w:before="0" w:after="0"/>
              <w:ind w:left="0" w:right="0" w:hanging="0"/>
              <w:jc w:val="left"/>
              <w:rPr/>
            </w:pPr>
            <w:r>
              <w:rPr/>
            </w:r>
          </w:p>
        </w:tc>
      </w:tr>
      <w:tr>
        <w:trPr/>
        <w:tc>
          <w:tcPr>
            <w:tcW w:w="731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Accumulated other comprehensive loss </w:t>
            </w:r>
          </w:p>
        </w:tc>
        <w:tc>
          <w:tcPr>
            <w:tcW w:w="23" w:type="dxa"/>
            <w:tcBorders/>
            <w:vAlign w:val="center"/>
          </w:tcPr>
          <w:p>
            <w:pPr>
              <w:pStyle w:val="TableContents"/>
              <w:bidi w:val="0"/>
              <w:spacing w:before="0" w:after="0"/>
              <w:ind w:left="0" w:right="0" w:hanging="0"/>
              <w:jc w:val="left"/>
              <w:rPr/>
            </w:pPr>
            <w:r>
              <w:rPr/>
            </w:r>
          </w:p>
        </w:tc>
        <w:tc>
          <w:tcPr>
            <w:tcW w:w="232" w:type="dxa"/>
            <w:tcBorders/>
            <w:vAlign w:val="center"/>
          </w:tcPr>
          <w:p>
            <w:pPr>
              <w:pStyle w:val="TableContents"/>
              <w:bidi w:val="0"/>
              <w:spacing w:before="0" w:after="0"/>
              <w:ind w:left="0" w:right="0" w:hanging="0"/>
              <w:jc w:val="left"/>
              <w:rPr/>
            </w:pPr>
            <w:r>
              <w:rPr/>
            </w:r>
          </w:p>
        </w:tc>
        <w:tc>
          <w:tcPr>
            <w:tcW w:w="1103"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(335</w:t>
            </w:r>
          </w:p>
        </w:tc>
        <w:tc>
          <w:tcPr>
            <w:tcW w:w="95"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0"/>
              <w:ind w:left="0" w:right="0" w:hanging="0"/>
              <w:jc w:val="left"/>
              <w:rPr/>
            </w:pPr>
            <w:r>
              <w:rPr/>
            </w:r>
          </w:p>
        </w:tc>
        <w:tc>
          <w:tcPr>
            <w:tcW w:w="227" w:type="dxa"/>
            <w:tcBorders/>
            <w:vAlign w:val="center"/>
          </w:tcPr>
          <w:p>
            <w:pPr>
              <w:pStyle w:val="TableContents"/>
              <w:bidi w:val="0"/>
              <w:spacing w:before="0" w:after="0"/>
              <w:ind w:left="0" w:right="0" w:hanging="0"/>
              <w:jc w:val="left"/>
              <w:rPr/>
            </w:pPr>
            <w:r>
              <w:rPr/>
            </w:r>
          </w:p>
        </w:tc>
        <w:tc>
          <w:tcPr>
            <w:tcW w:w="1064"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(306 </w:t>
            </w:r>
          </w:p>
        </w:tc>
        <w:tc>
          <w:tcPr>
            <w:tcW w:w="12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r>
      <w:tr>
        <w:trPr/>
        <w:tc>
          <w:tcPr>
            <w:tcW w:w="731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Accumulated deficit </w:t>
            </w:r>
          </w:p>
        </w:tc>
        <w:tc>
          <w:tcPr>
            <w:tcW w:w="23" w:type="dxa"/>
            <w:tcBorders/>
            <w:shd w:fill="CCEEFF" w:val="clear"/>
            <w:vAlign w:val="center"/>
          </w:tcPr>
          <w:p>
            <w:pPr>
              <w:pStyle w:val="TableContents"/>
              <w:bidi w:val="0"/>
              <w:spacing w:before="0" w:after="0"/>
              <w:ind w:left="0" w:right="0" w:hanging="0"/>
              <w:jc w:val="left"/>
              <w:rPr/>
            </w:pPr>
            <w:r>
              <w:rPr/>
            </w:r>
          </w:p>
        </w:tc>
        <w:tc>
          <w:tcPr>
            <w:tcW w:w="232" w:type="dxa"/>
            <w:tcBorders/>
            <w:shd w:fill="CCEEFF" w:val="clear"/>
            <w:vAlign w:val="center"/>
          </w:tcPr>
          <w:p>
            <w:pPr>
              <w:pStyle w:val="TableContents"/>
              <w:bidi w:val="0"/>
              <w:spacing w:before="0" w:after="0"/>
              <w:ind w:left="0" w:right="0" w:hanging="0"/>
              <w:jc w:val="left"/>
              <w:rPr/>
            </w:pPr>
            <w:r>
              <w:rPr/>
            </w:r>
          </w:p>
        </w:tc>
        <w:tc>
          <w:tcPr>
            <w:tcW w:w="110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(31,958</w:t>
            </w:r>
          </w:p>
        </w:tc>
        <w:tc>
          <w:tcPr>
            <w:tcW w:w="95"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0"/>
              <w:ind w:left="0" w:right="0" w:hanging="0"/>
              <w:jc w:val="left"/>
              <w:rPr/>
            </w:pPr>
            <w:r>
              <w:rPr/>
            </w:r>
          </w:p>
        </w:tc>
        <w:tc>
          <w:tcPr>
            <w:tcW w:w="227" w:type="dxa"/>
            <w:tcBorders/>
            <w:shd w:fill="CCEEFF" w:val="clear"/>
            <w:vAlign w:val="center"/>
          </w:tcPr>
          <w:p>
            <w:pPr>
              <w:pStyle w:val="TableContents"/>
              <w:bidi w:val="0"/>
              <w:spacing w:before="0" w:after="0"/>
              <w:ind w:left="0" w:right="0" w:hanging="0"/>
              <w:jc w:val="left"/>
              <w:rPr/>
            </w:pPr>
            <w:r>
              <w:rPr/>
            </w:r>
          </w:p>
        </w:tc>
        <w:tc>
          <w:tcPr>
            <w:tcW w:w="106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(10,059 </w:t>
            </w:r>
          </w:p>
        </w:tc>
        <w:tc>
          <w:tcPr>
            <w:tcW w:w="12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r>
      <w:tr>
        <w:trPr/>
        <w:tc>
          <w:tcPr>
            <w:tcW w:w="7317" w:type="dxa"/>
            <w:tcBorders/>
            <w:vAlign w:val="center"/>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 xml:space="preserve">Total shareholders' equity </w:t>
            </w:r>
          </w:p>
        </w:tc>
        <w:tc>
          <w:tcPr>
            <w:tcW w:w="23" w:type="dxa"/>
            <w:tcBorders/>
            <w:vAlign w:val="center"/>
          </w:tcPr>
          <w:p>
            <w:pPr>
              <w:pStyle w:val="TableContents"/>
              <w:bidi w:val="0"/>
              <w:spacing w:before="0" w:after="0"/>
              <w:ind w:left="0" w:right="0" w:hanging="0"/>
              <w:jc w:val="left"/>
              <w:rPr/>
            </w:pPr>
            <w:r>
              <w:rPr/>
            </w:r>
          </w:p>
        </w:tc>
        <w:tc>
          <w:tcPr>
            <w:tcW w:w="232" w:type="dxa"/>
            <w:tcBorders/>
            <w:vAlign w:val="center"/>
          </w:tcPr>
          <w:p>
            <w:pPr>
              <w:pStyle w:val="TableContents"/>
              <w:bidi w:val="0"/>
              <w:spacing w:before="0" w:after="0"/>
              <w:ind w:left="0" w:right="0" w:hanging="0"/>
              <w:jc w:val="left"/>
              <w:rPr/>
            </w:pPr>
            <w:r>
              <w:rPr/>
            </w:r>
          </w:p>
        </w:tc>
        <w:tc>
          <w:tcPr>
            <w:tcW w:w="1103"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3,461 </w:t>
            </w:r>
          </w:p>
        </w:tc>
        <w:tc>
          <w:tcPr>
            <w:tcW w:w="95" w:type="dxa"/>
            <w:tcBorders/>
            <w:vAlign w:val="center"/>
          </w:tcPr>
          <w:p>
            <w:pPr>
              <w:pStyle w:val="TableContents"/>
              <w:bidi w:val="0"/>
              <w:spacing w:before="0" w:after="0"/>
              <w:ind w:left="0" w:right="0" w:hanging="0"/>
              <w:jc w:val="left"/>
              <w:rPr/>
            </w:pPr>
            <w:r>
              <w:rPr/>
            </w:r>
          </w:p>
        </w:tc>
        <w:tc>
          <w:tcPr>
            <w:tcW w:w="23" w:type="dxa"/>
            <w:tcBorders/>
            <w:vAlign w:val="center"/>
          </w:tcPr>
          <w:p>
            <w:pPr>
              <w:pStyle w:val="TableContents"/>
              <w:bidi w:val="0"/>
              <w:spacing w:before="0" w:after="0"/>
              <w:ind w:left="0" w:right="0" w:hanging="0"/>
              <w:jc w:val="left"/>
              <w:rPr/>
            </w:pPr>
            <w:r>
              <w:rPr/>
            </w:r>
          </w:p>
        </w:tc>
        <w:tc>
          <w:tcPr>
            <w:tcW w:w="227" w:type="dxa"/>
            <w:tcBorders/>
            <w:vAlign w:val="center"/>
          </w:tcPr>
          <w:p>
            <w:pPr>
              <w:pStyle w:val="TableContents"/>
              <w:bidi w:val="0"/>
              <w:spacing w:before="0" w:after="0"/>
              <w:ind w:left="0" w:right="0" w:hanging="0"/>
              <w:jc w:val="left"/>
              <w:rPr/>
            </w:pPr>
            <w:r>
              <w:rPr/>
            </w:r>
          </w:p>
        </w:tc>
        <w:tc>
          <w:tcPr>
            <w:tcW w:w="1064"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21,331</w:t>
            </w:r>
          </w:p>
        </w:tc>
        <w:tc>
          <w:tcPr>
            <w:tcW w:w="121" w:type="dxa"/>
            <w:tcBorders/>
            <w:vAlign w:val="center"/>
          </w:tcPr>
          <w:p>
            <w:pPr>
              <w:pStyle w:val="TableContents"/>
              <w:bidi w:val="0"/>
              <w:spacing w:before="0" w:after="0"/>
              <w:ind w:left="0" w:right="0" w:hanging="0"/>
              <w:jc w:val="left"/>
              <w:rPr/>
            </w:pPr>
            <w:r>
              <w:rPr/>
            </w:r>
          </w:p>
        </w:tc>
      </w:tr>
      <w:tr>
        <w:trPr/>
        <w:tc>
          <w:tcPr>
            <w:tcW w:w="7317" w:type="dxa"/>
            <w:tcBorders/>
            <w:shd w:fill="CCEEFF" w:val="clear"/>
            <w:vAlign w:val="center"/>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 xml:space="preserve">Total liabilities, temporary equity and shareholders' equity </w:t>
            </w:r>
          </w:p>
        </w:tc>
        <w:tc>
          <w:tcPr>
            <w:tcW w:w="23" w:type="dxa"/>
            <w:tcBorders/>
            <w:shd w:fill="CCEEFF" w:val="clear"/>
            <w:vAlign w:val="center"/>
          </w:tcPr>
          <w:p>
            <w:pPr>
              <w:pStyle w:val="TableContents"/>
              <w:bidi w:val="0"/>
              <w:spacing w:before="0" w:after="0"/>
              <w:ind w:left="0" w:right="0" w:hanging="0"/>
              <w:jc w:val="left"/>
              <w:rPr/>
            </w:pPr>
            <w:r>
              <w:rPr/>
            </w:r>
          </w:p>
        </w:tc>
        <w:tc>
          <w:tcPr>
            <w:tcW w:w="23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10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9,473 </w:t>
            </w:r>
          </w:p>
        </w:tc>
        <w:tc>
          <w:tcPr>
            <w:tcW w:w="95" w:type="dxa"/>
            <w:tcBorders/>
            <w:shd w:fill="CCEEFF" w:val="clear"/>
            <w:vAlign w:val="center"/>
          </w:tcPr>
          <w:p>
            <w:pPr>
              <w:pStyle w:val="TableContents"/>
              <w:bidi w:val="0"/>
              <w:spacing w:before="0" w:after="0"/>
              <w:ind w:left="0" w:right="0" w:hanging="0"/>
              <w:jc w:val="left"/>
              <w:rPr/>
            </w:pPr>
            <w:r>
              <w:rPr/>
            </w:r>
          </w:p>
        </w:tc>
        <w:tc>
          <w:tcPr>
            <w:tcW w:w="23" w:type="dxa"/>
            <w:tcBorders/>
            <w:shd w:fill="CCEEFF" w:val="clear"/>
            <w:vAlign w:val="center"/>
          </w:tcPr>
          <w:p>
            <w:pPr>
              <w:pStyle w:val="TableContents"/>
              <w:bidi w:val="0"/>
              <w:spacing w:before="0" w:after="0"/>
              <w:ind w:left="0" w:right="0" w:hanging="0"/>
              <w:jc w:val="left"/>
              <w:rPr/>
            </w:pPr>
            <w:r>
              <w:rPr/>
            </w:r>
          </w:p>
        </w:tc>
        <w:tc>
          <w:tcPr>
            <w:tcW w:w="22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06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26,544</w:t>
            </w:r>
          </w:p>
        </w:tc>
        <w:tc>
          <w:tcPr>
            <w:tcW w:w="121" w:type="dxa"/>
            <w:tcBorders/>
            <w:shd w:fill="CCEEFF" w:val="clear"/>
            <w:vAlign w:val="center"/>
          </w:tcPr>
          <w:p>
            <w:pPr>
              <w:pStyle w:val="TableContents"/>
              <w:bidi w:val="0"/>
              <w:spacing w:before="0" w:after="0"/>
              <w:ind w:left="0" w:right="0" w:hanging="0"/>
              <w:jc w:val="left"/>
              <w:rPr/>
            </w:pPr>
            <w:r>
              <w:rPr/>
            </w:r>
          </w:p>
        </w:tc>
      </w:tr>
    </w:tbl>
    <w:p>
      <w:pPr>
        <w:pStyle w:val="TextBody"/>
        <w:bidi w:val="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144" w:right="144" w:hanging="0"/>
        <w:jc w:val="center"/>
        <w:rPr>
          <w:rFonts w:ascii="Times New Roman" w:hAnsi="Times New Roman"/>
          <w:i/>
          <w:sz w:val="20"/>
        </w:rPr>
      </w:pPr>
      <w:r>
        <w:rPr>
          <w:rFonts w:ascii="Times New Roman" w:hAnsi="Times New Roman"/>
          <w:i/>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bookmarkStart w:id="60" w:name="PageBreakNo3"/>
            <w:bookmarkEnd w:id="60"/>
            <w:r>
              <w:rPr>
                <w:sz w:val="20"/>
              </w:rPr>
              <w:t>3</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 w:hAnsi="times new roman;times"/>
            <w:sz w:val="20"/>
          </w:rPr>
          <w:t>Table of Contents</w:t>
        </w:r>
      </w:hyperlink>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CLEARONE, INC.</w:t>
      </w:r>
    </w:p>
    <w:p>
      <w:pPr>
        <w:pStyle w:val="TextBody"/>
        <w:bidi w:val="0"/>
        <w:spacing w:lineRule="auto" w:line="288"/>
        <w:ind w:left="144" w:right="144" w:hanging="0"/>
        <w:jc w:val="center"/>
        <w:rPr/>
      </w:pPr>
      <w:hyperlink r:id="rId7">
        <w:bookmarkStart w:id="61" w:name="BD_G3RUEUCU2O00000000000000000000"/>
        <w:bookmarkEnd w:id="61"/>
        <w:r>
          <w:rPr>
            <w:rStyle w:val="InternetLink"/>
            <w:rFonts w:ascii="Times New Roman" w:hAnsi="Times New Roman"/>
            <w:b/>
            <w:strike w:val="false"/>
            <w:dstrike w:val="false"/>
            <w:color w:val="000000"/>
            <w:sz w:val="20"/>
            <w:u w:val="none"/>
            <w:effect w:val="none"/>
          </w:rPr>
          <w:t>UNAUDITED CONDENSED CONSOLIDATED STATEMENTS OF OPERATIONS AND</w:t>
        </w:r>
      </w:hyperlink>
    </w:p>
    <w:p>
      <w:pPr>
        <w:pStyle w:val="TextBody"/>
        <w:bidi w:val="0"/>
        <w:spacing w:lineRule="auto" w:line="288" w:before="0" w:after="0"/>
        <w:ind w:left="144" w:right="144" w:hanging="0"/>
        <w:jc w:val="center"/>
        <w:rPr>
          <w:rFonts w:ascii="Times New Roman" w:hAnsi="Times New Roman"/>
          <w:b/>
          <w:sz w:val="20"/>
        </w:rPr>
      </w:pPr>
      <w:r>
        <w:rPr>
          <w:rFonts w:ascii="Times New Roman" w:hAnsi="Times New Roman"/>
          <w:b/>
          <w:sz w:val="20"/>
        </w:rPr>
        <w:t>COMPREHENSIVE LOSS</w:t>
      </w:r>
    </w:p>
    <w:p>
      <w:pPr>
        <w:pStyle w:val="TextBody"/>
        <w:bidi w:val="0"/>
        <w:spacing w:lineRule="auto" w:line="288" w:before="0" w:after="0"/>
        <w:ind w:left="144" w:right="144" w:hanging="0"/>
        <w:jc w:val="center"/>
        <w:rPr>
          <w:rFonts w:ascii="Times New Roman" w:hAnsi="Times New Roman"/>
          <w:sz w:val="20"/>
        </w:rPr>
      </w:pPr>
      <w:r>
        <w:rPr>
          <w:rFonts w:ascii="Times New Roman" w:hAnsi="Times New Roman"/>
          <w:sz w:val="20"/>
        </w:rPr>
        <w:t>(Dollars in thousands, except per share amounts)</w:t>
      </w:r>
    </w:p>
    <w:p>
      <w:pPr>
        <w:pStyle w:val="TextBody"/>
        <w:bidi w:val="0"/>
        <w:spacing w:lineRule="auto" w:line="288" w:before="0" w:after="0"/>
        <w:ind w:left="144" w:right="144" w:hanging="0"/>
        <w:jc w:val="center"/>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3874"/>
        <w:gridCol w:w="104"/>
        <w:gridCol w:w="199"/>
        <w:gridCol w:w="1077"/>
        <w:gridCol w:w="139"/>
        <w:gridCol w:w="130"/>
        <w:gridCol w:w="199"/>
        <w:gridCol w:w="1034"/>
        <w:gridCol w:w="113"/>
        <w:gridCol w:w="22"/>
        <w:gridCol w:w="189"/>
        <w:gridCol w:w="1329"/>
        <w:gridCol w:w="128"/>
        <w:gridCol w:w="31"/>
        <w:gridCol w:w="189"/>
        <w:gridCol w:w="1329"/>
        <w:gridCol w:w="119"/>
      </w:tblGrid>
      <w:tr>
        <w:trPr/>
        <w:tc>
          <w:tcPr>
            <w:tcW w:w="3874" w:type="dxa"/>
            <w:tcBorders/>
            <w:vAlign w:val="center"/>
          </w:tcPr>
          <w:p>
            <w:pPr>
              <w:pStyle w:val="TableContents"/>
              <w:bidi w:val="0"/>
              <w:spacing w:before="0" w:after="0"/>
              <w:ind w:left="0" w:right="0" w:hanging="0"/>
              <w:jc w:val="left"/>
              <w:rPr/>
            </w:pPr>
            <w:r>
              <w:rPr/>
              <w:t xml:space="preserve">  </w:t>
            </w:r>
          </w:p>
        </w:tc>
        <w:tc>
          <w:tcPr>
            <w:tcW w:w="104" w:type="dxa"/>
            <w:tcBorders/>
            <w:vAlign w:val="center"/>
          </w:tcPr>
          <w:p>
            <w:pPr>
              <w:pStyle w:val="TableContents"/>
              <w:bidi w:val="0"/>
              <w:spacing w:before="0" w:after="0"/>
              <w:ind w:left="0" w:right="0" w:hanging="0"/>
              <w:jc w:val="left"/>
              <w:rPr/>
            </w:pPr>
            <w:r>
              <w:rPr/>
              <w:t xml:space="preserve">  </w:t>
            </w:r>
          </w:p>
        </w:tc>
        <w:tc>
          <w:tcPr>
            <w:tcW w:w="2778" w:type="dxa"/>
            <w:gridSpan w:val="6"/>
            <w:tcBorders/>
            <w:vAlign w:val="center"/>
          </w:tcPr>
          <w:p>
            <w:pPr>
              <w:pStyle w:val="TableContents"/>
              <w:bidi w:val="0"/>
              <w:spacing w:before="0" w:after="0"/>
              <w:ind w:left="0" w:right="0" w:hanging="0"/>
              <w:jc w:val="center"/>
              <w:rPr>
                <w:rFonts w:ascii="Times New Roman" w:hAnsi="Times New Roman"/>
                <w:b/>
                <w:sz w:val="20"/>
              </w:rPr>
            </w:pPr>
            <w:bookmarkStart w:id="62" w:name="fs_CO1JNMG7C000000000000000000000FM"/>
            <w:bookmarkEnd w:id="62"/>
            <w:r>
              <w:rPr>
                <w:rFonts w:ascii="Times New Roman" w:hAnsi="Times New Roman"/>
                <w:b/>
                <w:sz w:val="20"/>
              </w:rPr>
              <w:t>Three months ended September 30,</w:t>
            </w:r>
            <w:r>
              <w:rPr>
                <w:rFonts w:ascii="Times New Roman" w:hAnsi="Times New Roman"/>
                <w:b/>
                <w:sz w:val="20"/>
              </w:rPr>
              <w:t xml:space="preserve"> </w:t>
            </w:r>
          </w:p>
        </w:tc>
        <w:tc>
          <w:tcPr>
            <w:tcW w:w="113" w:type="dxa"/>
            <w:tcBorders/>
            <w:vAlign w:val="center"/>
          </w:tcPr>
          <w:p>
            <w:pPr>
              <w:pStyle w:val="TableContents"/>
              <w:bidi w:val="0"/>
              <w:spacing w:before="0" w:after="0"/>
              <w:ind w:left="0" w:right="0" w:hanging="0"/>
              <w:jc w:val="left"/>
              <w:rPr/>
            </w:pPr>
            <w:r>
              <w:rPr/>
              <w:t xml:space="preserve">  </w:t>
            </w:r>
          </w:p>
        </w:tc>
        <w:tc>
          <w:tcPr>
            <w:tcW w:w="22" w:type="dxa"/>
            <w:tcBorders/>
            <w:vAlign w:val="center"/>
          </w:tcPr>
          <w:p>
            <w:pPr>
              <w:pStyle w:val="TableContents"/>
              <w:bidi w:val="0"/>
              <w:spacing w:before="0" w:after="283"/>
              <w:jc w:val="left"/>
              <w:rPr/>
            </w:pPr>
            <w:r>
              <w:rPr/>
            </w:r>
          </w:p>
        </w:tc>
        <w:tc>
          <w:tcPr>
            <w:tcW w:w="3195" w:type="dxa"/>
            <w:gridSpan w:val="6"/>
            <w:tcBorders/>
            <w:vAlign w:val="center"/>
          </w:tcPr>
          <w:p>
            <w:pPr>
              <w:pStyle w:val="TableContents"/>
              <w:bidi w:val="0"/>
              <w:spacing w:before="0" w:after="283"/>
              <w:jc w:val="center"/>
              <w:rPr>
                <w:b/>
              </w:rPr>
            </w:pPr>
            <w:bookmarkStart w:id="63" w:name="fs_LVCQNBQA5C00000000000000000000FM"/>
            <w:bookmarkEnd w:id="63"/>
            <w:r>
              <w:rPr>
                <w:b/>
              </w:rPr>
              <w:t>Nine months ended September 30,</w:t>
            </w:r>
          </w:p>
        </w:tc>
        <w:tc>
          <w:tcPr>
            <w:tcW w:w="119" w:type="dxa"/>
            <w:tcBorders/>
            <w:vAlign w:val="center"/>
          </w:tcPr>
          <w:p>
            <w:pPr>
              <w:pStyle w:val="TableContents"/>
              <w:bidi w:val="0"/>
              <w:spacing w:before="0" w:after="283"/>
              <w:jc w:val="left"/>
              <w:rPr/>
            </w:pPr>
            <w:r>
              <w:rPr/>
            </w:r>
          </w:p>
        </w:tc>
      </w:tr>
      <w:tr>
        <w:trPr/>
        <w:tc>
          <w:tcPr>
            <w:tcW w:w="3874" w:type="dxa"/>
            <w:tcBorders/>
            <w:vAlign w:val="center"/>
          </w:tcPr>
          <w:p>
            <w:pPr>
              <w:pStyle w:val="TableContents"/>
              <w:bidi w:val="0"/>
              <w:spacing w:before="0" w:after="0"/>
              <w:ind w:left="0" w:right="0" w:hanging="0"/>
              <w:jc w:val="left"/>
              <w:rPr/>
            </w:pPr>
            <w:r>
              <w:rPr/>
              <w:t xml:space="preserve">  </w:t>
            </w:r>
          </w:p>
        </w:tc>
        <w:tc>
          <w:tcPr>
            <w:tcW w:w="104" w:type="dxa"/>
            <w:tcBorders/>
            <w:vAlign w:val="center"/>
          </w:tcPr>
          <w:p>
            <w:pPr>
              <w:pStyle w:val="TableContents"/>
              <w:bidi w:val="0"/>
              <w:spacing w:before="0" w:after="0"/>
              <w:ind w:left="0" w:right="0" w:hanging="0"/>
              <w:jc w:val="left"/>
              <w:rPr/>
            </w:pPr>
            <w:r>
              <w:rPr/>
              <w:t xml:space="preserve">  </w:t>
            </w:r>
          </w:p>
        </w:tc>
        <w:tc>
          <w:tcPr>
            <w:tcW w:w="1276" w:type="dxa"/>
            <w:gridSpan w:val="2"/>
            <w:tcBorders/>
            <w:vAlign w:val="center"/>
          </w:tcPr>
          <w:p>
            <w:pPr>
              <w:pStyle w:val="TableContents"/>
              <w:bidi w:val="0"/>
              <w:spacing w:before="0" w:after="0"/>
              <w:ind w:left="0" w:right="0" w:hanging="0"/>
              <w:jc w:val="center"/>
              <w:rPr>
                <w:rFonts w:ascii="Times New Roman" w:hAnsi="Times New Roman"/>
                <w:b/>
                <w:sz w:val="20"/>
              </w:rPr>
            </w:pPr>
            <w:bookmarkStart w:id="64" w:name="fs_8X9IJ7ICPS00000000000000000000fs"/>
            <w:bookmarkEnd w:id="64"/>
            <w:r>
              <w:rPr>
                <w:rFonts w:ascii="Times New Roman" w:hAnsi="Times New Roman"/>
                <w:b/>
                <w:sz w:val="20"/>
              </w:rPr>
              <w:t xml:space="preserve">2025 </w:t>
            </w:r>
          </w:p>
        </w:tc>
        <w:tc>
          <w:tcPr>
            <w:tcW w:w="139" w:type="dxa"/>
            <w:tcBorders/>
            <w:vAlign w:val="center"/>
          </w:tcPr>
          <w:p>
            <w:pPr>
              <w:pStyle w:val="TableContents"/>
              <w:bidi w:val="0"/>
              <w:spacing w:before="0" w:after="0"/>
              <w:ind w:left="0" w:right="0" w:hanging="0"/>
              <w:jc w:val="left"/>
              <w:rPr/>
            </w:pPr>
            <w:r>
              <w:rPr/>
              <w:t xml:space="preserve">  </w:t>
            </w:r>
          </w:p>
        </w:tc>
        <w:tc>
          <w:tcPr>
            <w:tcW w:w="130" w:type="dxa"/>
            <w:tcBorders/>
            <w:vAlign w:val="center"/>
          </w:tcPr>
          <w:p>
            <w:pPr>
              <w:pStyle w:val="TableContents"/>
              <w:bidi w:val="0"/>
              <w:spacing w:before="0" w:after="0"/>
              <w:ind w:left="0" w:right="0" w:hanging="0"/>
              <w:jc w:val="left"/>
              <w:rPr/>
            </w:pPr>
            <w:r>
              <w:rPr/>
              <w:t xml:space="preserve">  </w:t>
            </w:r>
          </w:p>
        </w:tc>
        <w:tc>
          <w:tcPr>
            <w:tcW w:w="1233" w:type="dxa"/>
            <w:gridSpan w:val="2"/>
            <w:tcBorders/>
            <w:vAlign w:val="center"/>
          </w:tcPr>
          <w:p>
            <w:pPr>
              <w:pStyle w:val="TableContents"/>
              <w:bidi w:val="0"/>
              <w:spacing w:before="0" w:after="0"/>
              <w:ind w:left="0" w:right="0" w:hanging="0"/>
              <w:jc w:val="center"/>
              <w:rPr>
                <w:rFonts w:ascii="Times New Roman" w:hAnsi="Times New Roman"/>
                <w:b/>
                <w:sz w:val="20"/>
              </w:rPr>
            </w:pPr>
            <w:bookmarkStart w:id="65" w:name="fs_3OSQW5H5GG00000000000000000000fs"/>
            <w:bookmarkEnd w:id="65"/>
            <w:r>
              <w:rPr>
                <w:rFonts w:ascii="Times New Roman" w:hAnsi="Times New Roman"/>
                <w:b/>
                <w:sz w:val="20"/>
              </w:rPr>
              <w:t xml:space="preserve">2024 </w:t>
            </w:r>
          </w:p>
        </w:tc>
        <w:tc>
          <w:tcPr>
            <w:tcW w:w="113" w:type="dxa"/>
            <w:tcBorders/>
            <w:vAlign w:val="center"/>
          </w:tcPr>
          <w:p>
            <w:pPr>
              <w:pStyle w:val="TableContents"/>
              <w:bidi w:val="0"/>
              <w:spacing w:before="0" w:after="0"/>
              <w:ind w:left="0" w:right="0" w:hanging="0"/>
              <w:jc w:val="left"/>
              <w:rPr/>
            </w:pPr>
            <w:r>
              <w:rPr/>
              <w:t xml:space="preserve">  </w:t>
            </w:r>
          </w:p>
        </w:tc>
        <w:tc>
          <w:tcPr>
            <w:tcW w:w="22" w:type="dxa"/>
            <w:tcBorders/>
            <w:vAlign w:val="center"/>
          </w:tcPr>
          <w:p>
            <w:pPr>
              <w:pStyle w:val="TableContents"/>
              <w:bidi w:val="0"/>
              <w:spacing w:before="0" w:after="283"/>
              <w:jc w:val="left"/>
              <w:rPr/>
            </w:pPr>
            <w:r>
              <w:rPr/>
            </w:r>
          </w:p>
        </w:tc>
        <w:tc>
          <w:tcPr>
            <w:tcW w:w="189" w:type="dxa"/>
            <w:tcBorders/>
            <w:vAlign w:val="center"/>
          </w:tcPr>
          <w:p>
            <w:pPr>
              <w:pStyle w:val="TableContents"/>
              <w:bidi w:val="0"/>
              <w:spacing w:before="0" w:after="283"/>
              <w:jc w:val="left"/>
              <w:rPr/>
            </w:pPr>
            <w:r>
              <w:rPr/>
            </w:r>
          </w:p>
        </w:tc>
        <w:tc>
          <w:tcPr>
            <w:tcW w:w="1329" w:type="dxa"/>
            <w:tcBorders/>
            <w:vAlign w:val="center"/>
          </w:tcPr>
          <w:p>
            <w:pPr>
              <w:pStyle w:val="TableContents"/>
              <w:bidi w:val="0"/>
              <w:spacing w:before="0" w:after="283"/>
              <w:jc w:val="center"/>
              <w:rPr>
                <w:b/>
              </w:rPr>
            </w:pPr>
            <w:bookmarkStart w:id="66" w:name="fs_BQZE71DDG000000000000000000000fs"/>
            <w:bookmarkEnd w:id="66"/>
            <w:r>
              <w:rPr>
                <w:b/>
              </w:rPr>
              <w:t>2025</w:t>
            </w:r>
          </w:p>
        </w:tc>
        <w:tc>
          <w:tcPr>
            <w:tcW w:w="128" w:type="dxa"/>
            <w:tcBorders/>
            <w:vAlign w:val="center"/>
          </w:tcPr>
          <w:p>
            <w:pPr>
              <w:pStyle w:val="TableContents"/>
              <w:bidi w:val="0"/>
              <w:spacing w:before="0" w:after="283"/>
              <w:jc w:val="left"/>
              <w:rPr/>
            </w:pPr>
            <w:r>
              <w:rPr/>
            </w:r>
          </w:p>
        </w:tc>
        <w:tc>
          <w:tcPr>
            <w:tcW w:w="31" w:type="dxa"/>
            <w:tcBorders/>
            <w:vAlign w:val="center"/>
          </w:tcPr>
          <w:p>
            <w:pPr>
              <w:pStyle w:val="TableContents"/>
              <w:bidi w:val="0"/>
              <w:spacing w:before="0" w:after="283"/>
              <w:jc w:val="left"/>
              <w:rPr/>
            </w:pPr>
            <w:r>
              <w:rPr/>
            </w:r>
          </w:p>
        </w:tc>
        <w:tc>
          <w:tcPr>
            <w:tcW w:w="189" w:type="dxa"/>
            <w:tcBorders/>
            <w:vAlign w:val="center"/>
          </w:tcPr>
          <w:p>
            <w:pPr>
              <w:pStyle w:val="TableContents"/>
              <w:bidi w:val="0"/>
              <w:spacing w:before="0" w:after="283"/>
              <w:jc w:val="left"/>
              <w:rPr/>
            </w:pPr>
            <w:r>
              <w:rPr/>
            </w:r>
          </w:p>
        </w:tc>
        <w:tc>
          <w:tcPr>
            <w:tcW w:w="1329" w:type="dxa"/>
            <w:tcBorders/>
            <w:vAlign w:val="center"/>
          </w:tcPr>
          <w:p>
            <w:pPr>
              <w:pStyle w:val="TableContents"/>
              <w:bidi w:val="0"/>
              <w:spacing w:before="0" w:after="283"/>
              <w:jc w:val="center"/>
              <w:rPr>
                <w:b/>
              </w:rPr>
            </w:pPr>
            <w:bookmarkStart w:id="67" w:name="fs_AZBKEIHB5C00000000000000000000fs"/>
            <w:bookmarkEnd w:id="67"/>
            <w:r>
              <w:rPr>
                <w:b/>
              </w:rPr>
              <w:t>2024</w:t>
            </w:r>
          </w:p>
        </w:tc>
        <w:tc>
          <w:tcPr>
            <w:tcW w:w="119" w:type="dxa"/>
            <w:tcBorders/>
            <w:vAlign w:val="center"/>
          </w:tcPr>
          <w:p>
            <w:pPr>
              <w:pStyle w:val="TableContents"/>
              <w:bidi w:val="0"/>
              <w:spacing w:before="0" w:after="283"/>
              <w:jc w:val="left"/>
              <w:rPr/>
            </w:pPr>
            <w:r>
              <w:rPr/>
            </w:r>
          </w:p>
        </w:tc>
      </w:tr>
      <w:tr>
        <w:trPr/>
        <w:tc>
          <w:tcPr>
            <w:tcW w:w="3874"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Revenue </w:t>
            </w:r>
          </w:p>
        </w:tc>
        <w:tc>
          <w:tcPr>
            <w:tcW w:w="104" w:type="dxa"/>
            <w:tcBorders/>
            <w:shd w:fill="CCEEFF" w:val="clear"/>
            <w:vAlign w:val="bottom"/>
          </w:tcPr>
          <w:p>
            <w:pPr>
              <w:pStyle w:val="TableContents"/>
              <w:bidi w:val="0"/>
              <w:spacing w:before="0" w:after="0"/>
              <w:ind w:left="0" w:right="0" w:hanging="0"/>
              <w:jc w:val="left"/>
              <w:rPr/>
            </w:pPr>
            <w:r>
              <w:rPr/>
              <w:t xml:space="preserve">  </w:t>
            </w:r>
          </w:p>
        </w:tc>
        <w:tc>
          <w:tcPr>
            <w:tcW w:w="199"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077" w:type="dxa"/>
            <w:tcBorders/>
            <w:shd w:fill="CCEEFF" w:val="clear"/>
            <w:vAlign w:val="bottom"/>
          </w:tcPr>
          <w:p>
            <w:pPr>
              <w:pStyle w:val="TableContents"/>
              <w:bidi w:val="0"/>
              <w:spacing w:before="0" w:after="0"/>
              <w:ind w:left="0" w:right="0" w:hanging="0"/>
              <w:jc w:val="right"/>
              <w:rPr/>
            </w:pPr>
            <w:r>
              <w:rPr/>
              <w:t xml:space="preserve">— </w:t>
            </w:r>
          </w:p>
        </w:tc>
        <w:tc>
          <w:tcPr>
            <w:tcW w:w="139" w:type="dxa"/>
            <w:tcBorders/>
            <w:shd w:fill="CCEEFF" w:val="clear"/>
            <w:vAlign w:val="bottom"/>
          </w:tcPr>
          <w:p>
            <w:pPr>
              <w:pStyle w:val="TableContents"/>
              <w:bidi w:val="0"/>
              <w:spacing w:before="0" w:after="0"/>
              <w:ind w:left="0" w:right="0" w:hanging="0"/>
              <w:jc w:val="left"/>
              <w:rPr/>
            </w:pPr>
            <w:r>
              <w:rPr/>
              <w:t xml:space="preserve">  </w:t>
            </w:r>
          </w:p>
        </w:tc>
        <w:tc>
          <w:tcPr>
            <w:tcW w:w="130" w:type="dxa"/>
            <w:tcBorders/>
            <w:shd w:fill="CCEEFF" w:val="clear"/>
            <w:vAlign w:val="bottom"/>
          </w:tcPr>
          <w:p>
            <w:pPr>
              <w:pStyle w:val="TableContents"/>
              <w:bidi w:val="0"/>
              <w:spacing w:before="0" w:after="0"/>
              <w:ind w:left="0" w:right="0" w:hanging="0"/>
              <w:jc w:val="left"/>
              <w:rPr/>
            </w:pPr>
            <w:r>
              <w:rPr/>
              <w:t xml:space="preserve">  </w:t>
            </w:r>
          </w:p>
        </w:tc>
        <w:tc>
          <w:tcPr>
            <w:tcW w:w="199"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034" w:type="dxa"/>
            <w:tcBorders/>
            <w:shd w:fill="CCEEFF" w:val="clear"/>
            <w:vAlign w:val="bottom"/>
          </w:tcPr>
          <w:p>
            <w:pPr>
              <w:pStyle w:val="TableContents"/>
              <w:bidi w:val="0"/>
              <w:spacing w:before="0" w:after="0"/>
              <w:ind w:left="0" w:right="0" w:hanging="0"/>
              <w:jc w:val="right"/>
              <w:rPr/>
            </w:pPr>
            <w:r>
              <w:rPr/>
              <w:t>—</w:t>
            </w:r>
          </w:p>
        </w:tc>
        <w:tc>
          <w:tcPr>
            <w:tcW w:w="113" w:type="dxa"/>
            <w:tcBorders/>
            <w:shd w:fill="CCEEFF" w:val="clear"/>
            <w:vAlign w:val="bottom"/>
          </w:tcPr>
          <w:p>
            <w:pPr>
              <w:pStyle w:val="TableContents"/>
              <w:bidi w:val="0"/>
              <w:spacing w:before="0" w:after="0"/>
              <w:ind w:left="0" w:right="0" w:hanging="0"/>
              <w:jc w:val="left"/>
              <w:rPr/>
            </w:pPr>
            <w:r>
              <w:rPr/>
              <w:t xml:space="preserve">  </w:t>
            </w:r>
          </w:p>
        </w:tc>
        <w:tc>
          <w:tcPr>
            <w:tcW w:w="22" w:type="dxa"/>
            <w:tcBorders/>
            <w:shd w:fill="CCEEFF" w:val="clear"/>
            <w:vAlign w:val="bottom"/>
          </w:tcPr>
          <w:p>
            <w:pPr>
              <w:pStyle w:val="TableContents"/>
              <w:bidi w:val="0"/>
              <w:spacing w:before="0" w:after="283"/>
              <w:jc w:val="left"/>
              <w:rPr/>
            </w:pPr>
            <w:r>
              <w:rPr/>
            </w:r>
          </w:p>
        </w:tc>
        <w:tc>
          <w:tcPr>
            <w:tcW w:w="189" w:type="dxa"/>
            <w:tcBorders/>
            <w:shd w:fill="CCEEFF" w:val="clear"/>
            <w:vAlign w:val="bottom"/>
          </w:tcPr>
          <w:p>
            <w:pPr>
              <w:pStyle w:val="TableContents"/>
              <w:widowControl/>
              <w:bidi w:val="0"/>
              <w:spacing w:before="0" w:after="283"/>
              <w:ind w:left="0" w:right="0" w:hanging="0"/>
              <w:jc w:val="left"/>
              <w:rPr>
                <w:rFonts w:ascii="Times New Roman" w:hAnsi="Times New Roman"/>
                <w:b w:val="false"/>
                <w:color w:val="000000"/>
                <w:spacing w:val="0"/>
                <w:sz w:val="20"/>
              </w:rPr>
            </w:pPr>
            <w:r>
              <w:rPr>
                <w:rFonts w:ascii="Times New Roman" w:hAnsi="Times New Roman"/>
                <w:b w:val="false"/>
                <w:color w:val="000000"/>
                <w:spacing w:val="0"/>
                <w:sz w:val="20"/>
              </w:rPr>
              <w:t>$</w:t>
            </w:r>
          </w:p>
        </w:tc>
        <w:tc>
          <w:tcPr>
            <w:tcW w:w="1329" w:type="dxa"/>
            <w:tcBorders/>
            <w:shd w:fill="CCEEFF" w:val="clear"/>
            <w:vAlign w:val="bottom"/>
          </w:tcPr>
          <w:p>
            <w:pPr>
              <w:pStyle w:val="TableContents"/>
              <w:bidi w:val="0"/>
              <w:spacing w:before="0" w:after="283"/>
              <w:jc w:val="right"/>
              <w:rPr/>
            </w:pPr>
            <w:r>
              <w:rPr/>
              <w:t>—</w:t>
            </w:r>
          </w:p>
        </w:tc>
        <w:tc>
          <w:tcPr>
            <w:tcW w:w="128" w:type="dxa"/>
            <w:tcBorders/>
            <w:shd w:fill="CCEEFF" w:val="clear"/>
            <w:vAlign w:val="bottom"/>
          </w:tcPr>
          <w:p>
            <w:pPr>
              <w:pStyle w:val="TableContents"/>
              <w:bidi w:val="0"/>
              <w:spacing w:before="0" w:after="283"/>
              <w:jc w:val="left"/>
              <w:rPr/>
            </w:pPr>
            <w:r>
              <w:rPr/>
            </w:r>
          </w:p>
        </w:tc>
        <w:tc>
          <w:tcPr>
            <w:tcW w:w="31" w:type="dxa"/>
            <w:tcBorders/>
            <w:shd w:fill="CCEEFF" w:val="clear"/>
            <w:vAlign w:val="bottom"/>
          </w:tcPr>
          <w:p>
            <w:pPr>
              <w:pStyle w:val="TableContents"/>
              <w:bidi w:val="0"/>
              <w:spacing w:before="0" w:after="283"/>
              <w:jc w:val="left"/>
              <w:rPr/>
            </w:pPr>
            <w:r>
              <w:rPr/>
            </w:r>
          </w:p>
        </w:tc>
        <w:tc>
          <w:tcPr>
            <w:tcW w:w="189" w:type="dxa"/>
            <w:tcBorders/>
            <w:shd w:fill="CCEEFF" w:val="clear"/>
            <w:vAlign w:val="bottom"/>
          </w:tcPr>
          <w:p>
            <w:pPr>
              <w:pStyle w:val="TableContents"/>
              <w:widowControl/>
              <w:bidi w:val="0"/>
              <w:spacing w:before="0" w:after="283"/>
              <w:ind w:left="0" w:right="0" w:hanging="0"/>
              <w:jc w:val="left"/>
              <w:rPr>
                <w:rFonts w:ascii="Times New Roman" w:hAnsi="Times New Roman"/>
                <w:b w:val="false"/>
                <w:color w:val="000000"/>
                <w:spacing w:val="0"/>
                <w:sz w:val="20"/>
              </w:rPr>
            </w:pPr>
            <w:r>
              <w:rPr>
                <w:rFonts w:ascii="Times New Roman" w:hAnsi="Times New Roman"/>
                <w:b w:val="false"/>
                <w:color w:val="000000"/>
                <w:spacing w:val="0"/>
                <w:sz w:val="20"/>
              </w:rPr>
              <w:t>$</w:t>
            </w:r>
          </w:p>
        </w:tc>
        <w:tc>
          <w:tcPr>
            <w:tcW w:w="1329" w:type="dxa"/>
            <w:tcBorders/>
            <w:shd w:fill="CCEEFF" w:val="clear"/>
            <w:vAlign w:val="bottom"/>
          </w:tcPr>
          <w:p>
            <w:pPr>
              <w:pStyle w:val="TableContents"/>
              <w:bidi w:val="0"/>
              <w:spacing w:before="0" w:after="283"/>
              <w:jc w:val="right"/>
              <w:rPr/>
            </w:pPr>
            <w:r>
              <w:rPr/>
              <w:t>—</w:t>
            </w:r>
          </w:p>
        </w:tc>
        <w:tc>
          <w:tcPr>
            <w:tcW w:w="119" w:type="dxa"/>
            <w:tcBorders/>
            <w:shd w:fill="CCEEFF" w:val="clear"/>
            <w:vAlign w:val="center"/>
          </w:tcPr>
          <w:p>
            <w:pPr>
              <w:pStyle w:val="TableContents"/>
              <w:bidi w:val="0"/>
              <w:spacing w:before="0" w:after="283"/>
              <w:jc w:val="left"/>
              <w:rPr/>
            </w:pPr>
            <w:r>
              <w:rPr/>
            </w:r>
          </w:p>
        </w:tc>
      </w:tr>
      <w:tr>
        <w:trPr/>
        <w:tc>
          <w:tcPr>
            <w:tcW w:w="3874"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Cost of goods sold  </w:t>
            </w:r>
          </w:p>
        </w:tc>
        <w:tc>
          <w:tcPr>
            <w:tcW w:w="104" w:type="dxa"/>
            <w:tcBorders/>
            <w:vAlign w:val="bottom"/>
          </w:tcPr>
          <w:p>
            <w:pPr>
              <w:pStyle w:val="TableContents"/>
              <w:bidi w:val="0"/>
              <w:spacing w:before="0" w:after="0"/>
              <w:ind w:left="0" w:right="0" w:hanging="0"/>
              <w:jc w:val="left"/>
              <w:rPr/>
            </w:pPr>
            <w:r>
              <w:rPr/>
              <w:t xml:space="preserve">  </w:t>
            </w:r>
          </w:p>
        </w:tc>
        <w:tc>
          <w:tcPr>
            <w:tcW w:w="199" w:type="dxa"/>
            <w:tcBorders/>
            <w:vAlign w:val="bottom"/>
          </w:tcPr>
          <w:p>
            <w:pPr>
              <w:pStyle w:val="TableContents"/>
              <w:bidi w:val="0"/>
              <w:spacing w:before="0" w:after="0"/>
              <w:ind w:left="0" w:right="0" w:hanging="0"/>
              <w:jc w:val="left"/>
              <w:rPr/>
            </w:pPr>
            <w:r>
              <w:rPr/>
              <w:t xml:space="preserve">  </w:t>
            </w:r>
          </w:p>
        </w:tc>
        <w:tc>
          <w:tcPr>
            <w:tcW w:w="1077"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27 </w:t>
            </w:r>
          </w:p>
        </w:tc>
        <w:tc>
          <w:tcPr>
            <w:tcW w:w="139" w:type="dxa"/>
            <w:tcBorders/>
            <w:vAlign w:val="bottom"/>
          </w:tcPr>
          <w:p>
            <w:pPr>
              <w:pStyle w:val="TableContents"/>
              <w:bidi w:val="0"/>
              <w:spacing w:before="0" w:after="0"/>
              <w:ind w:left="0" w:right="0" w:hanging="0"/>
              <w:jc w:val="left"/>
              <w:rPr/>
            </w:pPr>
            <w:r>
              <w:rPr/>
              <w:t xml:space="preserve">  </w:t>
            </w:r>
          </w:p>
        </w:tc>
        <w:tc>
          <w:tcPr>
            <w:tcW w:w="130" w:type="dxa"/>
            <w:tcBorders/>
            <w:vAlign w:val="bottom"/>
          </w:tcPr>
          <w:p>
            <w:pPr>
              <w:pStyle w:val="TableContents"/>
              <w:bidi w:val="0"/>
              <w:spacing w:before="0" w:after="0"/>
              <w:ind w:left="0" w:right="0" w:hanging="0"/>
              <w:jc w:val="left"/>
              <w:rPr/>
            </w:pPr>
            <w:r>
              <w:rPr/>
              <w:t xml:space="preserve">  </w:t>
            </w:r>
          </w:p>
        </w:tc>
        <w:tc>
          <w:tcPr>
            <w:tcW w:w="199" w:type="dxa"/>
            <w:tcBorders/>
            <w:vAlign w:val="bottom"/>
          </w:tcPr>
          <w:p>
            <w:pPr>
              <w:pStyle w:val="TableContents"/>
              <w:bidi w:val="0"/>
              <w:spacing w:before="0" w:after="0"/>
              <w:ind w:left="0" w:right="0" w:hanging="0"/>
              <w:jc w:val="left"/>
              <w:rPr/>
            </w:pPr>
            <w:r>
              <w:rPr/>
              <w:t xml:space="preserve">  </w:t>
            </w:r>
          </w:p>
        </w:tc>
        <w:tc>
          <w:tcPr>
            <w:tcW w:w="1034"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w:t>
            </w:r>
          </w:p>
        </w:tc>
        <w:tc>
          <w:tcPr>
            <w:tcW w:w="113" w:type="dxa"/>
            <w:tcBorders/>
            <w:vAlign w:val="bottom"/>
          </w:tcPr>
          <w:p>
            <w:pPr>
              <w:pStyle w:val="TableContents"/>
              <w:bidi w:val="0"/>
              <w:spacing w:before="0" w:after="0"/>
              <w:ind w:left="0" w:right="0" w:hanging="0"/>
              <w:jc w:val="left"/>
              <w:rPr/>
            </w:pPr>
            <w:r>
              <w:rPr/>
              <w:t xml:space="preserve">  </w:t>
            </w:r>
          </w:p>
        </w:tc>
        <w:tc>
          <w:tcPr>
            <w:tcW w:w="22" w:type="dxa"/>
            <w:tcBorders/>
            <w:vAlign w:val="bottom"/>
          </w:tcPr>
          <w:p>
            <w:pPr>
              <w:pStyle w:val="TableContents"/>
              <w:bidi w:val="0"/>
              <w:spacing w:before="0" w:after="283"/>
              <w:jc w:val="left"/>
              <w:rPr/>
            </w:pPr>
            <w:r>
              <w:rPr/>
            </w:r>
          </w:p>
        </w:tc>
        <w:tc>
          <w:tcPr>
            <w:tcW w:w="189" w:type="dxa"/>
            <w:tcBorders/>
            <w:vAlign w:val="bottom"/>
          </w:tcPr>
          <w:p>
            <w:pPr>
              <w:pStyle w:val="TableContents"/>
              <w:bidi w:val="0"/>
              <w:spacing w:before="0" w:after="283"/>
              <w:jc w:val="left"/>
              <w:rPr/>
            </w:pPr>
            <w:r>
              <w:rPr/>
            </w:r>
          </w:p>
        </w:tc>
        <w:tc>
          <w:tcPr>
            <w:tcW w:w="1329" w:type="dxa"/>
            <w:tcBorders/>
            <w:vAlign w:val="bottom"/>
          </w:tcPr>
          <w:p>
            <w:pPr>
              <w:pStyle w:val="TableContents"/>
              <w:bidi w:val="0"/>
              <w:spacing w:before="0" w:after="283"/>
              <w:jc w:val="right"/>
              <w:rPr/>
            </w:pPr>
            <w:r>
              <w:rPr/>
              <w:t>80</w:t>
            </w:r>
          </w:p>
        </w:tc>
        <w:tc>
          <w:tcPr>
            <w:tcW w:w="128" w:type="dxa"/>
            <w:tcBorders/>
            <w:vAlign w:val="bottom"/>
          </w:tcPr>
          <w:p>
            <w:pPr>
              <w:pStyle w:val="TableContents"/>
              <w:bidi w:val="0"/>
              <w:spacing w:before="0" w:after="283"/>
              <w:jc w:val="left"/>
              <w:rPr/>
            </w:pPr>
            <w:r>
              <w:rPr/>
            </w:r>
          </w:p>
        </w:tc>
        <w:tc>
          <w:tcPr>
            <w:tcW w:w="31" w:type="dxa"/>
            <w:tcBorders/>
            <w:vAlign w:val="bottom"/>
          </w:tcPr>
          <w:p>
            <w:pPr>
              <w:pStyle w:val="TableContents"/>
              <w:bidi w:val="0"/>
              <w:spacing w:before="0" w:after="283"/>
              <w:jc w:val="left"/>
              <w:rPr/>
            </w:pPr>
            <w:r>
              <w:rPr/>
            </w:r>
          </w:p>
        </w:tc>
        <w:tc>
          <w:tcPr>
            <w:tcW w:w="189" w:type="dxa"/>
            <w:tcBorders/>
            <w:vAlign w:val="bottom"/>
          </w:tcPr>
          <w:p>
            <w:pPr>
              <w:pStyle w:val="TableContents"/>
              <w:bidi w:val="0"/>
              <w:spacing w:before="0" w:after="283"/>
              <w:jc w:val="left"/>
              <w:rPr/>
            </w:pPr>
            <w:r>
              <w:rPr/>
            </w:r>
          </w:p>
        </w:tc>
        <w:tc>
          <w:tcPr>
            <w:tcW w:w="1329" w:type="dxa"/>
            <w:tcBorders/>
            <w:vAlign w:val="bottom"/>
          </w:tcPr>
          <w:p>
            <w:pPr>
              <w:pStyle w:val="TableContents"/>
              <w:bidi w:val="0"/>
              <w:spacing w:before="0" w:after="283"/>
              <w:jc w:val="right"/>
              <w:rPr/>
            </w:pPr>
            <w:r>
              <w:rPr/>
              <w:t>80</w:t>
            </w:r>
          </w:p>
        </w:tc>
        <w:tc>
          <w:tcPr>
            <w:tcW w:w="119" w:type="dxa"/>
            <w:tcBorders/>
            <w:vAlign w:val="center"/>
          </w:tcPr>
          <w:p>
            <w:pPr>
              <w:pStyle w:val="TableContents"/>
              <w:bidi w:val="0"/>
              <w:spacing w:before="0" w:after="283"/>
              <w:jc w:val="left"/>
              <w:rPr/>
            </w:pPr>
            <w:r>
              <w:rPr/>
            </w:r>
          </w:p>
        </w:tc>
      </w:tr>
      <w:tr>
        <w:trPr/>
        <w:tc>
          <w:tcPr>
            <w:tcW w:w="3874"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Gross profit (loss) </w:t>
            </w:r>
          </w:p>
        </w:tc>
        <w:tc>
          <w:tcPr>
            <w:tcW w:w="104" w:type="dxa"/>
            <w:tcBorders/>
            <w:shd w:fill="CCEEFF" w:val="clear"/>
            <w:vAlign w:val="bottom"/>
          </w:tcPr>
          <w:p>
            <w:pPr>
              <w:pStyle w:val="TableContents"/>
              <w:bidi w:val="0"/>
              <w:spacing w:before="0" w:after="0"/>
              <w:ind w:left="0" w:right="0" w:hanging="0"/>
              <w:jc w:val="left"/>
              <w:rPr/>
            </w:pPr>
            <w:r>
              <w:rPr/>
              <w:t xml:space="preserve">  </w:t>
            </w:r>
          </w:p>
        </w:tc>
        <w:tc>
          <w:tcPr>
            <w:tcW w:w="199" w:type="dxa"/>
            <w:tcBorders/>
            <w:shd w:fill="CCEEFF" w:val="clear"/>
            <w:vAlign w:val="bottom"/>
          </w:tcPr>
          <w:p>
            <w:pPr>
              <w:pStyle w:val="TableContents"/>
              <w:bidi w:val="0"/>
              <w:spacing w:before="0" w:after="0"/>
              <w:ind w:left="0" w:right="0" w:hanging="0"/>
              <w:jc w:val="left"/>
              <w:rPr/>
            </w:pPr>
            <w:r>
              <w:rPr/>
              <w:t xml:space="preserve">  </w:t>
            </w:r>
          </w:p>
        </w:tc>
        <w:tc>
          <w:tcPr>
            <w:tcW w:w="1077" w:type="dxa"/>
            <w:tcBorders/>
            <w:shd w:fill="CCEEFF" w:val="clear"/>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w:t>
            </w:r>
          </w:p>
        </w:tc>
        <w:tc>
          <w:tcPr>
            <w:tcW w:w="139" w:type="dxa"/>
            <w:tcBorders/>
            <w:shd w:fill="CCEEFF" w:val="clear"/>
            <w:vAlign w:val="bottom"/>
          </w:tcPr>
          <w:p>
            <w:pPr>
              <w:pStyle w:val="TableContents"/>
              <w:bidi w:val="0"/>
              <w:spacing w:before="0" w:after="283"/>
              <w:jc w:val="left"/>
              <w:rPr/>
            </w:pPr>
            <w:r>
              <w:rPr/>
              <w:t>)</w:t>
            </w:r>
          </w:p>
        </w:tc>
        <w:tc>
          <w:tcPr>
            <w:tcW w:w="130" w:type="dxa"/>
            <w:tcBorders/>
            <w:shd w:fill="CCEEFF" w:val="clear"/>
            <w:vAlign w:val="bottom"/>
          </w:tcPr>
          <w:p>
            <w:pPr>
              <w:pStyle w:val="TableContents"/>
              <w:bidi w:val="0"/>
              <w:spacing w:before="0" w:after="0"/>
              <w:ind w:left="0" w:right="0" w:hanging="0"/>
              <w:jc w:val="left"/>
              <w:rPr/>
            </w:pPr>
            <w:r>
              <w:rPr/>
              <w:t xml:space="preserve">  </w:t>
            </w:r>
          </w:p>
        </w:tc>
        <w:tc>
          <w:tcPr>
            <w:tcW w:w="199" w:type="dxa"/>
            <w:tcBorders/>
            <w:shd w:fill="CCEEFF" w:val="clear"/>
            <w:vAlign w:val="bottom"/>
          </w:tcPr>
          <w:p>
            <w:pPr>
              <w:pStyle w:val="TableContents"/>
              <w:bidi w:val="0"/>
              <w:spacing w:before="0" w:after="0"/>
              <w:ind w:left="0" w:right="0" w:hanging="0"/>
              <w:jc w:val="left"/>
              <w:rPr/>
            </w:pPr>
            <w:r>
              <w:rPr/>
              <w:t xml:space="preserve">  </w:t>
            </w:r>
          </w:p>
        </w:tc>
        <w:tc>
          <w:tcPr>
            <w:tcW w:w="1034" w:type="dxa"/>
            <w:tcBorders/>
            <w:shd w:fill="CCEEFF" w:val="clear"/>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w:t>
            </w:r>
          </w:p>
        </w:tc>
        <w:tc>
          <w:tcPr>
            <w:tcW w:w="113" w:type="dxa"/>
            <w:tcBorders/>
            <w:shd w:fill="CCEEFF" w:val="clear"/>
            <w:vAlign w:val="bottom"/>
          </w:tcPr>
          <w:p>
            <w:pPr>
              <w:pStyle w:val="TableContents"/>
              <w:bidi w:val="0"/>
              <w:spacing w:before="0" w:after="283"/>
              <w:jc w:val="left"/>
              <w:rPr/>
            </w:pPr>
            <w:r>
              <w:rPr/>
              <w:t>)</w:t>
            </w:r>
          </w:p>
        </w:tc>
        <w:tc>
          <w:tcPr>
            <w:tcW w:w="22" w:type="dxa"/>
            <w:tcBorders/>
            <w:shd w:fill="CCEEFF" w:val="clear"/>
            <w:vAlign w:val="bottom"/>
          </w:tcPr>
          <w:p>
            <w:pPr>
              <w:pStyle w:val="TableContents"/>
              <w:bidi w:val="0"/>
              <w:spacing w:before="0" w:after="283"/>
              <w:jc w:val="left"/>
              <w:rPr/>
            </w:pPr>
            <w:r>
              <w:rPr/>
            </w:r>
          </w:p>
        </w:tc>
        <w:tc>
          <w:tcPr>
            <w:tcW w:w="189" w:type="dxa"/>
            <w:tcBorders/>
            <w:shd w:fill="CCEEFF" w:val="clear"/>
            <w:vAlign w:val="bottom"/>
          </w:tcPr>
          <w:p>
            <w:pPr>
              <w:pStyle w:val="TableContents"/>
              <w:bidi w:val="0"/>
              <w:spacing w:before="0" w:after="283"/>
              <w:jc w:val="left"/>
              <w:rPr/>
            </w:pPr>
            <w:r>
              <w:rPr/>
            </w:r>
          </w:p>
        </w:tc>
        <w:tc>
          <w:tcPr>
            <w:tcW w:w="1329" w:type="dxa"/>
            <w:tcBorders/>
            <w:shd w:fill="CCEEFF" w:val="clear"/>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(80</w:t>
            </w:r>
          </w:p>
        </w:tc>
        <w:tc>
          <w:tcPr>
            <w:tcW w:w="128" w:type="dxa"/>
            <w:tcBorders/>
            <w:shd w:fill="CCEEFF" w:val="clear"/>
            <w:vAlign w:val="bottom"/>
          </w:tcPr>
          <w:p>
            <w:pPr>
              <w:pStyle w:val="TableContents"/>
              <w:bidi w:val="0"/>
              <w:spacing w:before="0" w:after="283"/>
              <w:jc w:val="left"/>
              <w:rPr/>
            </w:pPr>
            <w:r>
              <w:rPr/>
              <w:t>)</w:t>
            </w:r>
          </w:p>
        </w:tc>
        <w:tc>
          <w:tcPr>
            <w:tcW w:w="31" w:type="dxa"/>
            <w:tcBorders/>
            <w:shd w:fill="CCEEFF" w:val="clear"/>
            <w:vAlign w:val="bottom"/>
          </w:tcPr>
          <w:p>
            <w:pPr>
              <w:pStyle w:val="TableContents"/>
              <w:bidi w:val="0"/>
              <w:spacing w:before="0" w:after="283"/>
              <w:jc w:val="left"/>
              <w:rPr/>
            </w:pPr>
            <w:r>
              <w:rPr/>
            </w:r>
          </w:p>
        </w:tc>
        <w:tc>
          <w:tcPr>
            <w:tcW w:w="189" w:type="dxa"/>
            <w:tcBorders/>
            <w:shd w:fill="CCEEFF" w:val="clear"/>
            <w:vAlign w:val="bottom"/>
          </w:tcPr>
          <w:p>
            <w:pPr>
              <w:pStyle w:val="TableContents"/>
              <w:bidi w:val="0"/>
              <w:spacing w:before="0" w:after="283"/>
              <w:jc w:val="left"/>
              <w:rPr/>
            </w:pPr>
            <w:r>
              <w:rPr/>
            </w:r>
          </w:p>
        </w:tc>
        <w:tc>
          <w:tcPr>
            <w:tcW w:w="1329" w:type="dxa"/>
            <w:tcBorders/>
            <w:shd w:fill="CCEEFF" w:val="clear"/>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(80</w:t>
            </w:r>
          </w:p>
        </w:tc>
        <w:tc>
          <w:tcPr>
            <w:tcW w:w="119" w:type="dxa"/>
            <w:tcBorders/>
            <w:shd w:fill="CCEEFF" w:val="clear"/>
            <w:vAlign w:val="bottom"/>
          </w:tcPr>
          <w:p>
            <w:pPr>
              <w:pStyle w:val="TableContents"/>
              <w:bidi w:val="0"/>
              <w:spacing w:before="0" w:after="283"/>
              <w:jc w:val="left"/>
              <w:rPr/>
            </w:pPr>
            <w:r>
              <w:rPr/>
              <w:t>)</w:t>
            </w:r>
          </w:p>
        </w:tc>
      </w:tr>
      <w:tr>
        <w:trPr/>
        <w:tc>
          <w:tcPr>
            <w:tcW w:w="3874" w:type="dxa"/>
            <w:tcBorders/>
            <w:vAlign w:val="bottom"/>
          </w:tcPr>
          <w:p>
            <w:pPr>
              <w:pStyle w:val="TableContents"/>
              <w:bidi w:val="0"/>
              <w:spacing w:before="0" w:after="0"/>
              <w:ind w:left="0" w:right="0" w:hanging="0"/>
              <w:jc w:val="left"/>
              <w:rPr/>
            </w:pPr>
            <w:r>
              <w:rPr/>
              <w:t xml:space="preserve">  </w:t>
            </w:r>
          </w:p>
        </w:tc>
        <w:tc>
          <w:tcPr>
            <w:tcW w:w="104" w:type="dxa"/>
            <w:tcBorders/>
            <w:vAlign w:val="bottom"/>
          </w:tcPr>
          <w:p>
            <w:pPr>
              <w:pStyle w:val="TableContents"/>
              <w:bidi w:val="0"/>
              <w:spacing w:before="0" w:after="0"/>
              <w:ind w:left="0" w:right="0" w:hanging="0"/>
              <w:jc w:val="left"/>
              <w:rPr/>
            </w:pPr>
            <w:r>
              <w:rPr/>
              <w:t xml:space="preserve">  </w:t>
            </w:r>
          </w:p>
        </w:tc>
        <w:tc>
          <w:tcPr>
            <w:tcW w:w="199" w:type="dxa"/>
            <w:tcBorders/>
            <w:vAlign w:val="bottom"/>
          </w:tcPr>
          <w:p>
            <w:pPr>
              <w:pStyle w:val="TableContents"/>
              <w:bidi w:val="0"/>
              <w:spacing w:before="0" w:after="0"/>
              <w:ind w:left="0" w:right="0" w:hanging="0"/>
              <w:jc w:val="left"/>
              <w:rPr/>
            </w:pPr>
            <w:r>
              <w:rPr/>
              <w:t xml:space="preserve">  </w:t>
            </w:r>
          </w:p>
        </w:tc>
        <w:tc>
          <w:tcPr>
            <w:tcW w:w="1077" w:type="dxa"/>
            <w:tcBorders/>
            <w:vAlign w:val="bottom"/>
          </w:tcPr>
          <w:p>
            <w:pPr>
              <w:pStyle w:val="TableContents"/>
              <w:bidi w:val="0"/>
              <w:spacing w:before="0" w:after="0"/>
              <w:ind w:left="0" w:right="0" w:hanging="0"/>
              <w:jc w:val="left"/>
              <w:rPr/>
            </w:pPr>
            <w:r>
              <w:rPr/>
              <w:t xml:space="preserve">  </w:t>
            </w:r>
          </w:p>
        </w:tc>
        <w:tc>
          <w:tcPr>
            <w:tcW w:w="139" w:type="dxa"/>
            <w:tcBorders/>
            <w:vAlign w:val="bottom"/>
          </w:tcPr>
          <w:p>
            <w:pPr>
              <w:pStyle w:val="TableContents"/>
              <w:bidi w:val="0"/>
              <w:spacing w:before="0" w:after="0"/>
              <w:ind w:left="0" w:right="0" w:hanging="0"/>
              <w:jc w:val="left"/>
              <w:rPr/>
            </w:pPr>
            <w:r>
              <w:rPr/>
              <w:t xml:space="preserve">  </w:t>
            </w:r>
          </w:p>
        </w:tc>
        <w:tc>
          <w:tcPr>
            <w:tcW w:w="130" w:type="dxa"/>
            <w:tcBorders/>
            <w:vAlign w:val="bottom"/>
          </w:tcPr>
          <w:p>
            <w:pPr>
              <w:pStyle w:val="TableContents"/>
              <w:bidi w:val="0"/>
              <w:spacing w:before="0" w:after="0"/>
              <w:ind w:left="0" w:right="0" w:hanging="0"/>
              <w:jc w:val="left"/>
              <w:rPr/>
            </w:pPr>
            <w:r>
              <w:rPr/>
              <w:t xml:space="preserve">  </w:t>
            </w:r>
          </w:p>
        </w:tc>
        <w:tc>
          <w:tcPr>
            <w:tcW w:w="199" w:type="dxa"/>
            <w:tcBorders/>
            <w:vAlign w:val="bottom"/>
          </w:tcPr>
          <w:p>
            <w:pPr>
              <w:pStyle w:val="TableContents"/>
              <w:bidi w:val="0"/>
              <w:spacing w:before="0" w:after="0"/>
              <w:ind w:left="0" w:right="0" w:hanging="0"/>
              <w:jc w:val="left"/>
              <w:rPr/>
            </w:pPr>
            <w:r>
              <w:rPr/>
              <w:t xml:space="preserve">  </w:t>
            </w:r>
          </w:p>
        </w:tc>
        <w:tc>
          <w:tcPr>
            <w:tcW w:w="1034" w:type="dxa"/>
            <w:tcBorders/>
            <w:vAlign w:val="bottom"/>
          </w:tcPr>
          <w:p>
            <w:pPr>
              <w:pStyle w:val="TableContents"/>
              <w:bidi w:val="0"/>
              <w:spacing w:before="0" w:after="0"/>
              <w:ind w:left="0" w:right="0" w:hanging="0"/>
              <w:jc w:val="left"/>
              <w:rPr/>
            </w:pPr>
            <w:r>
              <w:rPr/>
              <w:t xml:space="preserve">  </w:t>
            </w:r>
          </w:p>
        </w:tc>
        <w:tc>
          <w:tcPr>
            <w:tcW w:w="113" w:type="dxa"/>
            <w:tcBorders/>
            <w:vAlign w:val="bottom"/>
          </w:tcPr>
          <w:p>
            <w:pPr>
              <w:pStyle w:val="TableContents"/>
              <w:bidi w:val="0"/>
              <w:spacing w:before="0" w:after="0"/>
              <w:ind w:left="0" w:right="0" w:hanging="0"/>
              <w:jc w:val="left"/>
              <w:rPr/>
            </w:pPr>
            <w:r>
              <w:rPr/>
              <w:t xml:space="preserve">  </w:t>
            </w:r>
          </w:p>
        </w:tc>
        <w:tc>
          <w:tcPr>
            <w:tcW w:w="22" w:type="dxa"/>
            <w:tcBorders/>
            <w:vAlign w:val="bottom"/>
          </w:tcPr>
          <w:p>
            <w:pPr>
              <w:pStyle w:val="TableContents"/>
              <w:bidi w:val="0"/>
              <w:spacing w:before="0" w:after="283"/>
              <w:jc w:val="left"/>
              <w:rPr/>
            </w:pPr>
            <w:r>
              <w:rPr/>
            </w:r>
          </w:p>
        </w:tc>
        <w:tc>
          <w:tcPr>
            <w:tcW w:w="189" w:type="dxa"/>
            <w:tcBorders/>
            <w:vAlign w:val="bottom"/>
          </w:tcPr>
          <w:p>
            <w:pPr>
              <w:pStyle w:val="TableContents"/>
              <w:bidi w:val="0"/>
              <w:spacing w:before="0" w:after="283"/>
              <w:jc w:val="left"/>
              <w:rPr/>
            </w:pPr>
            <w:r>
              <w:rPr/>
            </w:r>
          </w:p>
        </w:tc>
        <w:tc>
          <w:tcPr>
            <w:tcW w:w="1329" w:type="dxa"/>
            <w:tcBorders/>
            <w:vAlign w:val="bottom"/>
          </w:tcPr>
          <w:p>
            <w:pPr>
              <w:pStyle w:val="TableContents"/>
              <w:bidi w:val="0"/>
              <w:spacing w:before="0" w:after="283"/>
              <w:jc w:val="left"/>
              <w:rPr/>
            </w:pPr>
            <w:r>
              <w:rPr/>
            </w:r>
          </w:p>
        </w:tc>
        <w:tc>
          <w:tcPr>
            <w:tcW w:w="128" w:type="dxa"/>
            <w:tcBorders/>
            <w:vAlign w:val="bottom"/>
          </w:tcPr>
          <w:p>
            <w:pPr>
              <w:pStyle w:val="TableContents"/>
              <w:bidi w:val="0"/>
              <w:spacing w:before="0" w:after="283"/>
              <w:jc w:val="left"/>
              <w:rPr/>
            </w:pPr>
            <w:r>
              <w:rPr/>
            </w:r>
          </w:p>
        </w:tc>
        <w:tc>
          <w:tcPr>
            <w:tcW w:w="31" w:type="dxa"/>
            <w:tcBorders/>
            <w:vAlign w:val="bottom"/>
          </w:tcPr>
          <w:p>
            <w:pPr>
              <w:pStyle w:val="TableContents"/>
              <w:bidi w:val="0"/>
              <w:spacing w:before="0" w:after="283"/>
              <w:jc w:val="left"/>
              <w:rPr/>
            </w:pPr>
            <w:r>
              <w:rPr/>
            </w:r>
          </w:p>
        </w:tc>
        <w:tc>
          <w:tcPr>
            <w:tcW w:w="189" w:type="dxa"/>
            <w:tcBorders/>
            <w:vAlign w:val="bottom"/>
          </w:tcPr>
          <w:p>
            <w:pPr>
              <w:pStyle w:val="TableContents"/>
              <w:bidi w:val="0"/>
              <w:spacing w:before="0" w:after="283"/>
              <w:jc w:val="left"/>
              <w:rPr/>
            </w:pPr>
            <w:r>
              <w:rPr/>
            </w:r>
          </w:p>
        </w:tc>
        <w:tc>
          <w:tcPr>
            <w:tcW w:w="1329" w:type="dxa"/>
            <w:tcBorders/>
            <w:vAlign w:val="bottom"/>
          </w:tcPr>
          <w:p>
            <w:pPr>
              <w:pStyle w:val="TableContents"/>
              <w:bidi w:val="0"/>
              <w:spacing w:before="0" w:after="283"/>
              <w:jc w:val="left"/>
              <w:rPr/>
            </w:pPr>
            <w:r>
              <w:rPr/>
            </w:r>
          </w:p>
        </w:tc>
        <w:tc>
          <w:tcPr>
            <w:tcW w:w="119" w:type="dxa"/>
            <w:tcBorders/>
            <w:vAlign w:val="center"/>
          </w:tcPr>
          <w:p>
            <w:pPr>
              <w:pStyle w:val="TableContents"/>
              <w:bidi w:val="0"/>
              <w:spacing w:before="0" w:after="283"/>
              <w:jc w:val="left"/>
              <w:rPr/>
            </w:pPr>
            <w:r>
              <w:rPr/>
            </w:r>
          </w:p>
        </w:tc>
      </w:tr>
      <w:tr>
        <w:trPr/>
        <w:tc>
          <w:tcPr>
            <w:tcW w:w="3874"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Operating expenses: </w:t>
            </w:r>
          </w:p>
        </w:tc>
        <w:tc>
          <w:tcPr>
            <w:tcW w:w="104" w:type="dxa"/>
            <w:tcBorders/>
            <w:shd w:fill="CCEEFF" w:val="clear"/>
            <w:vAlign w:val="bottom"/>
          </w:tcPr>
          <w:p>
            <w:pPr>
              <w:pStyle w:val="TableContents"/>
              <w:bidi w:val="0"/>
              <w:spacing w:before="0" w:after="0"/>
              <w:ind w:left="0" w:right="0" w:hanging="0"/>
              <w:jc w:val="left"/>
              <w:rPr/>
            </w:pPr>
            <w:r>
              <w:rPr/>
              <w:t xml:space="preserve">  </w:t>
            </w:r>
          </w:p>
        </w:tc>
        <w:tc>
          <w:tcPr>
            <w:tcW w:w="199" w:type="dxa"/>
            <w:tcBorders/>
            <w:shd w:fill="CCEEFF" w:val="clear"/>
            <w:vAlign w:val="bottom"/>
          </w:tcPr>
          <w:p>
            <w:pPr>
              <w:pStyle w:val="TableContents"/>
              <w:bidi w:val="0"/>
              <w:spacing w:before="0" w:after="0"/>
              <w:ind w:left="0" w:right="0" w:hanging="0"/>
              <w:jc w:val="left"/>
              <w:rPr/>
            </w:pPr>
            <w:r>
              <w:rPr/>
              <w:t xml:space="preserve">  </w:t>
            </w:r>
          </w:p>
        </w:tc>
        <w:tc>
          <w:tcPr>
            <w:tcW w:w="1077" w:type="dxa"/>
            <w:tcBorders/>
            <w:shd w:fill="CCEEFF" w:val="clear"/>
            <w:vAlign w:val="bottom"/>
          </w:tcPr>
          <w:p>
            <w:pPr>
              <w:pStyle w:val="TableContents"/>
              <w:bidi w:val="0"/>
              <w:spacing w:before="0" w:after="0"/>
              <w:ind w:left="0" w:right="0" w:hanging="0"/>
              <w:jc w:val="left"/>
              <w:rPr/>
            </w:pPr>
            <w:r>
              <w:rPr/>
              <w:t xml:space="preserve">  </w:t>
            </w:r>
          </w:p>
        </w:tc>
        <w:tc>
          <w:tcPr>
            <w:tcW w:w="139" w:type="dxa"/>
            <w:tcBorders/>
            <w:shd w:fill="CCEEFF" w:val="clear"/>
            <w:vAlign w:val="bottom"/>
          </w:tcPr>
          <w:p>
            <w:pPr>
              <w:pStyle w:val="TableContents"/>
              <w:bidi w:val="0"/>
              <w:spacing w:before="0" w:after="0"/>
              <w:ind w:left="0" w:right="0" w:hanging="0"/>
              <w:jc w:val="left"/>
              <w:rPr/>
            </w:pPr>
            <w:r>
              <w:rPr/>
              <w:t xml:space="preserve">  </w:t>
            </w:r>
          </w:p>
        </w:tc>
        <w:tc>
          <w:tcPr>
            <w:tcW w:w="130" w:type="dxa"/>
            <w:tcBorders/>
            <w:shd w:fill="CCEEFF" w:val="clear"/>
            <w:vAlign w:val="bottom"/>
          </w:tcPr>
          <w:p>
            <w:pPr>
              <w:pStyle w:val="TableContents"/>
              <w:bidi w:val="0"/>
              <w:spacing w:before="0" w:after="0"/>
              <w:ind w:left="0" w:right="0" w:hanging="0"/>
              <w:jc w:val="left"/>
              <w:rPr/>
            </w:pPr>
            <w:r>
              <w:rPr/>
              <w:t xml:space="preserve">  </w:t>
            </w:r>
          </w:p>
        </w:tc>
        <w:tc>
          <w:tcPr>
            <w:tcW w:w="199" w:type="dxa"/>
            <w:tcBorders/>
            <w:shd w:fill="CCEEFF" w:val="clear"/>
            <w:vAlign w:val="bottom"/>
          </w:tcPr>
          <w:p>
            <w:pPr>
              <w:pStyle w:val="TableContents"/>
              <w:bidi w:val="0"/>
              <w:spacing w:before="0" w:after="0"/>
              <w:ind w:left="0" w:right="0" w:hanging="0"/>
              <w:jc w:val="left"/>
              <w:rPr/>
            </w:pPr>
            <w:r>
              <w:rPr/>
              <w:t xml:space="preserve">  </w:t>
            </w:r>
          </w:p>
        </w:tc>
        <w:tc>
          <w:tcPr>
            <w:tcW w:w="1034" w:type="dxa"/>
            <w:tcBorders/>
            <w:shd w:fill="CCEEFF" w:val="clear"/>
            <w:vAlign w:val="bottom"/>
          </w:tcPr>
          <w:p>
            <w:pPr>
              <w:pStyle w:val="TableContents"/>
              <w:bidi w:val="0"/>
              <w:spacing w:before="0" w:after="0"/>
              <w:ind w:left="0" w:right="0" w:hanging="0"/>
              <w:jc w:val="left"/>
              <w:rPr/>
            </w:pPr>
            <w:r>
              <w:rPr/>
              <w:t xml:space="preserve">  </w:t>
            </w:r>
          </w:p>
        </w:tc>
        <w:tc>
          <w:tcPr>
            <w:tcW w:w="113" w:type="dxa"/>
            <w:tcBorders/>
            <w:shd w:fill="CCEEFF" w:val="clear"/>
            <w:vAlign w:val="bottom"/>
          </w:tcPr>
          <w:p>
            <w:pPr>
              <w:pStyle w:val="TableContents"/>
              <w:bidi w:val="0"/>
              <w:spacing w:before="0" w:after="0"/>
              <w:ind w:left="0" w:right="0" w:hanging="0"/>
              <w:jc w:val="left"/>
              <w:rPr/>
            </w:pPr>
            <w:r>
              <w:rPr/>
              <w:t xml:space="preserve">  </w:t>
            </w:r>
          </w:p>
        </w:tc>
        <w:tc>
          <w:tcPr>
            <w:tcW w:w="22" w:type="dxa"/>
            <w:tcBorders/>
            <w:shd w:fill="CCEEFF" w:val="clear"/>
            <w:vAlign w:val="bottom"/>
          </w:tcPr>
          <w:p>
            <w:pPr>
              <w:pStyle w:val="TableContents"/>
              <w:bidi w:val="0"/>
              <w:spacing w:before="0" w:after="283"/>
              <w:jc w:val="left"/>
              <w:rPr/>
            </w:pPr>
            <w:r>
              <w:rPr/>
            </w:r>
          </w:p>
        </w:tc>
        <w:tc>
          <w:tcPr>
            <w:tcW w:w="189" w:type="dxa"/>
            <w:tcBorders/>
            <w:shd w:fill="CCEEFF" w:val="clear"/>
            <w:vAlign w:val="bottom"/>
          </w:tcPr>
          <w:p>
            <w:pPr>
              <w:pStyle w:val="TableContents"/>
              <w:bidi w:val="0"/>
              <w:spacing w:before="0" w:after="283"/>
              <w:jc w:val="left"/>
              <w:rPr/>
            </w:pPr>
            <w:r>
              <w:rPr/>
            </w:r>
          </w:p>
        </w:tc>
        <w:tc>
          <w:tcPr>
            <w:tcW w:w="1329" w:type="dxa"/>
            <w:tcBorders/>
            <w:shd w:fill="CCEEFF" w:val="clear"/>
            <w:vAlign w:val="bottom"/>
          </w:tcPr>
          <w:p>
            <w:pPr>
              <w:pStyle w:val="TableContents"/>
              <w:bidi w:val="0"/>
              <w:spacing w:before="0" w:after="283"/>
              <w:jc w:val="left"/>
              <w:rPr/>
            </w:pPr>
            <w:r>
              <w:rPr/>
            </w:r>
          </w:p>
        </w:tc>
        <w:tc>
          <w:tcPr>
            <w:tcW w:w="128" w:type="dxa"/>
            <w:tcBorders/>
            <w:shd w:fill="CCEEFF" w:val="clear"/>
            <w:vAlign w:val="bottom"/>
          </w:tcPr>
          <w:p>
            <w:pPr>
              <w:pStyle w:val="TableContents"/>
              <w:bidi w:val="0"/>
              <w:spacing w:before="0" w:after="283"/>
              <w:jc w:val="left"/>
              <w:rPr/>
            </w:pPr>
            <w:r>
              <w:rPr/>
            </w:r>
          </w:p>
        </w:tc>
        <w:tc>
          <w:tcPr>
            <w:tcW w:w="31" w:type="dxa"/>
            <w:tcBorders/>
            <w:shd w:fill="CCEEFF" w:val="clear"/>
            <w:vAlign w:val="bottom"/>
          </w:tcPr>
          <w:p>
            <w:pPr>
              <w:pStyle w:val="TableContents"/>
              <w:bidi w:val="0"/>
              <w:spacing w:before="0" w:after="283"/>
              <w:jc w:val="left"/>
              <w:rPr/>
            </w:pPr>
            <w:r>
              <w:rPr/>
            </w:r>
          </w:p>
        </w:tc>
        <w:tc>
          <w:tcPr>
            <w:tcW w:w="189" w:type="dxa"/>
            <w:tcBorders/>
            <w:shd w:fill="CCEEFF" w:val="clear"/>
            <w:vAlign w:val="bottom"/>
          </w:tcPr>
          <w:p>
            <w:pPr>
              <w:pStyle w:val="TableContents"/>
              <w:bidi w:val="0"/>
              <w:spacing w:before="0" w:after="283"/>
              <w:jc w:val="left"/>
              <w:rPr/>
            </w:pPr>
            <w:r>
              <w:rPr/>
            </w:r>
          </w:p>
        </w:tc>
        <w:tc>
          <w:tcPr>
            <w:tcW w:w="1329" w:type="dxa"/>
            <w:tcBorders/>
            <w:shd w:fill="CCEEFF" w:val="clear"/>
            <w:vAlign w:val="bottom"/>
          </w:tcPr>
          <w:p>
            <w:pPr>
              <w:pStyle w:val="TableContents"/>
              <w:bidi w:val="0"/>
              <w:spacing w:before="0" w:after="283"/>
              <w:jc w:val="left"/>
              <w:rPr/>
            </w:pPr>
            <w:r>
              <w:rPr/>
            </w:r>
          </w:p>
        </w:tc>
        <w:tc>
          <w:tcPr>
            <w:tcW w:w="119" w:type="dxa"/>
            <w:tcBorders/>
            <w:shd w:fill="CCEEFF" w:val="clear"/>
            <w:vAlign w:val="center"/>
          </w:tcPr>
          <w:p>
            <w:pPr>
              <w:pStyle w:val="TableContents"/>
              <w:bidi w:val="0"/>
              <w:spacing w:before="0" w:after="283"/>
              <w:jc w:val="left"/>
              <w:rPr/>
            </w:pPr>
            <w:r>
              <w:rPr/>
            </w:r>
          </w:p>
        </w:tc>
      </w:tr>
      <w:tr>
        <w:trPr/>
        <w:tc>
          <w:tcPr>
            <w:tcW w:w="3874"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Sales and marketing </w:t>
            </w:r>
          </w:p>
        </w:tc>
        <w:tc>
          <w:tcPr>
            <w:tcW w:w="104" w:type="dxa"/>
            <w:tcBorders/>
            <w:vAlign w:val="bottom"/>
          </w:tcPr>
          <w:p>
            <w:pPr>
              <w:pStyle w:val="TableContents"/>
              <w:bidi w:val="0"/>
              <w:spacing w:before="0" w:after="0"/>
              <w:ind w:left="0" w:right="0" w:hanging="0"/>
              <w:jc w:val="left"/>
              <w:rPr/>
            </w:pPr>
            <w:r>
              <w:rPr/>
              <w:t xml:space="preserve">  </w:t>
            </w:r>
          </w:p>
        </w:tc>
        <w:tc>
          <w:tcPr>
            <w:tcW w:w="199" w:type="dxa"/>
            <w:tcBorders/>
            <w:vAlign w:val="bottom"/>
          </w:tcPr>
          <w:p>
            <w:pPr>
              <w:pStyle w:val="TableContents"/>
              <w:bidi w:val="0"/>
              <w:spacing w:before="0" w:after="0"/>
              <w:ind w:left="0" w:right="0" w:hanging="0"/>
              <w:jc w:val="left"/>
              <w:rPr/>
            </w:pPr>
            <w:r>
              <w:rPr/>
              <w:t xml:space="preserve">  </w:t>
            </w:r>
          </w:p>
        </w:tc>
        <w:tc>
          <w:tcPr>
            <w:tcW w:w="1077" w:type="dxa"/>
            <w:tcBorders/>
            <w:vAlign w:val="bottom"/>
          </w:tcPr>
          <w:p>
            <w:pPr>
              <w:pStyle w:val="TableContents"/>
              <w:bidi w:val="0"/>
              <w:spacing w:before="0" w:after="0"/>
              <w:ind w:left="0" w:right="0" w:hanging="0"/>
              <w:jc w:val="right"/>
              <w:rPr/>
            </w:pPr>
            <w:r>
              <w:rPr/>
              <w:t xml:space="preserve">— </w:t>
            </w:r>
          </w:p>
        </w:tc>
        <w:tc>
          <w:tcPr>
            <w:tcW w:w="139" w:type="dxa"/>
            <w:tcBorders/>
            <w:vAlign w:val="bottom"/>
          </w:tcPr>
          <w:p>
            <w:pPr>
              <w:pStyle w:val="TableContents"/>
              <w:bidi w:val="0"/>
              <w:spacing w:before="0" w:after="0"/>
              <w:ind w:left="0" w:right="0" w:hanging="0"/>
              <w:jc w:val="left"/>
              <w:rPr/>
            </w:pPr>
            <w:r>
              <w:rPr/>
              <w:t xml:space="preserve">  </w:t>
            </w:r>
          </w:p>
        </w:tc>
        <w:tc>
          <w:tcPr>
            <w:tcW w:w="130" w:type="dxa"/>
            <w:tcBorders/>
            <w:vAlign w:val="bottom"/>
          </w:tcPr>
          <w:p>
            <w:pPr>
              <w:pStyle w:val="TableContents"/>
              <w:bidi w:val="0"/>
              <w:spacing w:before="0" w:after="0"/>
              <w:ind w:left="0" w:right="0" w:hanging="0"/>
              <w:jc w:val="left"/>
              <w:rPr/>
            </w:pPr>
            <w:r>
              <w:rPr/>
              <w:t xml:space="preserve">  </w:t>
            </w:r>
          </w:p>
        </w:tc>
        <w:tc>
          <w:tcPr>
            <w:tcW w:w="199" w:type="dxa"/>
            <w:tcBorders/>
            <w:vAlign w:val="bottom"/>
          </w:tcPr>
          <w:p>
            <w:pPr>
              <w:pStyle w:val="TableContents"/>
              <w:bidi w:val="0"/>
              <w:spacing w:before="0" w:after="0"/>
              <w:ind w:left="0" w:right="0" w:hanging="0"/>
              <w:jc w:val="left"/>
              <w:rPr/>
            </w:pPr>
            <w:r>
              <w:rPr/>
              <w:t xml:space="preserve">  </w:t>
            </w:r>
          </w:p>
        </w:tc>
        <w:tc>
          <w:tcPr>
            <w:tcW w:w="1034" w:type="dxa"/>
            <w:tcBorders/>
            <w:vAlign w:val="bottom"/>
          </w:tcPr>
          <w:p>
            <w:pPr>
              <w:pStyle w:val="TableContents"/>
              <w:bidi w:val="0"/>
              <w:spacing w:before="0" w:after="0"/>
              <w:ind w:left="0" w:right="0" w:hanging="0"/>
              <w:jc w:val="right"/>
              <w:rPr/>
            </w:pPr>
            <w:r>
              <w:rPr/>
              <w:t>—</w:t>
            </w:r>
          </w:p>
        </w:tc>
        <w:tc>
          <w:tcPr>
            <w:tcW w:w="113" w:type="dxa"/>
            <w:tcBorders/>
            <w:vAlign w:val="bottom"/>
          </w:tcPr>
          <w:p>
            <w:pPr>
              <w:pStyle w:val="TableContents"/>
              <w:bidi w:val="0"/>
              <w:spacing w:before="0" w:after="0"/>
              <w:ind w:left="0" w:right="0" w:hanging="0"/>
              <w:jc w:val="left"/>
              <w:rPr/>
            </w:pPr>
            <w:r>
              <w:rPr/>
              <w:t xml:space="preserve">  </w:t>
            </w:r>
          </w:p>
        </w:tc>
        <w:tc>
          <w:tcPr>
            <w:tcW w:w="22" w:type="dxa"/>
            <w:tcBorders/>
            <w:vAlign w:val="bottom"/>
          </w:tcPr>
          <w:p>
            <w:pPr>
              <w:pStyle w:val="TableContents"/>
              <w:bidi w:val="0"/>
              <w:spacing w:before="0" w:after="283"/>
              <w:jc w:val="left"/>
              <w:rPr/>
            </w:pPr>
            <w:r>
              <w:rPr/>
            </w:r>
          </w:p>
        </w:tc>
        <w:tc>
          <w:tcPr>
            <w:tcW w:w="189" w:type="dxa"/>
            <w:tcBorders/>
            <w:vAlign w:val="bottom"/>
          </w:tcPr>
          <w:p>
            <w:pPr>
              <w:pStyle w:val="TableContents"/>
              <w:bidi w:val="0"/>
              <w:spacing w:before="0" w:after="283"/>
              <w:jc w:val="left"/>
              <w:rPr/>
            </w:pPr>
            <w:r>
              <w:rPr/>
            </w:r>
          </w:p>
        </w:tc>
        <w:tc>
          <w:tcPr>
            <w:tcW w:w="1329" w:type="dxa"/>
            <w:tcBorders/>
            <w:vAlign w:val="bottom"/>
          </w:tcPr>
          <w:p>
            <w:pPr>
              <w:pStyle w:val="TableContents"/>
              <w:bidi w:val="0"/>
              <w:spacing w:before="0" w:after="283"/>
              <w:jc w:val="right"/>
              <w:rPr/>
            </w:pPr>
            <w:r>
              <w:rPr/>
              <w:t>—</w:t>
            </w:r>
          </w:p>
        </w:tc>
        <w:tc>
          <w:tcPr>
            <w:tcW w:w="128" w:type="dxa"/>
            <w:tcBorders/>
            <w:vAlign w:val="bottom"/>
          </w:tcPr>
          <w:p>
            <w:pPr>
              <w:pStyle w:val="TableContents"/>
              <w:bidi w:val="0"/>
              <w:spacing w:before="0" w:after="283"/>
              <w:jc w:val="left"/>
              <w:rPr/>
            </w:pPr>
            <w:r>
              <w:rPr/>
            </w:r>
          </w:p>
        </w:tc>
        <w:tc>
          <w:tcPr>
            <w:tcW w:w="31" w:type="dxa"/>
            <w:tcBorders/>
            <w:vAlign w:val="bottom"/>
          </w:tcPr>
          <w:p>
            <w:pPr>
              <w:pStyle w:val="TableContents"/>
              <w:bidi w:val="0"/>
              <w:spacing w:before="0" w:after="283"/>
              <w:jc w:val="left"/>
              <w:rPr/>
            </w:pPr>
            <w:r>
              <w:rPr/>
            </w:r>
          </w:p>
        </w:tc>
        <w:tc>
          <w:tcPr>
            <w:tcW w:w="189" w:type="dxa"/>
            <w:tcBorders/>
            <w:vAlign w:val="bottom"/>
          </w:tcPr>
          <w:p>
            <w:pPr>
              <w:pStyle w:val="TableContents"/>
              <w:bidi w:val="0"/>
              <w:spacing w:before="0" w:after="283"/>
              <w:jc w:val="left"/>
              <w:rPr/>
            </w:pPr>
            <w:r>
              <w:rPr/>
            </w:r>
          </w:p>
        </w:tc>
        <w:tc>
          <w:tcPr>
            <w:tcW w:w="1329" w:type="dxa"/>
            <w:tcBorders/>
            <w:vAlign w:val="bottom"/>
          </w:tcPr>
          <w:p>
            <w:pPr>
              <w:pStyle w:val="TableContents"/>
              <w:bidi w:val="0"/>
              <w:spacing w:before="0" w:after="283"/>
              <w:jc w:val="right"/>
              <w:rPr/>
            </w:pPr>
            <w:r>
              <w:rPr/>
              <w:t>—</w:t>
            </w:r>
          </w:p>
        </w:tc>
        <w:tc>
          <w:tcPr>
            <w:tcW w:w="119" w:type="dxa"/>
            <w:tcBorders/>
            <w:vAlign w:val="center"/>
          </w:tcPr>
          <w:p>
            <w:pPr>
              <w:pStyle w:val="TableContents"/>
              <w:bidi w:val="0"/>
              <w:spacing w:before="0" w:after="283"/>
              <w:jc w:val="left"/>
              <w:rPr/>
            </w:pPr>
            <w:r>
              <w:rPr/>
            </w:r>
          </w:p>
        </w:tc>
      </w:tr>
      <w:tr>
        <w:trPr/>
        <w:tc>
          <w:tcPr>
            <w:tcW w:w="3874"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Research and product development </w:t>
            </w:r>
          </w:p>
        </w:tc>
        <w:tc>
          <w:tcPr>
            <w:tcW w:w="104" w:type="dxa"/>
            <w:tcBorders/>
            <w:shd w:fill="CCEEFF" w:val="clear"/>
            <w:vAlign w:val="bottom"/>
          </w:tcPr>
          <w:p>
            <w:pPr>
              <w:pStyle w:val="TableContents"/>
              <w:bidi w:val="0"/>
              <w:spacing w:before="0" w:after="0"/>
              <w:ind w:left="0" w:right="0" w:hanging="0"/>
              <w:jc w:val="left"/>
              <w:rPr/>
            </w:pPr>
            <w:r>
              <w:rPr/>
              <w:t xml:space="preserve">  </w:t>
            </w:r>
          </w:p>
        </w:tc>
        <w:tc>
          <w:tcPr>
            <w:tcW w:w="199" w:type="dxa"/>
            <w:tcBorders/>
            <w:shd w:fill="CCEEFF" w:val="clear"/>
            <w:vAlign w:val="bottom"/>
          </w:tcPr>
          <w:p>
            <w:pPr>
              <w:pStyle w:val="TableContents"/>
              <w:bidi w:val="0"/>
              <w:spacing w:before="0" w:after="0"/>
              <w:ind w:left="0" w:right="0" w:hanging="0"/>
              <w:jc w:val="left"/>
              <w:rPr/>
            </w:pPr>
            <w:r>
              <w:rPr/>
              <w:t xml:space="preserve">  </w:t>
            </w:r>
          </w:p>
        </w:tc>
        <w:tc>
          <w:tcPr>
            <w:tcW w:w="1077" w:type="dxa"/>
            <w:tcBorders/>
            <w:shd w:fill="CCEEFF" w:val="clear"/>
            <w:vAlign w:val="bottom"/>
          </w:tcPr>
          <w:p>
            <w:pPr>
              <w:pStyle w:val="TableContents"/>
              <w:bidi w:val="0"/>
              <w:spacing w:before="0" w:after="0"/>
              <w:ind w:left="0" w:right="0" w:hanging="0"/>
              <w:jc w:val="right"/>
              <w:rPr/>
            </w:pPr>
            <w:r>
              <w:rPr/>
              <w:t xml:space="preserve">— </w:t>
            </w:r>
          </w:p>
        </w:tc>
        <w:tc>
          <w:tcPr>
            <w:tcW w:w="139" w:type="dxa"/>
            <w:tcBorders/>
            <w:shd w:fill="CCEEFF" w:val="clear"/>
            <w:vAlign w:val="bottom"/>
          </w:tcPr>
          <w:p>
            <w:pPr>
              <w:pStyle w:val="TableContents"/>
              <w:bidi w:val="0"/>
              <w:spacing w:before="0" w:after="0"/>
              <w:ind w:left="0" w:right="0" w:hanging="0"/>
              <w:jc w:val="left"/>
              <w:rPr/>
            </w:pPr>
            <w:r>
              <w:rPr/>
              <w:t xml:space="preserve">  </w:t>
            </w:r>
          </w:p>
        </w:tc>
        <w:tc>
          <w:tcPr>
            <w:tcW w:w="130" w:type="dxa"/>
            <w:tcBorders/>
            <w:shd w:fill="CCEEFF" w:val="clear"/>
            <w:vAlign w:val="bottom"/>
          </w:tcPr>
          <w:p>
            <w:pPr>
              <w:pStyle w:val="TableContents"/>
              <w:bidi w:val="0"/>
              <w:spacing w:before="0" w:after="0"/>
              <w:ind w:left="0" w:right="0" w:hanging="0"/>
              <w:jc w:val="left"/>
              <w:rPr/>
            </w:pPr>
            <w:r>
              <w:rPr/>
              <w:t xml:space="preserve">  </w:t>
            </w:r>
          </w:p>
        </w:tc>
        <w:tc>
          <w:tcPr>
            <w:tcW w:w="199" w:type="dxa"/>
            <w:tcBorders/>
            <w:shd w:fill="CCEEFF" w:val="clear"/>
            <w:vAlign w:val="bottom"/>
          </w:tcPr>
          <w:p>
            <w:pPr>
              <w:pStyle w:val="TableContents"/>
              <w:bidi w:val="0"/>
              <w:spacing w:before="0" w:after="0"/>
              <w:ind w:left="0" w:right="0" w:hanging="0"/>
              <w:jc w:val="left"/>
              <w:rPr/>
            </w:pPr>
            <w:r>
              <w:rPr/>
              <w:t xml:space="preserve">  </w:t>
            </w:r>
          </w:p>
        </w:tc>
        <w:tc>
          <w:tcPr>
            <w:tcW w:w="1034" w:type="dxa"/>
            <w:tcBorders/>
            <w:shd w:fill="CCEEFF" w:val="clear"/>
            <w:vAlign w:val="bottom"/>
          </w:tcPr>
          <w:p>
            <w:pPr>
              <w:pStyle w:val="TableContents"/>
              <w:bidi w:val="0"/>
              <w:spacing w:before="0" w:after="0"/>
              <w:ind w:left="0" w:right="0" w:hanging="0"/>
              <w:jc w:val="right"/>
              <w:rPr/>
            </w:pPr>
            <w:r>
              <w:rPr/>
              <w:t>—</w:t>
            </w:r>
          </w:p>
        </w:tc>
        <w:tc>
          <w:tcPr>
            <w:tcW w:w="113" w:type="dxa"/>
            <w:tcBorders/>
            <w:shd w:fill="CCEEFF" w:val="clear"/>
            <w:vAlign w:val="bottom"/>
          </w:tcPr>
          <w:p>
            <w:pPr>
              <w:pStyle w:val="TableContents"/>
              <w:bidi w:val="0"/>
              <w:spacing w:before="0" w:after="0"/>
              <w:ind w:left="0" w:right="0" w:hanging="0"/>
              <w:jc w:val="left"/>
              <w:rPr/>
            </w:pPr>
            <w:r>
              <w:rPr/>
              <w:t xml:space="preserve">  </w:t>
            </w:r>
          </w:p>
        </w:tc>
        <w:tc>
          <w:tcPr>
            <w:tcW w:w="22" w:type="dxa"/>
            <w:tcBorders/>
            <w:shd w:fill="CCEEFF" w:val="clear"/>
            <w:vAlign w:val="bottom"/>
          </w:tcPr>
          <w:p>
            <w:pPr>
              <w:pStyle w:val="TableContents"/>
              <w:bidi w:val="0"/>
              <w:spacing w:before="0" w:after="283"/>
              <w:jc w:val="left"/>
              <w:rPr/>
            </w:pPr>
            <w:r>
              <w:rPr/>
            </w:r>
          </w:p>
        </w:tc>
        <w:tc>
          <w:tcPr>
            <w:tcW w:w="189" w:type="dxa"/>
            <w:tcBorders/>
            <w:shd w:fill="CCEEFF" w:val="clear"/>
            <w:vAlign w:val="bottom"/>
          </w:tcPr>
          <w:p>
            <w:pPr>
              <w:pStyle w:val="TableContents"/>
              <w:bidi w:val="0"/>
              <w:spacing w:before="0" w:after="283"/>
              <w:jc w:val="left"/>
              <w:rPr/>
            </w:pPr>
            <w:r>
              <w:rPr/>
            </w:r>
          </w:p>
        </w:tc>
        <w:tc>
          <w:tcPr>
            <w:tcW w:w="1329" w:type="dxa"/>
            <w:tcBorders/>
            <w:shd w:fill="CCEEFF" w:val="clear"/>
            <w:vAlign w:val="bottom"/>
          </w:tcPr>
          <w:p>
            <w:pPr>
              <w:pStyle w:val="TableContents"/>
              <w:bidi w:val="0"/>
              <w:spacing w:before="0" w:after="283"/>
              <w:jc w:val="right"/>
              <w:rPr/>
            </w:pPr>
            <w:r>
              <w:rPr/>
              <w:t>—</w:t>
            </w:r>
          </w:p>
        </w:tc>
        <w:tc>
          <w:tcPr>
            <w:tcW w:w="128" w:type="dxa"/>
            <w:tcBorders/>
            <w:shd w:fill="CCEEFF" w:val="clear"/>
            <w:vAlign w:val="bottom"/>
          </w:tcPr>
          <w:p>
            <w:pPr>
              <w:pStyle w:val="TableContents"/>
              <w:bidi w:val="0"/>
              <w:spacing w:before="0" w:after="283"/>
              <w:jc w:val="left"/>
              <w:rPr/>
            </w:pPr>
            <w:r>
              <w:rPr/>
            </w:r>
          </w:p>
        </w:tc>
        <w:tc>
          <w:tcPr>
            <w:tcW w:w="31" w:type="dxa"/>
            <w:tcBorders/>
            <w:shd w:fill="CCEEFF" w:val="clear"/>
            <w:vAlign w:val="bottom"/>
          </w:tcPr>
          <w:p>
            <w:pPr>
              <w:pStyle w:val="TableContents"/>
              <w:bidi w:val="0"/>
              <w:spacing w:before="0" w:after="283"/>
              <w:jc w:val="left"/>
              <w:rPr/>
            </w:pPr>
            <w:r>
              <w:rPr/>
            </w:r>
          </w:p>
        </w:tc>
        <w:tc>
          <w:tcPr>
            <w:tcW w:w="189" w:type="dxa"/>
            <w:tcBorders/>
            <w:shd w:fill="CCEEFF" w:val="clear"/>
            <w:vAlign w:val="bottom"/>
          </w:tcPr>
          <w:p>
            <w:pPr>
              <w:pStyle w:val="TableContents"/>
              <w:bidi w:val="0"/>
              <w:spacing w:before="0" w:after="283"/>
              <w:jc w:val="left"/>
              <w:rPr/>
            </w:pPr>
            <w:r>
              <w:rPr/>
            </w:r>
          </w:p>
        </w:tc>
        <w:tc>
          <w:tcPr>
            <w:tcW w:w="1329" w:type="dxa"/>
            <w:tcBorders/>
            <w:shd w:fill="CCEEFF" w:val="clear"/>
            <w:vAlign w:val="bottom"/>
          </w:tcPr>
          <w:p>
            <w:pPr>
              <w:pStyle w:val="TableContents"/>
              <w:bidi w:val="0"/>
              <w:spacing w:before="0" w:after="283"/>
              <w:jc w:val="right"/>
              <w:rPr/>
            </w:pPr>
            <w:r>
              <w:rPr/>
              <w:t>—</w:t>
            </w:r>
          </w:p>
        </w:tc>
        <w:tc>
          <w:tcPr>
            <w:tcW w:w="119" w:type="dxa"/>
            <w:tcBorders/>
            <w:shd w:fill="CCEEFF" w:val="clear"/>
            <w:vAlign w:val="center"/>
          </w:tcPr>
          <w:p>
            <w:pPr>
              <w:pStyle w:val="TableContents"/>
              <w:bidi w:val="0"/>
              <w:spacing w:before="0" w:after="283"/>
              <w:jc w:val="left"/>
              <w:rPr/>
            </w:pPr>
            <w:r>
              <w:rPr/>
            </w:r>
          </w:p>
        </w:tc>
      </w:tr>
      <w:tr>
        <w:trPr/>
        <w:tc>
          <w:tcPr>
            <w:tcW w:w="3874"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General and administrative </w:t>
            </w:r>
          </w:p>
        </w:tc>
        <w:tc>
          <w:tcPr>
            <w:tcW w:w="104" w:type="dxa"/>
            <w:tcBorders/>
            <w:vAlign w:val="bottom"/>
          </w:tcPr>
          <w:p>
            <w:pPr>
              <w:pStyle w:val="TableContents"/>
              <w:bidi w:val="0"/>
              <w:spacing w:before="0" w:after="0"/>
              <w:ind w:left="0" w:right="0" w:hanging="0"/>
              <w:jc w:val="left"/>
              <w:rPr/>
            </w:pPr>
            <w:r>
              <w:rPr/>
              <w:t xml:space="preserve">  </w:t>
            </w:r>
          </w:p>
        </w:tc>
        <w:tc>
          <w:tcPr>
            <w:tcW w:w="199" w:type="dxa"/>
            <w:tcBorders/>
            <w:vAlign w:val="bottom"/>
          </w:tcPr>
          <w:p>
            <w:pPr>
              <w:pStyle w:val="TableContents"/>
              <w:bidi w:val="0"/>
              <w:spacing w:before="0" w:after="0"/>
              <w:ind w:left="0" w:right="0" w:hanging="0"/>
              <w:jc w:val="left"/>
              <w:rPr/>
            </w:pPr>
            <w:r>
              <w:rPr/>
              <w:t xml:space="preserve">  </w:t>
            </w:r>
          </w:p>
        </w:tc>
        <w:tc>
          <w:tcPr>
            <w:tcW w:w="1077"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827 </w:t>
            </w:r>
          </w:p>
        </w:tc>
        <w:tc>
          <w:tcPr>
            <w:tcW w:w="139" w:type="dxa"/>
            <w:tcBorders/>
            <w:vAlign w:val="bottom"/>
          </w:tcPr>
          <w:p>
            <w:pPr>
              <w:pStyle w:val="TableContents"/>
              <w:bidi w:val="0"/>
              <w:spacing w:before="0" w:after="0"/>
              <w:ind w:left="0" w:right="0" w:hanging="0"/>
              <w:jc w:val="left"/>
              <w:rPr/>
            </w:pPr>
            <w:r>
              <w:rPr/>
              <w:t xml:space="preserve">  </w:t>
            </w:r>
          </w:p>
        </w:tc>
        <w:tc>
          <w:tcPr>
            <w:tcW w:w="130" w:type="dxa"/>
            <w:tcBorders/>
            <w:vAlign w:val="bottom"/>
          </w:tcPr>
          <w:p>
            <w:pPr>
              <w:pStyle w:val="TableContents"/>
              <w:bidi w:val="0"/>
              <w:spacing w:before="0" w:after="0"/>
              <w:ind w:left="0" w:right="0" w:hanging="0"/>
              <w:jc w:val="left"/>
              <w:rPr/>
            </w:pPr>
            <w:r>
              <w:rPr/>
              <w:t xml:space="preserve">  </w:t>
            </w:r>
          </w:p>
        </w:tc>
        <w:tc>
          <w:tcPr>
            <w:tcW w:w="199" w:type="dxa"/>
            <w:tcBorders/>
            <w:vAlign w:val="bottom"/>
          </w:tcPr>
          <w:p>
            <w:pPr>
              <w:pStyle w:val="TableContents"/>
              <w:bidi w:val="0"/>
              <w:spacing w:before="0" w:after="0"/>
              <w:ind w:left="0" w:right="0" w:hanging="0"/>
              <w:jc w:val="left"/>
              <w:rPr/>
            </w:pPr>
            <w:r>
              <w:rPr/>
              <w:t xml:space="preserve">  </w:t>
            </w:r>
          </w:p>
        </w:tc>
        <w:tc>
          <w:tcPr>
            <w:tcW w:w="1034"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815 </w:t>
            </w:r>
          </w:p>
        </w:tc>
        <w:tc>
          <w:tcPr>
            <w:tcW w:w="113" w:type="dxa"/>
            <w:tcBorders/>
            <w:vAlign w:val="bottom"/>
          </w:tcPr>
          <w:p>
            <w:pPr>
              <w:pStyle w:val="TableContents"/>
              <w:bidi w:val="0"/>
              <w:spacing w:before="0" w:after="0"/>
              <w:ind w:left="0" w:right="0" w:hanging="0"/>
              <w:jc w:val="left"/>
              <w:rPr/>
            </w:pPr>
            <w:r>
              <w:rPr/>
              <w:t xml:space="preserve">  </w:t>
            </w:r>
          </w:p>
        </w:tc>
        <w:tc>
          <w:tcPr>
            <w:tcW w:w="22" w:type="dxa"/>
            <w:tcBorders/>
            <w:vAlign w:val="bottom"/>
          </w:tcPr>
          <w:p>
            <w:pPr>
              <w:pStyle w:val="TableContents"/>
              <w:bidi w:val="0"/>
              <w:spacing w:before="0" w:after="283"/>
              <w:jc w:val="left"/>
              <w:rPr/>
            </w:pPr>
            <w:r>
              <w:rPr/>
            </w:r>
          </w:p>
        </w:tc>
        <w:tc>
          <w:tcPr>
            <w:tcW w:w="189" w:type="dxa"/>
            <w:tcBorders/>
            <w:vAlign w:val="bottom"/>
          </w:tcPr>
          <w:p>
            <w:pPr>
              <w:pStyle w:val="TableContents"/>
              <w:bidi w:val="0"/>
              <w:spacing w:before="0" w:after="283"/>
              <w:jc w:val="left"/>
              <w:rPr/>
            </w:pPr>
            <w:r>
              <w:rPr/>
            </w:r>
          </w:p>
        </w:tc>
        <w:tc>
          <w:tcPr>
            <w:tcW w:w="1329" w:type="dxa"/>
            <w:tcBorders/>
            <w:vAlign w:val="bottom"/>
          </w:tcPr>
          <w:p>
            <w:pPr>
              <w:pStyle w:val="TableContents"/>
              <w:bidi w:val="0"/>
              <w:spacing w:before="0" w:after="283"/>
              <w:jc w:val="right"/>
              <w:rPr/>
            </w:pPr>
            <w:r>
              <w:rPr/>
              <w:t>3,180</w:t>
            </w:r>
          </w:p>
        </w:tc>
        <w:tc>
          <w:tcPr>
            <w:tcW w:w="128" w:type="dxa"/>
            <w:tcBorders/>
            <w:vAlign w:val="bottom"/>
          </w:tcPr>
          <w:p>
            <w:pPr>
              <w:pStyle w:val="TableContents"/>
              <w:bidi w:val="0"/>
              <w:spacing w:before="0" w:after="283"/>
              <w:jc w:val="left"/>
              <w:rPr/>
            </w:pPr>
            <w:r>
              <w:rPr/>
            </w:r>
          </w:p>
        </w:tc>
        <w:tc>
          <w:tcPr>
            <w:tcW w:w="31" w:type="dxa"/>
            <w:tcBorders/>
            <w:vAlign w:val="bottom"/>
          </w:tcPr>
          <w:p>
            <w:pPr>
              <w:pStyle w:val="TableContents"/>
              <w:bidi w:val="0"/>
              <w:spacing w:before="0" w:after="283"/>
              <w:jc w:val="left"/>
              <w:rPr/>
            </w:pPr>
            <w:r>
              <w:rPr/>
            </w:r>
          </w:p>
        </w:tc>
        <w:tc>
          <w:tcPr>
            <w:tcW w:w="189" w:type="dxa"/>
            <w:tcBorders/>
            <w:vAlign w:val="bottom"/>
          </w:tcPr>
          <w:p>
            <w:pPr>
              <w:pStyle w:val="TableContents"/>
              <w:bidi w:val="0"/>
              <w:spacing w:before="0" w:after="283"/>
              <w:jc w:val="left"/>
              <w:rPr/>
            </w:pPr>
            <w:r>
              <w:rPr/>
            </w:r>
          </w:p>
        </w:tc>
        <w:tc>
          <w:tcPr>
            <w:tcW w:w="1329" w:type="dxa"/>
            <w:tcBorders/>
            <w:vAlign w:val="bottom"/>
          </w:tcPr>
          <w:p>
            <w:pPr>
              <w:pStyle w:val="TableContents"/>
              <w:bidi w:val="0"/>
              <w:spacing w:before="0" w:after="283"/>
              <w:jc w:val="right"/>
              <w:rPr/>
            </w:pPr>
            <w:r>
              <w:rPr/>
              <w:t>2,416</w:t>
            </w:r>
          </w:p>
        </w:tc>
        <w:tc>
          <w:tcPr>
            <w:tcW w:w="119" w:type="dxa"/>
            <w:tcBorders/>
            <w:vAlign w:val="center"/>
          </w:tcPr>
          <w:p>
            <w:pPr>
              <w:pStyle w:val="TableContents"/>
              <w:bidi w:val="0"/>
              <w:spacing w:before="0" w:after="283"/>
              <w:jc w:val="left"/>
              <w:rPr/>
            </w:pPr>
            <w:r>
              <w:rPr/>
            </w:r>
          </w:p>
        </w:tc>
      </w:tr>
      <w:tr>
        <w:trPr/>
        <w:tc>
          <w:tcPr>
            <w:tcW w:w="3874"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Total operating expenses </w:t>
            </w:r>
          </w:p>
        </w:tc>
        <w:tc>
          <w:tcPr>
            <w:tcW w:w="104" w:type="dxa"/>
            <w:tcBorders/>
            <w:shd w:fill="CCEEFF" w:val="clear"/>
            <w:vAlign w:val="bottom"/>
          </w:tcPr>
          <w:p>
            <w:pPr>
              <w:pStyle w:val="TableContents"/>
              <w:bidi w:val="0"/>
              <w:spacing w:before="0" w:after="0"/>
              <w:ind w:left="0" w:right="0" w:hanging="0"/>
              <w:jc w:val="left"/>
              <w:rPr/>
            </w:pPr>
            <w:r>
              <w:rPr/>
              <w:t xml:space="preserve">  </w:t>
            </w:r>
          </w:p>
        </w:tc>
        <w:tc>
          <w:tcPr>
            <w:tcW w:w="199" w:type="dxa"/>
            <w:tcBorders/>
            <w:shd w:fill="CCEEFF" w:val="clear"/>
            <w:vAlign w:val="bottom"/>
          </w:tcPr>
          <w:p>
            <w:pPr>
              <w:pStyle w:val="TableContents"/>
              <w:bidi w:val="0"/>
              <w:spacing w:before="0" w:after="0"/>
              <w:ind w:left="0" w:right="0" w:hanging="0"/>
              <w:jc w:val="left"/>
              <w:rPr/>
            </w:pPr>
            <w:r>
              <w:rPr/>
              <w:t xml:space="preserve">  </w:t>
            </w:r>
          </w:p>
        </w:tc>
        <w:tc>
          <w:tcPr>
            <w:tcW w:w="1077" w:type="dxa"/>
            <w:tcBorders/>
            <w:shd w:fill="CCEEFF" w:val="clear"/>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827 </w:t>
            </w:r>
          </w:p>
        </w:tc>
        <w:tc>
          <w:tcPr>
            <w:tcW w:w="139" w:type="dxa"/>
            <w:tcBorders/>
            <w:shd w:fill="CCEEFF" w:val="clear"/>
            <w:vAlign w:val="bottom"/>
          </w:tcPr>
          <w:p>
            <w:pPr>
              <w:pStyle w:val="TableContents"/>
              <w:bidi w:val="0"/>
              <w:spacing w:before="0" w:after="0"/>
              <w:ind w:left="0" w:right="0" w:hanging="0"/>
              <w:jc w:val="left"/>
              <w:rPr/>
            </w:pPr>
            <w:r>
              <w:rPr/>
              <w:t xml:space="preserve">  </w:t>
            </w:r>
          </w:p>
        </w:tc>
        <w:tc>
          <w:tcPr>
            <w:tcW w:w="130" w:type="dxa"/>
            <w:tcBorders/>
            <w:shd w:fill="CCEEFF" w:val="clear"/>
            <w:vAlign w:val="bottom"/>
          </w:tcPr>
          <w:p>
            <w:pPr>
              <w:pStyle w:val="TableContents"/>
              <w:bidi w:val="0"/>
              <w:spacing w:before="0" w:after="0"/>
              <w:ind w:left="0" w:right="0" w:hanging="0"/>
              <w:jc w:val="left"/>
              <w:rPr/>
            </w:pPr>
            <w:r>
              <w:rPr/>
              <w:t xml:space="preserve">  </w:t>
            </w:r>
          </w:p>
        </w:tc>
        <w:tc>
          <w:tcPr>
            <w:tcW w:w="199" w:type="dxa"/>
            <w:tcBorders/>
            <w:shd w:fill="CCEEFF" w:val="clear"/>
            <w:vAlign w:val="bottom"/>
          </w:tcPr>
          <w:p>
            <w:pPr>
              <w:pStyle w:val="TableContents"/>
              <w:bidi w:val="0"/>
              <w:spacing w:before="0" w:after="0"/>
              <w:ind w:left="0" w:right="0" w:hanging="0"/>
              <w:jc w:val="left"/>
              <w:rPr/>
            </w:pPr>
            <w:r>
              <w:rPr/>
              <w:t xml:space="preserve">  </w:t>
            </w:r>
          </w:p>
        </w:tc>
        <w:tc>
          <w:tcPr>
            <w:tcW w:w="1034" w:type="dxa"/>
            <w:tcBorders/>
            <w:shd w:fill="CCEEFF" w:val="clear"/>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815 </w:t>
            </w:r>
          </w:p>
        </w:tc>
        <w:tc>
          <w:tcPr>
            <w:tcW w:w="113" w:type="dxa"/>
            <w:tcBorders/>
            <w:shd w:fill="CCEEFF" w:val="clear"/>
            <w:vAlign w:val="bottom"/>
          </w:tcPr>
          <w:p>
            <w:pPr>
              <w:pStyle w:val="TableContents"/>
              <w:bidi w:val="0"/>
              <w:spacing w:before="0" w:after="0"/>
              <w:ind w:left="0" w:right="0" w:hanging="0"/>
              <w:jc w:val="left"/>
              <w:rPr/>
            </w:pPr>
            <w:r>
              <w:rPr/>
              <w:t xml:space="preserve">  </w:t>
            </w:r>
          </w:p>
        </w:tc>
        <w:tc>
          <w:tcPr>
            <w:tcW w:w="22" w:type="dxa"/>
            <w:tcBorders/>
            <w:shd w:fill="CCEEFF" w:val="clear"/>
            <w:vAlign w:val="bottom"/>
          </w:tcPr>
          <w:p>
            <w:pPr>
              <w:pStyle w:val="TableContents"/>
              <w:bidi w:val="0"/>
              <w:spacing w:before="0" w:after="283"/>
              <w:jc w:val="left"/>
              <w:rPr/>
            </w:pPr>
            <w:r>
              <w:rPr/>
            </w:r>
          </w:p>
        </w:tc>
        <w:tc>
          <w:tcPr>
            <w:tcW w:w="189" w:type="dxa"/>
            <w:tcBorders/>
            <w:shd w:fill="CCEEFF" w:val="clear"/>
            <w:vAlign w:val="bottom"/>
          </w:tcPr>
          <w:p>
            <w:pPr>
              <w:pStyle w:val="TableContents"/>
              <w:bidi w:val="0"/>
              <w:spacing w:before="0" w:after="283"/>
              <w:jc w:val="left"/>
              <w:rPr/>
            </w:pPr>
            <w:r>
              <w:rPr/>
            </w:r>
          </w:p>
        </w:tc>
        <w:tc>
          <w:tcPr>
            <w:tcW w:w="1329" w:type="dxa"/>
            <w:tcBorders/>
            <w:shd w:fill="CCEEFF" w:val="clear"/>
            <w:vAlign w:val="bottom"/>
          </w:tcPr>
          <w:p>
            <w:pPr>
              <w:pStyle w:val="TableContents"/>
              <w:bidi w:val="0"/>
              <w:spacing w:before="0" w:after="283"/>
              <w:jc w:val="right"/>
              <w:rPr/>
            </w:pPr>
            <w:r>
              <w:rPr/>
              <w:t>3,180</w:t>
            </w:r>
          </w:p>
        </w:tc>
        <w:tc>
          <w:tcPr>
            <w:tcW w:w="128" w:type="dxa"/>
            <w:tcBorders/>
            <w:shd w:fill="CCEEFF" w:val="clear"/>
            <w:vAlign w:val="bottom"/>
          </w:tcPr>
          <w:p>
            <w:pPr>
              <w:pStyle w:val="TableContents"/>
              <w:bidi w:val="0"/>
              <w:spacing w:before="0" w:after="283"/>
              <w:jc w:val="left"/>
              <w:rPr/>
            </w:pPr>
            <w:r>
              <w:rPr/>
            </w:r>
          </w:p>
        </w:tc>
        <w:tc>
          <w:tcPr>
            <w:tcW w:w="31" w:type="dxa"/>
            <w:tcBorders/>
            <w:shd w:fill="CCEEFF" w:val="clear"/>
            <w:vAlign w:val="bottom"/>
          </w:tcPr>
          <w:p>
            <w:pPr>
              <w:pStyle w:val="TableContents"/>
              <w:bidi w:val="0"/>
              <w:spacing w:before="0" w:after="283"/>
              <w:jc w:val="left"/>
              <w:rPr/>
            </w:pPr>
            <w:r>
              <w:rPr/>
            </w:r>
          </w:p>
        </w:tc>
        <w:tc>
          <w:tcPr>
            <w:tcW w:w="189" w:type="dxa"/>
            <w:tcBorders/>
            <w:shd w:fill="CCEEFF" w:val="clear"/>
            <w:vAlign w:val="bottom"/>
          </w:tcPr>
          <w:p>
            <w:pPr>
              <w:pStyle w:val="TableContents"/>
              <w:bidi w:val="0"/>
              <w:spacing w:before="0" w:after="283"/>
              <w:jc w:val="left"/>
              <w:rPr/>
            </w:pPr>
            <w:r>
              <w:rPr/>
            </w:r>
          </w:p>
        </w:tc>
        <w:tc>
          <w:tcPr>
            <w:tcW w:w="1329" w:type="dxa"/>
            <w:tcBorders/>
            <w:shd w:fill="CCEEFF" w:val="clear"/>
            <w:vAlign w:val="bottom"/>
          </w:tcPr>
          <w:p>
            <w:pPr>
              <w:pStyle w:val="TableContents"/>
              <w:bidi w:val="0"/>
              <w:spacing w:before="0" w:after="283"/>
              <w:jc w:val="right"/>
              <w:rPr/>
            </w:pPr>
            <w:r>
              <w:rPr/>
              <w:t>2,416</w:t>
            </w:r>
          </w:p>
        </w:tc>
        <w:tc>
          <w:tcPr>
            <w:tcW w:w="119" w:type="dxa"/>
            <w:tcBorders/>
            <w:shd w:fill="CCEEFF" w:val="clear"/>
            <w:vAlign w:val="center"/>
          </w:tcPr>
          <w:p>
            <w:pPr>
              <w:pStyle w:val="TableContents"/>
              <w:bidi w:val="0"/>
              <w:spacing w:before="0" w:after="283"/>
              <w:jc w:val="left"/>
              <w:rPr/>
            </w:pPr>
            <w:r>
              <w:rPr/>
            </w:r>
          </w:p>
        </w:tc>
      </w:tr>
      <w:tr>
        <w:trPr/>
        <w:tc>
          <w:tcPr>
            <w:tcW w:w="3874" w:type="dxa"/>
            <w:tcBorders/>
            <w:vAlign w:val="bottom"/>
          </w:tcPr>
          <w:p>
            <w:pPr>
              <w:pStyle w:val="TableContents"/>
              <w:bidi w:val="0"/>
              <w:spacing w:before="0" w:after="0"/>
              <w:ind w:left="0" w:right="0" w:hanging="0"/>
              <w:jc w:val="left"/>
              <w:rPr/>
            </w:pPr>
            <w:r>
              <w:rPr/>
              <w:t xml:space="preserve">  </w:t>
            </w:r>
          </w:p>
        </w:tc>
        <w:tc>
          <w:tcPr>
            <w:tcW w:w="104" w:type="dxa"/>
            <w:tcBorders/>
            <w:vAlign w:val="bottom"/>
          </w:tcPr>
          <w:p>
            <w:pPr>
              <w:pStyle w:val="TableContents"/>
              <w:bidi w:val="0"/>
              <w:spacing w:before="0" w:after="0"/>
              <w:ind w:left="0" w:right="0" w:hanging="0"/>
              <w:jc w:val="left"/>
              <w:rPr/>
            </w:pPr>
            <w:r>
              <w:rPr/>
              <w:t xml:space="preserve">  </w:t>
            </w:r>
          </w:p>
        </w:tc>
        <w:tc>
          <w:tcPr>
            <w:tcW w:w="199" w:type="dxa"/>
            <w:tcBorders/>
            <w:vAlign w:val="bottom"/>
          </w:tcPr>
          <w:p>
            <w:pPr>
              <w:pStyle w:val="TableContents"/>
              <w:bidi w:val="0"/>
              <w:spacing w:before="0" w:after="0"/>
              <w:ind w:left="0" w:right="0" w:hanging="0"/>
              <w:jc w:val="left"/>
              <w:rPr/>
            </w:pPr>
            <w:r>
              <w:rPr/>
              <w:t xml:space="preserve">  </w:t>
            </w:r>
          </w:p>
        </w:tc>
        <w:tc>
          <w:tcPr>
            <w:tcW w:w="1077" w:type="dxa"/>
            <w:tcBorders/>
            <w:vAlign w:val="bottom"/>
          </w:tcPr>
          <w:p>
            <w:pPr>
              <w:pStyle w:val="TableContents"/>
              <w:bidi w:val="0"/>
              <w:spacing w:before="0" w:after="0"/>
              <w:ind w:left="0" w:right="0" w:hanging="0"/>
              <w:jc w:val="left"/>
              <w:rPr/>
            </w:pPr>
            <w:r>
              <w:rPr/>
              <w:t xml:space="preserve">  </w:t>
            </w:r>
          </w:p>
        </w:tc>
        <w:tc>
          <w:tcPr>
            <w:tcW w:w="139" w:type="dxa"/>
            <w:tcBorders/>
            <w:vAlign w:val="bottom"/>
          </w:tcPr>
          <w:p>
            <w:pPr>
              <w:pStyle w:val="TableContents"/>
              <w:bidi w:val="0"/>
              <w:spacing w:before="0" w:after="0"/>
              <w:ind w:left="0" w:right="0" w:hanging="0"/>
              <w:jc w:val="left"/>
              <w:rPr/>
            </w:pPr>
            <w:r>
              <w:rPr/>
              <w:t xml:space="preserve">  </w:t>
            </w:r>
          </w:p>
        </w:tc>
        <w:tc>
          <w:tcPr>
            <w:tcW w:w="130" w:type="dxa"/>
            <w:tcBorders/>
            <w:vAlign w:val="bottom"/>
          </w:tcPr>
          <w:p>
            <w:pPr>
              <w:pStyle w:val="TableContents"/>
              <w:bidi w:val="0"/>
              <w:spacing w:before="0" w:after="0"/>
              <w:ind w:left="0" w:right="0" w:hanging="0"/>
              <w:jc w:val="left"/>
              <w:rPr/>
            </w:pPr>
            <w:r>
              <w:rPr/>
              <w:t xml:space="preserve">  </w:t>
            </w:r>
          </w:p>
        </w:tc>
        <w:tc>
          <w:tcPr>
            <w:tcW w:w="199" w:type="dxa"/>
            <w:tcBorders/>
            <w:vAlign w:val="bottom"/>
          </w:tcPr>
          <w:p>
            <w:pPr>
              <w:pStyle w:val="TableContents"/>
              <w:bidi w:val="0"/>
              <w:spacing w:before="0" w:after="0"/>
              <w:ind w:left="0" w:right="0" w:hanging="0"/>
              <w:jc w:val="left"/>
              <w:rPr/>
            </w:pPr>
            <w:r>
              <w:rPr/>
              <w:t xml:space="preserve">  </w:t>
            </w:r>
          </w:p>
        </w:tc>
        <w:tc>
          <w:tcPr>
            <w:tcW w:w="1034" w:type="dxa"/>
            <w:tcBorders/>
            <w:vAlign w:val="bottom"/>
          </w:tcPr>
          <w:p>
            <w:pPr>
              <w:pStyle w:val="TableContents"/>
              <w:bidi w:val="0"/>
              <w:spacing w:before="0" w:after="0"/>
              <w:ind w:left="0" w:right="0" w:hanging="0"/>
              <w:jc w:val="left"/>
              <w:rPr/>
            </w:pPr>
            <w:r>
              <w:rPr/>
              <w:t xml:space="preserve">  </w:t>
            </w:r>
          </w:p>
        </w:tc>
        <w:tc>
          <w:tcPr>
            <w:tcW w:w="113" w:type="dxa"/>
            <w:tcBorders/>
            <w:vAlign w:val="bottom"/>
          </w:tcPr>
          <w:p>
            <w:pPr>
              <w:pStyle w:val="TableContents"/>
              <w:bidi w:val="0"/>
              <w:spacing w:before="0" w:after="0"/>
              <w:ind w:left="0" w:right="0" w:hanging="0"/>
              <w:jc w:val="left"/>
              <w:rPr/>
            </w:pPr>
            <w:r>
              <w:rPr/>
              <w:t xml:space="preserve">  </w:t>
            </w:r>
          </w:p>
        </w:tc>
        <w:tc>
          <w:tcPr>
            <w:tcW w:w="22" w:type="dxa"/>
            <w:tcBorders/>
            <w:vAlign w:val="bottom"/>
          </w:tcPr>
          <w:p>
            <w:pPr>
              <w:pStyle w:val="TableContents"/>
              <w:bidi w:val="0"/>
              <w:spacing w:before="0" w:after="283"/>
              <w:jc w:val="left"/>
              <w:rPr/>
            </w:pPr>
            <w:r>
              <w:rPr/>
            </w:r>
          </w:p>
        </w:tc>
        <w:tc>
          <w:tcPr>
            <w:tcW w:w="189" w:type="dxa"/>
            <w:tcBorders/>
            <w:vAlign w:val="bottom"/>
          </w:tcPr>
          <w:p>
            <w:pPr>
              <w:pStyle w:val="TableContents"/>
              <w:bidi w:val="0"/>
              <w:spacing w:before="0" w:after="283"/>
              <w:jc w:val="left"/>
              <w:rPr/>
            </w:pPr>
            <w:r>
              <w:rPr/>
            </w:r>
          </w:p>
        </w:tc>
        <w:tc>
          <w:tcPr>
            <w:tcW w:w="1329" w:type="dxa"/>
            <w:tcBorders/>
            <w:vAlign w:val="bottom"/>
          </w:tcPr>
          <w:p>
            <w:pPr>
              <w:pStyle w:val="TableContents"/>
              <w:bidi w:val="0"/>
              <w:spacing w:before="0" w:after="283"/>
              <w:jc w:val="left"/>
              <w:rPr/>
            </w:pPr>
            <w:r>
              <w:rPr/>
            </w:r>
          </w:p>
        </w:tc>
        <w:tc>
          <w:tcPr>
            <w:tcW w:w="128" w:type="dxa"/>
            <w:tcBorders/>
            <w:vAlign w:val="bottom"/>
          </w:tcPr>
          <w:p>
            <w:pPr>
              <w:pStyle w:val="TableContents"/>
              <w:bidi w:val="0"/>
              <w:spacing w:before="0" w:after="283"/>
              <w:jc w:val="left"/>
              <w:rPr/>
            </w:pPr>
            <w:r>
              <w:rPr/>
            </w:r>
          </w:p>
        </w:tc>
        <w:tc>
          <w:tcPr>
            <w:tcW w:w="31" w:type="dxa"/>
            <w:tcBorders/>
            <w:vAlign w:val="bottom"/>
          </w:tcPr>
          <w:p>
            <w:pPr>
              <w:pStyle w:val="TableContents"/>
              <w:bidi w:val="0"/>
              <w:spacing w:before="0" w:after="283"/>
              <w:jc w:val="left"/>
              <w:rPr/>
            </w:pPr>
            <w:r>
              <w:rPr/>
            </w:r>
          </w:p>
        </w:tc>
        <w:tc>
          <w:tcPr>
            <w:tcW w:w="189" w:type="dxa"/>
            <w:tcBorders/>
            <w:vAlign w:val="bottom"/>
          </w:tcPr>
          <w:p>
            <w:pPr>
              <w:pStyle w:val="TableContents"/>
              <w:bidi w:val="0"/>
              <w:spacing w:before="0" w:after="283"/>
              <w:jc w:val="left"/>
              <w:rPr/>
            </w:pPr>
            <w:r>
              <w:rPr/>
            </w:r>
          </w:p>
        </w:tc>
        <w:tc>
          <w:tcPr>
            <w:tcW w:w="1329" w:type="dxa"/>
            <w:tcBorders/>
            <w:vAlign w:val="bottom"/>
          </w:tcPr>
          <w:p>
            <w:pPr>
              <w:pStyle w:val="TableContents"/>
              <w:bidi w:val="0"/>
              <w:spacing w:before="0" w:after="283"/>
              <w:jc w:val="left"/>
              <w:rPr/>
            </w:pPr>
            <w:r>
              <w:rPr/>
            </w:r>
          </w:p>
        </w:tc>
        <w:tc>
          <w:tcPr>
            <w:tcW w:w="119" w:type="dxa"/>
            <w:tcBorders/>
            <w:vAlign w:val="center"/>
          </w:tcPr>
          <w:p>
            <w:pPr>
              <w:pStyle w:val="TableContents"/>
              <w:bidi w:val="0"/>
              <w:spacing w:before="0" w:after="283"/>
              <w:jc w:val="left"/>
              <w:rPr/>
            </w:pPr>
            <w:r>
              <w:rPr/>
            </w:r>
          </w:p>
        </w:tc>
      </w:tr>
      <w:tr>
        <w:trPr/>
        <w:tc>
          <w:tcPr>
            <w:tcW w:w="3874"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Operating loss </w:t>
            </w:r>
          </w:p>
        </w:tc>
        <w:tc>
          <w:tcPr>
            <w:tcW w:w="104" w:type="dxa"/>
            <w:tcBorders/>
            <w:shd w:fill="CCEEFF" w:val="clear"/>
            <w:vAlign w:val="bottom"/>
          </w:tcPr>
          <w:p>
            <w:pPr>
              <w:pStyle w:val="TableContents"/>
              <w:bidi w:val="0"/>
              <w:spacing w:before="0" w:after="0"/>
              <w:ind w:left="0" w:right="0" w:hanging="0"/>
              <w:jc w:val="left"/>
              <w:rPr/>
            </w:pPr>
            <w:r>
              <w:rPr/>
              <w:t xml:space="preserve">  </w:t>
            </w:r>
          </w:p>
        </w:tc>
        <w:tc>
          <w:tcPr>
            <w:tcW w:w="199" w:type="dxa"/>
            <w:tcBorders/>
            <w:shd w:fill="CCEEFF" w:val="clear"/>
            <w:vAlign w:val="bottom"/>
          </w:tcPr>
          <w:p>
            <w:pPr>
              <w:pStyle w:val="TableContents"/>
              <w:bidi w:val="0"/>
              <w:spacing w:before="0" w:after="0"/>
              <w:ind w:left="0" w:right="0" w:hanging="0"/>
              <w:jc w:val="left"/>
              <w:rPr/>
            </w:pPr>
            <w:r>
              <w:rPr/>
              <w:t xml:space="preserve">  </w:t>
            </w:r>
          </w:p>
        </w:tc>
        <w:tc>
          <w:tcPr>
            <w:tcW w:w="1077" w:type="dxa"/>
            <w:tcBorders/>
            <w:shd w:fill="CCEEFF" w:val="clear"/>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(854</w:t>
            </w:r>
          </w:p>
        </w:tc>
        <w:tc>
          <w:tcPr>
            <w:tcW w:w="139" w:type="dxa"/>
            <w:tcBorders/>
            <w:shd w:fill="CCEEFF" w:val="clear"/>
            <w:vAlign w:val="bottom"/>
          </w:tcPr>
          <w:p>
            <w:pPr>
              <w:pStyle w:val="TableContents"/>
              <w:bidi w:val="0"/>
              <w:spacing w:before="0" w:after="283"/>
              <w:jc w:val="left"/>
              <w:rPr/>
            </w:pPr>
            <w:r>
              <w:rPr/>
              <w:t>)</w:t>
            </w:r>
          </w:p>
        </w:tc>
        <w:tc>
          <w:tcPr>
            <w:tcW w:w="130" w:type="dxa"/>
            <w:tcBorders/>
            <w:shd w:fill="CCEEFF" w:val="clear"/>
            <w:vAlign w:val="bottom"/>
          </w:tcPr>
          <w:p>
            <w:pPr>
              <w:pStyle w:val="TableContents"/>
              <w:bidi w:val="0"/>
              <w:spacing w:before="0" w:after="0"/>
              <w:ind w:left="0" w:right="0" w:hanging="0"/>
              <w:jc w:val="left"/>
              <w:rPr/>
            </w:pPr>
            <w:r>
              <w:rPr/>
              <w:t xml:space="preserve">  </w:t>
            </w:r>
          </w:p>
        </w:tc>
        <w:tc>
          <w:tcPr>
            <w:tcW w:w="199" w:type="dxa"/>
            <w:tcBorders/>
            <w:shd w:fill="CCEEFF" w:val="clear"/>
            <w:vAlign w:val="bottom"/>
          </w:tcPr>
          <w:p>
            <w:pPr>
              <w:pStyle w:val="TableContents"/>
              <w:bidi w:val="0"/>
              <w:spacing w:before="0" w:after="0"/>
              <w:ind w:left="0" w:right="0" w:hanging="0"/>
              <w:jc w:val="left"/>
              <w:rPr/>
            </w:pPr>
            <w:r>
              <w:rPr/>
              <w:t xml:space="preserve">  </w:t>
            </w:r>
          </w:p>
        </w:tc>
        <w:tc>
          <w:tcPr>
            <w:tcW w:w="1034" w:type="dxa"/>
            <w:tcBorders/>
            <w:shd w:fill="CCEEFF" w:val="clear"/>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(842</w:t>
            </w:r>
          </w:p>
        </w:tc>
        <w:tc>
          <w:tcPr>
            <w:tcW w:w="113" w:type="dxa"/>
            <w:tcBorders/>
            <w:shd w:fill="CCEEFF" w:val="clear"/>
            <w:vAlign w:val="bottom"/>
          </w:tcPr>
          <w:p>
            <w:pPr>
              <w:pStyle w:val="TableContents"/>
              <w:bidi w:val="0"/>
              <w:spacing w:before="0" w:after="283"/>
              <w:jc w:val="left"/>
              <w:rPr/>
            </w:pPr>
            <w:r>
              <w:rPr/>
              <w:t>)</w:t>
            </w:r>
          </w:p>
        </w:tc>
        <w:tc>
          <w:tcPr>
            <w:tcW w:w="22" w:type="dxa"/>
            <w:tcBorders/>
            <w:shd w:fill="CCEEFF" w:val="clear"/>
            <w:vAlign w:val="bottom"/>
          </w:tcPr>
          <w:p>
            <w:pPr>
              <w:pStyle w:val="TableContents"/>
              <w:bidi w:val="0"/>
              <w:spacing w:before="0" w:after="283"/>
              <w:jc w:val="left"/>
              <w:rPr/>
            </w:pPr>
            <w:r>
              <w:rPr/>
            </w:r>
          </w:p>
        </w:tc>
        <w:tc>
          <w:tcPr>
            <w:tcW w:w="189" w:type="dxa"/>
            <w:tcBorders/>
            <w:shd w:fill="CCEEFF" w:val="clear"/>
            <w:vAlign w:val="bottom"/>
          </w:tcPr>
          <w:p>
            <w:pPr>
              <w:pStyle w:val="TableContents"/>
              <w:bidi w:val="0"/>
              <w:spacing w:before="0" w:after="283"/>
              <w:jc w:val="left"/>
              <w:rPr/>
            </w:pPr>
            <w:r>
              <w:rPr/>
            </w:r>
          </w:p>
        </w:tc>
        <w:tc>
          <w:tcPr>
            <w:tcW w:w="1329" w:type="dxa"/>
            <w:tcBorders/>
            <w:shd w:fill="CCEEFF" w:val="clear"/>
            <w:vAlign w:val="bottom"/>
          </w:tcPr>
          <w:p>
            <w:pPr>
              <w:pStyle w:val="TableContents"/>
              <w:bidi w:val="0"/>
              <w:spacing w:before="0" w:after="283"/>
              <w:jc w:val="right"/>
              <w:rPr/>
            </w:pPr>
            <w:r>
              <w:rPr/>
              <w:t>(3,260</w:t>
            </w:r>
          </w:p>
        </w:tc>
        <w:tc>
          <w:tcPr>
            <w:tcW w:w="128" w:type="dxa"/>
            <w:tcBorders/>
            <w:shd w:fill="CCEEFF" w:val="clear"/>
            <w:vAlign w:val="bottom"/>
          </w:tcPr>
          <w:p>
            <w:pPr>
              <w:pStyle w:val="TableContents"/>
              <w:bidi w:val="0"/>
              <w:spacing w:before="0" w:after="283"/>
              <w:jc w:val="left"/>
              <w:rPr/>
            </w:pPr>
            <w:r>
              <w:rPr/>
              <w:t>)</w:t>
            </w:r>
          </w:p>
        </w:tc>
        <w:tc>
          <w:tcPr>
            <w:tcW w:w="31" w:type="dxa"/>
            <w:tcBorders/>
            <w:shd w:fill="CCEEFF" w:val="clear"/>
            <w:vAlign w:val="bottom"/>
          </w:tcPr>
          <w:p>
            <w:pPr>
              <w:pStyle w:val="TableContents"/>
              <w:bidi w:val="0"/>
              <w:spacing w:before="0" w:after="283"/>
              <w:jc w:val="left"/>
              <w:rPr/>
            </w:pPr>
            <w:r>
              <w:rPr/>
            </w:r>
          </w:p>
        </w:tc>
        <w:tc>
          <w:tcPr>
            <w:tcW w:w="189" w:type="dxa"/>
            <w:tcBorders/>
            <w:shd w:fill="CCEEFF" w:val="clear"/>
            <w:vAlign w:val="bottom"/>
          </w:tcPr>
          <w:p>
            <w:pPr>
              <w:pStyle w:val="TableContents"/>
              <w:bidi w:val="0"/>
              <w:spacing w:before="0" w:after="283"/>
              <w:jc w:val="left"/>
              <w:rPr/>
            </w:pPr>
            <w:r>
              <w:rPr/>
            </w:r>
          </w:p>
        </w:tc>
        <w:tc>
          <w:tcPr>
            <w:tcW w:w="1329" w:type="dxa"/>
            <w:tcBorders/>
            <w:shd w:fill="CCEEFF" w:val="clear"/>
            <w:vAlign w:val="bottom"/>
          </w:tcPr>
          <w:p>
            <w:pPr>
              <w:pStyle w:val="TableContents"/>
              <w:bidi w:val="0"/>
              <w:spacing w:before="0" w:after="283"/>
              <w:jc w:val="right"/>
              <w:rPr/>
            </w:pPr>
            <w:r>
              <w:rPr/>
              <w:t>(2,496</w:t>
            </w:r>
          </w:p>
        </w:tc>
        <w:tc>
          <w:tcPr>
            <w:tcW w:w="119" w:type="dxa"/>
            <w:tcBorders/>
            <w:shd w:fill="CCEEFF" w:val="clear"/>
            <w:vAlign w:val="center"/>
          </w:tcPr>
          <w:p>
            <w:pPr>
              <w:pStyle w:val="TableContents"/>
              <w:bidi w:val="0"/>
              <w:spacing w:before="0" w:after="283"/>
              <w:jc w:val="left"/>
              <w:rPr/>
            </w:pPr>
            <w:r>
              <w:rPr/>
              <w:t>)</w:t>
            </w:r>
          </w:p>
        </w:tc>
      </w:tr>
      <w:tr>
        <w:trPr/>
        <w:tc>
          <w:tcPr>
            <w:tcW w:w="3874" w:type="dxa"/>
            <w:tcBorders/>
            <w:vAlign w:val="bottom"/>
          </w:tcPr>
          <w:p>
            <w:pPr>
              <w:pStyle w:val="TableContents"/>
              <w:bidi w:val="0"/>
              <w:spacing w:before="0" w:after="0"/>
              <w:ind w:left="0" w:right="0" w:hanging="0"/>
              <w:jc w:val="left"/>
              <w:rPr/>
            </w:pPr>
            <w:r>
              <w:rPr/>
              <w:t xml:space="preserve">  </w:t>
            </w:r>
          </w:p>
        </w:tc>
        <w:tc>
          <w:tcPr>
            <w:tcW w:w="104" w:type="dxa"/>
            <w:tcBorders/>
            <w:vAlign w:val="bottom"/>
          </w:tcPr>
          <w:p>
            <w:pPr>
              <w:pStyle w:val="TableContents"/>
              <w:bidi w:val="0"/>
              <w:spacing w:before="0" w:after="0"/>
              <w:ind w:left="0" w:right="0" w:hanging="0"/>
              <w:jc w:val="left"/>
              <w:rPr/>
            </w:pPr>
            <w:r>
              <w:rPr/>
              <w:t xml:space="preserve">  </w:t>
            </w:r>
          </w:p>
        </w:tc>
        <w:tc>
          <w:tcPr>
            <w:tcW w:w="199" w:type="dxa"/>
            <w:tcBorders/>
            <w:vAlign w:val="bottom"/>
          </w:tcPr>
          <w:p>
            <w:pPr>
              <w:pStyle w:val="TableContents"/>
              <w:bidi w:val="0"/>
              <w:spacing w:before="0" w:after="0"/>
              <w:ind w:left="0" w:right="0" w:hanging="0"/>
              <w:jc w:val="left"/>
              <w:rPr/>
            </w:pPr>
            <w:r>
              <w:rPr/>
              <w:t xml:space="preserve">  </w:t>
            </w:r>
          </w:p>
        </w:tc>
        <w:tc>
          <w:tcPr>
            <w:tcW w:w="1077" w:type="dxa"/>
            <w:tcBorders/>
            <w:vAlign w:val="bottom"/>
          </w:tcPr>
          <w:p>
            <w:pPr>
              <w:pStyle w:val="TableContents"/>
              <w:bidi w:val="0"/>
              <w:spacing w:before="0" w:after="0"/>
              <w:ind w:left="0" w:right="0" w:hanging="0"/>
              <w:jc w:val="left"/>
              <w:rPr/>
            </w:pPr>
            <w:r>
              <w:rPr/>
              <w:t xml:space="preserve">  </w:t>
            </w:r>
          </w:p>
        </w:tc>
        <w:tc>
          <w:tcPr>
            <w:tcW w:w="139" w:type="dxa"/>
            <w:tcBorders/>
            <w:vAlign w:val="bottom"/>
          </w:tcPr>
          <w:p>
            <w:pPr>
              <w:pStyle w:val="TableContents"/>
              <w:bidi w:val="0"/>
              <w:spacing w:before="0" w:after="0"/>
              <w:ind w:left="0" w:right="0" w:hanging="0"/>
              <w:jc w:val="left"/>
              <w:rPr/>
            </w:pPr>
            <w:r>
              <w:rPr/>
              <w:t xml:space="preserve">  </w:t>
            </w:r>
          </w:p>
        </w:tc>
        <w:tc>
          <w:tcPr>
            <w:tcW w:w="130" w:type="dxa"/>
            <w:tcBorders/>
            <w:vAlign w:val="bottom"/>
          </w:tcPr>
          <w:p>
            <w:pPr>
              <w:pStyle w:val="TableContents"/>
              <w:bidi w:val="0"/>
              <w:spacing w:before="0" w:after="0"/>
              <w:ind w:left="0" w:right="0" w:hanging="0"/>
              <w:jc w:val="left"/>
              <w:rPr/>
            </w:pPr>
            <w:r>
              <w:rPr/>
              <w:t xml:space="preserve">  </w:t>
            </w:r>
          </w:p>
        </w:tc>
        <w:tc>
          <w:tcPr>
            <w:tcW w:w="199" w:type="dxa"/>
            <w:tcBorders/>
            <w:vAlign w:val="bottom"/>
          </w:tcPr>
          <w:p>
            <w:pPr>
              <w:pStyle w:val="TableContents"/>
              <w:bidi w:val="0"/>
              <w:spacing w:before="0" w:after="0"/>
              <w:ind w:left="0" w:right="0" w:hanging="0"/>
              <w:jc w:val="left"/>
              <w:rPr/>
            </w:pPr>
            <w:r>
              <w:rPr/>
              <w:t xml:space="preserve">  </w:t>
            </w:r>
          </w:p>
        </w:tc>
        <w:tc>
          <w:tcPr>
            <w:tcW w:w="1034" w:type="dxa"/>
            <w:tcBorders/>
            <w:vAlign w:val="bottom"/>
          </w:tcPr>
          <w:p>
            <w:pPr>
              <w:pStyle w:val="TableContents"/>
              <w:bidi w:val="0"/>
              <w:spacing w:before="0" w:after="0"/>
              <w:ind w:left="0" w:right="0" w:hanging="0"/>
              <w:jc w:val="left"/>
              <w:rPr/>
            </w:pPr>
            <w:r>
              <w:rPr/>
              <w:t xml:space="preserve">  </w:t>
            </w:r>
          </w:p>
        </w:tc>
        <w:tc>
          <w:tcPr>
            <w:tcW w:w="113" w:type="dxa"/>
            <w:tcBorders/>
            <w:vAlign w:val="bottom"/>
          </w:tcPr>
          <w:p>
            <w:pPr>
              <w:pStyle w:val="TableContents"/>
              <w:bidi w:val="0"/>
              <w:spacing w:before="0" w:after="0"/>
              <w:ind w:left="0" w:right="0" w:hanging="0"/>
              <w:jc w:val="left"/>
              <w:rPr/>
            </w:pPr>
            <w:r>
              <w:rPr/>
              <w:t xml:space="preserve">  </w:t>
            </w:r>
          </w:p>
        </w:tc>
        <w:tc>
          <w:tcPr>
            <w:tcW w:w="22" w:type="dxa"/>
            <w:tcBorders/>
            <w:vAlign w:val="bottom"/>
          </w:tcPr>
          <w:p>
            <w:pPr>
              <w:pStyle w:val="TableContents"/>
              <w:bidi w:val="0"/>
              <w:spacing w:before="0" w:after="283"/>
              <w:jc w:val="left"/>
              <w:rPr/>
            </w:pPr>
            <w:r>
              <w:rPr/>
            </w:r>
          </w:p>
        </w:tc>
        <w:tc>
          <w:tcPr>
            <w:tcW w:w="189" w:type="dxa"/>
            <w:tcBorders/>
            <w:vAlign w:val="bottom"/>
          </w:tcPr>
          <w:p>
            <w:pPr>
              <w:pStyle w:val="TableContents"/>
              <w:bidi w:val="0"/>
              <w:spacing w:before="0" w:after="283"/>
              <w:jc w:val="left"/>
              <w:rPr/>
            </w:pPr>
            <w:r>
              <w:rPr/>
            </w:r>
          </w:p>
        </w:tc>
        <w:tc>
          <w:tcPr>
            <w:tcW w:w="1329" w:type="dxa"/>
            <w:tcBorders/>
            <w:vAlign w:val="bottom"/>
          </w:tcPr>
          <w:p>
            <w:pPr>
              <w:pStyle w:val="TableContents"/>
              <w:bidi w:val="0"/>
              <w:spacing w:before="0" w:after="283"/>
              <w:jc w:val="left"/>
              <w:rPr/>
            </w:pPr>
            <w:r>
              <w:rPr/>
            </w:r>
          </w:p>
        </w:tc>
        <w:tc>
          <w:tcPr>
            <w:tcW w:w="128" w:type="dxa"/>
            <w:tcBorders/>
            <w:vAlign w:val="bottom"/>
          </w:tcPr>
          <w:p>
            <w:pPr>
              <w:pStyle w:val="TableContents"/>
              <w:bidi w:val="0"/>
              <w:spacing w:before="0" w:after="283"/>
              <w:jc w:val="left"/>
              <w:rPr/>
            </w:pPr>
            <w:r>
              <w:rPr/>
            </w:r>
          </w:p>
        </w:tc>
        <w:tc>
          <w:tcPr>
            <w:tcW w:w="31" w:type="dxa"/>
            <w:tcBorders/>
            <w:vAlign w:val="bottom"/>
          </w:tcPr>
          <w:p>
            <w:pPr>
              <w:pStyle w:val="TableContents"/>
              <w:bidi w:val="0"/>
              <w:spacing w:before="0" w:after="283"/>
              <w:jc w:val="left"/>
              <w:rPr/>
            </w:pPr>
            <w:r>
              <w:rPr/>
            </w:r>
          </w:p>
        </w:tc>
        <w:tc>
          <w:tcPr>
            <w:tcW w:w="189" w:type="dxa"/>
            <w:tcBorders/>
            <w:vAlign w:val="bottom"/>
          </w:tcPr>
          <w:p>
            <w:pPr>
              <w:pStyle w:val="TableContents"/>
              <w:bidi w:val="0"/>
              <w:spacing w:before="0" w:after="283"/>
              <w:jc w:val="left"/>
              <w:rPr/>
            </w:pPr>
            <w:r>
              <w:rPr/>
            </w:r>
          </w:p>
        </w:tc>
        <w:tc>
          <w:tcPr>
            <w:tcW w:w="1329" w:type="dxa"/>
            <w:tcBorders/>
            <w:vAlign w:val="bottom"/>
          </w:tcPr>
          <w:p>
            <w:pPr>
              <w:pStyle w:val="TableContents"/>
              <w:bidi w:val="0"/>
              <w:spacing w:before="0" w:after="283"/>
              <w:jc w:val="left"/>
              <w:rPr/>
            </w:pPr>
            <w:r>
              <w:rPr/>
            </w:r>
          </w:p>
        </w:tc>
        <w:tc>
          <w:tcPr>
            <w:tcW w:w="119" w:type="dxa"/>
            <w:tcBorders/>
            <w:vAlign w:val="center"/>
          </w:tcPr>
          <w:p>
            <w:pPr>
              <w:pStyle w:val="TableContents"/>
              <w:bidi w:val="0"/>
              <w:spacing w:before="0" w:after="283"/>
              <w:jc w:val="left"/>
              <w:rPr/>
            </w:pPr>
            <w:r>
              <w:rPr/>
            </w:r>
          </w:p>
        </w:tc>
      </w:tr>
      <w:tr>
        <w:trPr/>
        <w:tc>
          <w:tcPr>
            <w:tcW w:w="3874" w:type="dxa"/>
            <w:tcBorders/>
            <w:shd w:fill="CCEEFF" w:val="clear"/>
            <w:vAlign w:val="bottom"/>
          </w:tcPr>
          <w:p>
            <w:pPr>
              <w:pStyle w:val="TableContents"/>
              <w:bidi w:val="0"/>
              <w:spacing w:before="0" w:after="283"/>
              <w:jc w:val="left"/>
              <w:rPr/>
            </w:pPr>
            <w:r>
              <w:rPr/>
              <w:t>Interest (expense)</w:t>
            </w:r>
          </w:p>
        </w:tc>
        <w:tc>
          <w:tcPr>
            <w:tcW w:w="104" w:type="dxa"/>
            <w:tcBorders/>
            <w:shd w:fill="CCEEFF" w:val="clear"/>
            <w:vAlign w:val="bottom"/>
          </w:tcPr>
          <w:p>
            <w:pPr>
              <w:pStyle w:val="TableContents"/>
              <w:bidi w:val="0"/>
              <w:spacing w:before="0" w:after="283"/>
              <w:jc w:val="left"/>
              <w:rPr/>
            </w:pPr>
            <w:r>
              <w:rPr/>
            </w:r>
          </w:p>
        </w:tc>
        <w:tc>
          <w:tcPr>
            <w:tcW w:w="199" w:type="dxa"/>
            <w:tcBorders/>
            <w:shd w:fill="CCEEFF" w:val="clear"/>
            <w:vAlign w:val="bottom"/>
          </w:tcPr>
          <w:p>
            <w:pPr>
              <w:pStyle w:val="TableContents"/>
              <w:bidi w:val="0"/>
              <w:spacing w:before="0" w:after="283"/>
              <w:jc w:val="left"/>
              <w:rPr/>
            </w:pPr>
            <w:r>
              <w:rPr/>
            </w:r>
          </w:p>
        </w:tc>
        <w:tc>
          <w:tcPr>
            <w:tcW w:w="1077" w:type="dxa"/>
            <w:tcBorders/>
            <w:shd w:fill="CCEEFF" w:val="clear"/>
            <w:vAlign w:val="bottom"/>
          </w:tcPr>
          <w:p>
            <w:pPr>
              <w:pStyle w:val="TableContents"/>
              <w:bidi w:val="0"/>
              <w:spacing w:before="0" w:after="283"/>
              <w:jc w:val="right"/>
              <w:rPr/>
            </w:pPr>
            <w:r>
              <w:rPr/>
              <w:t>(20</w:t>
            </w:r>
          </w:p>
        </w:tc>
        <w:tc>
          <w:tcPr>
            <w:tcW w:w="139" w:type="dxa"/>
            <w:tcBorders/>
            <w:shd w:fill="CCEEFF" w:val="clear"/>
            <w:vAlign w:val="bottom"/>
          </w:tcPr>
          <w:p>
            <w:pPr>
              <w:pStyle w:val="TableContents"/>
              <w:bidi w:val="0"/>
              <w:spacing w:before="0" w:after="283"/>
              <w:jc w:val="left"/>
              <w:rPr/>
            </w:pPr>
            <w:r>
              <w:rPr/>
              <w:t>)</w:t>
            </w:r>
          </w:p>
        </w:tc>
        <w:tc>
          <w:tcPr>
            <w:tcW w:w="130" w:type="dxa"/>
            <w:tcBorders/>
            <w:shd w:fill="CCEEFF" w:val="clear"/>
            <w:vAlign w:val="bottom"/>
          </w:tcPr>
          <w:p>
            <w:pPr>
              <w:pStyle w:val="TableContents"/>
              <w:bidi w:val="0"/>
              <w:spacing w:before="0" w:after="283"/>
              <w:jc w:val="left"/>
              <w:rPr/>
            </w:pPr>
            <w:r>
              <w:rPr/>
            </w:r>
          </w:p>
        </w:tc>
        <w:tc>
          <w:tcPr>
            <w:tcW w:w="199" w:type="dxa"/>
            <w:tcBorders/>
            <w:shd w:fill="CCEEFF" w:val="clear"/>
            <w:vAlign w:val="bottom"/>
          </w:tcPr>
          <w:p>
            <w:pPr>
              <w:pStyle w:val="TableContents"/>
              <w:bidi w:val="0"/>
              <w:spacing w:before="0" w:after="283"/>
              <w:jc w:val="left"/>
              <w:rPr/>
            </w:pPr>
            <w:r>
              <w:rPr/>
            </w:r>
          </w:p>
        </w:tc>
        <w:tc>
          <w:tcPr>
            <w:tcW w:w="1034" w:type="dxa"/>
            <w:tcBorders/>
            <w:shd w:fill="CCEEFF" w:val="clear"/>
            <w:vAlign w:val="bottom"/>
          </w:tcPr>
          <w:p>
            <w:pPr>
              <w:pStyle w:val="TableContents"/>
              <w:bidi w:val="0"/>
              <w:spacing w:before="0" w:after="283"/>
              <w:jc w:val="right"/>
              <w:rPr/>
            </w:pPr>
            <w:r>
              <w:rPr/>
              <w:t>29</w:t>
            </w:r>
          </w:p>
        </w:tc>
        <w:tc>
          <w:tcPr>
            <w:tcW w:w="113" w:type="dxa"/>
            <w:tcBorders/>
            <w:shd w:fill="CCEEFF" w:val="clear"/>
            <w:vAlign w:val="bottom"/>
          </w:tcPr>
          <w:p>
            <w:pPr>
              <w:pStyle w:val="TableContents"/>
              <w:bidi w:val="0"/>
              <w:spacing w:before="0" w:after="283"/>
              <w:jc w:val="left"/>
              <w:rPr>
                <w:sz w:val="4"/>
                <w:szCs w:val="4"/>
              </w:rPr>
            </w:pPr>
            <w:r>
              <w:rPr>
                <w:sz w:val="4"/>
                <w:szCs w:val="4"/>
              </w:rPr>
            </w:r>
          </w:p>
        </w:tc>
        <w:tc>
          <w:tcPr>
            <w:tcW w:w="22" w:type="dxa"/>
            <w:tcBorders/>
            <w:shd w:fill="CCEEFF" w:val="clear"/>
            <w:vAlign w:val="bottom"/>
          </w:tcPr>
          <w:p>
            <w:pPr>
              <w:pStyle w:val="TableContents"/>
              <w:bidi w:val="0"/>
              <w:spacing w:before="0" w:after="283"/>
              <w:jc w:val="left"/>
              <w:rPr/>
            </w:pPr>
            <w:r>
              <w:rPr/>
            </w:r>
          </w:p>
        </w:tc>
        <w:tc>
          <w:tcPr>
            <w:tcW w:w="189" w:type="dxa"/>
            <w:tcBorders/>
            <w:shd w:fill="CCEEFF" w:val="clear"/>
            <w:vAlign w:val="bottom"/>
          </w:tcPr>
          <w:p>
            <w:pPr>
              <w:pStyle w:val="TableContents"/>
              <w:bidi w:val="0"/>
              <w:spacing w:before="0" w:after="283"/>
              <w:jc w:val="left"/>
              <w:rPr/>
            </w:pPr>
            <w:r>
              <w:rPr/>
            </w:r>
          </w:p>
        </w:tc>
        <w:tc>
          <w:tcPr>
            <w:tcW w:w="1329" w:type="dxa"/>
            <w:tcBorders/>
            <w:shd w:fill="CCEEFF" w:val="clear"/>
            <w:vAlign w:val="bottom"/>
          </w:tcPr>
          <w:p>
            <w:pPr>
              <w:pStyle w:val="TableContents"/>
              <w:bidi w:val="0"/>
              <w:spacing w:before="0" w:after="283"/>
              <w:jc w:val="right"/>
              <w:rPr/>
            </w:pPr>
            <w:r>
              <w:rPr/>
              <w:t>(28</w:t>
            </w:r>
          </w:p>
        </w:tc>
        <w:tc>
          <w:tcPr>
            <w:tcW w:w="128" w:type="dxa"/>
            <w:tcBorders/>
            <w:shd w:fill="CCEEFF" w:val="clear"/>
            <w:vAlign w:val="bottom"/>
          </w:tcPr>
          <w:p>
            <w:pPr>
              <w:pStyle w:val="TableContents"/>
              <w:bidi w:val="0"/>
              <w:spacing w:before="0" w:after="283"/>
              <w:jc w:val="left"/>
              <w:rPr/>
            </w:pPr>
            <w:r>
              <w:rPr/>
              <w:t>)</w:t>
            </w:r>
          </w:p>
        </w:tc>
        <w:tc>
          <w:tcPr>
            <w:tcW w:w="31" w:type="dxa"/>
            <w:tcBorders/>
            <w:shd w:fill="CCEEFF" w:val="clear"/>
            <w:vAlign w:val="bottom"/>
          </w:tcPr>
          <w:p>
            <w:pPr>
              <w:pStyle w:val="TableContents"/>
              <w:bidi w:val="0"/>
              <w:spacing w:before="0" w:after="283"/>
              <w:jc w:val="left"/>
              <w:rPr/>
            </w:pPr>
            <w:r>
              <w:rPr/>
            </w:r>
          </w:p>
        </w:tc>
        <w:tc>
          <w:tcPr>
            <w:tcW w:w="189" w:type="dxa"/>
            <w:tcBorders/>
            <w:shd w:fill="CCEEFF" w:val="clear"/>
            <w:vAlign w:val="bottom"/>
          </w:tcPr>
          <w:p>
            <w:pPr>
              <w:pStyle w:val="TableContents"/>
              <w:bidi w:val="0"/>
              <w:spacing w:before="0" w:after="283"/>
              <w:jc w:val="left"/>
              <w:rPr/>
            </w:pPr>
            <w:r>
              <w:rPr/>
            </w:r>
          </w:p>
        </w:tc>
        <w:tc>
          <w:tcPr>
            <w:tcW w:w="1329" w:type="dxa"/>
            <w:tcBorders/>
            <w:shd w:fill="CCEEFF" w:val="clear"/>
            <w:vAlign w:val="bottom"/>
          </w:tcPr>
          <w:p>
            <w:pPr>
              <w:pStyle w:val="TableContents"/>
              <w:bidi w:val="0"/>
              <w:spacing w:before="0" w:after="283"/>
              <w:jc w:val="right"/>
              <w:rPr/>
            </w:pPr>
            <w:r>
              <w:rPr/>
              <w:t>264</w:t>
            </w:r>
          </w:p>
        </w:tc>
        <w:tc>
          <w:tcPr>
            <w:tcW w:w="119" w:type="dxa"/>
            <w:tcBorders/>
            <w:shd w:fill="CCEEFF" w:val="clear"/>
            <w:vAlign w:val="center"/>
          </w:tcPr>
          <w:p>
            <w:pPr>
              <w:pStyle w:val="TableContents"/>
              <w:bidi w:val="0"/>
              <w:spacing w:before="0" w:after="283"/>
              <w:jc w:val="left"/>
              <w:rPr/>
            </w:pPr>
            <w:r>
              <w:rPr/>
            </w:r>
          </w:p>
        </w:tc>
      </w:tr>
      <w:tr>
        <w:trPr/>
        <w:tc>
          <w:tcPr>
            <w:tcW w:w="3874"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Other income, net </w:t>
            </w:r>
          </w:p>
        </w:tc>
        <w:tc>
          <w:tcPr>
            <w:tcW w:w="104" w:type="dxa"/>
            <w:tcBorders/>
            <w:vAlign w:val="bottom"/>
          </w:tcPr>
          <w:p>
            <w:pPr>
              <w:pStyle w:val="TableContents"/>
              <w:bidi w:val="0"/>
              <w:spacing w:before="0" w:after="0"/>
              <w:ind w:left="0" w:right="0" w:hanging="0"/>
              <w:jc w:val="left"/>
              <w:rPr/>
            </w:pPr>
            <w:r>
              <w:rPr/>
              <w:t xml:space="preserve">  </w:t>
            </w:r>
          </w:p>
        </w:tc>
        <w:tc>
          <w:tcPr>
            <w:tcW w:w="199" w:type="dxa"/>
            <w:tcBorders/>
            <w:vAlign w:val="bottom"/>
          </w:tcPr>
          <w:p>
            <w:pPr>
              <w:pStyle w:val="TableContents"/>
              <w:bidi w:val="0"/>
              <w:spacing w:before="0" w:after="0"/>
              <w:ind w:left="0" w:right="0" w:hanging="0"/>
              <w:jc w:val="left"/>
              <w:rPr/>
            </w:pPr>
            <w:r>
              <w:rPr/>
              <w:t xml:space="preserve">  </w:t>
            </w:r>
          </w:p>
        </w:tc>
        <w:tc>
          <w:tcPr>
            <w:tcW w:w="1077"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w:t>
            </w:r>
          </w:p>
        </w:tc>
        <w:tc>
          <w:tcPr>
            <w:tcW w:w="139"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0"/>
              <w:ind w:left="0" w:right="0" w:hanging="0"/>
              <w:jc w:val="left"/>
              <w:rPr/>
            </w:pPr>
            <w:r>
              <w:rPr/>
              <w:t xml:space="preserve">  </w:t>
            </w:r>
          </w:p>
        </w:tc>
        <w:tc>
          <w:tcPr>
            <w:tcW w:w="199" w:type="dxa"/>
            <w:tcBorders/>
            <w:vAlign w:val="bottom"/>
          </w:tcPr>
          <w:p>
            <w:pPr>
              <w:pStyle w:val="TableContents"/>
              <w:bidi w:val="0"/>
              <w:spacing w:before="0" w:after="0"/>
              <w:ind w:left="0" w:right="0" w:hanging="0"/>
              <w:jc w:val="left"/>
              <w:rPr/>
            </w:pPr>
            <w:r>
              <w:rPr/>
              <w:t xml:space="preserve">  </w:t>
            </w:r>
          </w:p>
        </w:tc>
        <w:tc>
          <w:tcPr>
            <w:tcW w:w="1034"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113</w:t>
            </w:r>
          </w:p>
        </w:tc>
        <w:tc>
          <w:tcPr>
            <w:tcW w:w="113" w:type="dxa"/>
            <w:tcBorders/>
            <w:vAlign w:val="bottom"/>
          </w:tcPr>
          <w:p>
            <w:pPr>
              <w:pStyle w:val="TableContents"/>
              <w:bidi w:val="0"/>
              <w:spacing w:before="0" w:after="283"/>
              <w:jc w:val="left"/>
              <w:rPr>
                <w:sz w:val="4"/>
                <w:szCs w:val="4"/>
              </w:rPr>
            </w:pPr>
            <w:r>
              <w:rPr>
                <w:sz w:val="4"/>
                <w:szCs w:val="4"/>
              </w:rPr>
            </w:r>
          </w:p>
        </w:tc>
        <w:tc>
          <w:tcPr>
            <w:tcW w:w="22" w:type="dxa"/>
            <w:tcBorders/>
            <w:vAlign w:val="bottom"/>
          </w:tcPr>
          <w:p>
            <w:pPr>
              <w:pStyle w:val="TableContents"/>
              <w:bidi w:val="0"/>
              <w:spacing w:before="0" w:after="283"/>
              <w:jc w:val="left"/>
              <w:rPr/>
            </w:pPr>
            <w:r>
              <w:rPr/>
            </w:r>
          </w:p>
        </w:tc>
        <w:tc>
          <w:tcPr>
            <w:tcW w:w="189" w:type="dxa"/>
            <w:tcBorders/>
            <w:vAlign w:val="bottom"/>
          </w:tcPr>
          <w:p>
            <w:pPr>
              <w:pStyle w:val="TableContents"/>
              <w:bidi w:val="0"/>
              <w:spacing w:before="0" w:after="283"/>
              <w:jc w:val="left"/>
              <w:rPr/>
            </w:pPr>
            <w:r>
              <w:rPr/>
            </w:r>
          </w:p>
        </w:tc>
        <w:tc>
          <w:tcPr>
            <w:tcW w:w="1329" w:type="dxa"/>
            <w:tcBorders/>
            <w:vAlign w:val="bottom"/>
          </w:tcPr>
          <w:p>
            <w:pPr>
              <w:pStyle w:val="TableContents"/>
              <w:bidi w:val="0"/>
              <w:spacing w:before="0" w:after="283"/>
              <w:jc w:val="right"/>
              <w:rPr/>
            </w:pPr>
            <w:r>
              <w:rPr/>
              <w:t>19</w:t>
            </w:r>
          </w:p>
        </w:tc>
        <w:tc>
          <w:tcPr>
            <w:tcW w:w="128" w:type="dxa"/>
            <w:tcBorders/>
            <w:vAlign w:val="bottom"/>
          </w:tcPr>
          <w:p>
            <w:pPr>
              <w:pStyle w:val="TableContents"/>
              <w:bidi w:val="0"/>
              <w:spacing w:before="0" w:after="283"/>
              <w:jc w:val="left"/>
              <w:rPr/>
            </w:pPr>
            <w:r>
              <w:rPr/>
            </w:r>
          </w:p>
        </w:tc>
        <w:tc>
          <w:tcPr>
            <w:tcW w:w="31" w:type="dxa"/>
            <w:tcBorders/>
            <w:vAlign w:val="bottom"/>
          </w:tcPr>
          <w:p>
            <w:pPr>
              <w:pStyle w:val="TableContents"/>
              <w:bidi w:val="0"/>
              <w:spacing w:before="0" w:after="283"/>
              <w:jc w:val="left"/>
              <w:rPr/>
            </w:pPr>
            <w:r>
              <w:rPr/>
            </w:r>
          </w:p>
        </w:tc>
        <w:tc>
          <w:tcPr>
            <w:tcW w:w="189" w:type="dxa"/>
            <w:tcBorders/>
            <w:vAlign w:val="bottom"/>
          </w:tcPr>
          <w:p>
            <w:pPr>
              <w:pStyle w:val="TableContents"/>
              <w:bidi w:val="0"/>
              <w:spacing w:before="0" w:after="283"/>
              <w:jc w:val="left"/>
              <w:rPr/>
            </w:pPr>
            <w:r>
              <w:rPr/>
            </w:r>
          </w:p>
        </w:tc>
        <w:tc>
          <w:tcPr>
            <w:tcW w:w="1329" w:type="dxa"/>
            <w:tcBorders/>
            <w:vAlign w:val="bottom"/>
          </w:tcPr>
          <w:p>
            <w:pPr>
              <w:pStyle w:val="TableContents"/>
              <w:bidi w:val="0"/>
              <w:spacing w:before="0" w:after="283"/>
              <w:jc w:val="right"/>
              <w:rPr/>
            </w:pPr>
            <w:r>
              <w:rPr/>
              <w:t>175</w:t>
            </w:r>
          </w:p>
        </w:tc>
        <w:tc>
          <w:tcPr>
            <w:tcW w:w="119" w:type="dxa"/>
            <w:tcBorders/>
            <w:vAlign w:val="center"/>
          </w:tcPr>
          <w:p>
            <w:pPr>
              <w:pStyle w:val="TableContents"/>
              <w:bidi w:val="0"/>
              <w:spacing w:before="0" w:after="283"/>
              <w:jc w:val="left"/>
              <w:rPr/>
            </w:pPr>
            <w:r>
              <w:rPr/>
            </w:r>
          </w:p>
        </w:tc>
      </w:tr>
      <w:tr>
        <w:trPr/>
        <w:tc>
          <w:tcPr>
            <w:tcW w:w="3874" w:type="dxa"/>
            <w:tcBorders/>
            <w:shd w:fill="CCEEFF" w:val="clear"/>
            <w:vAlign w:val="bottom"/>
          </w:tcPr>
          <w:p>
            <w:pPr>
              <w:pStyle w:val="TableContents"/>
              <w:bidi w:val="0"/>
              <w:spacing w:before="0" w:after="0"/>
              <w:ind w:left="0" w:right="0" w:hanging="0"/>
              <w:jc w:val="left"/>
              <w:rPr/>
            </w:pPr>
            <w:r>
              <w:rPr/>
              <w:t xml:space="preserve">  </w:t>
            </w:r>
          </w:p>
        </w:tc>
        <w:tc>
          <w:tcPr>
            <w:tcW w:w="104" w:type="dxa"/>
            <w:tcBorders/>
            <w:shd w:fill="CCEEFF" w:val="clear"/>
            <w:vAlign w:val="bottom"/>
          </w:tcPr>
          <w:p>
            <w:pPr>
              <w:pStyle w:val="TableContents"/>
              <w:bidi w:val="0"/>
              <w:spacing w:before="0" w:after="0"/>
              <w:ind w:left="0" w:right="0" w:hanging="0"/>
              <w:jc w:val="left"/>
              <w:rPr/>
            </w:pPr>
            <w:r>
              <w:rPr/>
              <w:t xml:space="preserve">  </w:t>
            </w:r>
          </w:p>
        </w:tc>
        <w:tc>
          <w:tcPr>
            <w:tcW w:w="199" w:type="dxa"/>
            <w:tcBorders/>
            <w:shd w:fill="CCEEFF" w:val="clear"/>
            <w:vAlign w:val="bottom"/>
          </w:tcPr>
          <w:p>
            <w:pPr>
              <w:pStyle w:val="TableContents"/>
              <w:bidi w:val="0"/>
              <w:spacing w:before="0" w:after="0"/>
              <w:ind w:left="0" w:right="0" w:hanging="0"/>
              <w:jc w:val="left"/>
              <w:rPr/>
            </w:pPr>
            <w:r>
              <w:rPr/>
              <w:t xml:space="preserve">  </w:t>
            </w:r>
          </w:p>
        </w:tc>
        <w:tc>
          <w:tcPr>
            <w:tcW w:w="1077" w:type="dxa"/>
            <w:tcBorders/>
            <w:shd w:fill="CCEEFF" w:val="clear"/>
            <w:vAlign w:val="bottom"/>
          </w:tcPr>
          <w:p>
            <w:pPr>
              <w:pStyle w:val="TableContents"/>
              <w:bidi w:val="0"/>
              <w:spacing w:before="0" w:after="0"/>
              <w:ind w:left="0" w:right="0" w:hanging="0"/>
              <w:jc w:val="left"/>
              <w:rPr/>
            </w:pPr>
            <w:r>
              <w:rPr/>
              <w:t xml:space="preserve">  </w:t>
            </w:r>
          </w:p>
        </w:tc>
        <w:tc>
          <w:tcPr>
            <w:tcW w:w="139" w:type="dxa"/>
            <w:tcBorders/>
            <w:shd w:fill="CCEEFF" w:val="clear"/>
            <w:vAlign w:val="bottom"/>
          </w:tcPr>
          <w:p>
            <w:pPr>
              <w:pStyle w:val="TableContents"/>
              <w:bidi w:val="0"/>
              <w:spacing w:before="0" w:after="0"/>
              <w:ind w:left="0" w:right="0" w:hanging="0"/>
              <w:jc w:val="left"/>
              <w:rPr/>
            </w:pPr>
            <w:r>
              <w:rPr/>
              <w:t xml:space="preserve">  </w:t>
            </w:r>
          </w:p>
        </w:tc>
        <w:tc>
          <w:tcPr>
            <w:tcW w:w="130" w:type="dxa"/>
            <w:tcBorders/>
            <w:shd w:fill="CCEEFF" w:val="clear"/>
            <w:vAlign w:val="bottom"/>
          </w:tcPr>
          <w:p>
            <w:pPr>
              <w:pStyle w:val="TableContents"/>
              <w:bidi w:val="0"/>
              <w:spacing w:before="0" w:after="0"/>
              <w:ind w:left="0" w:right="0" w:hanging="0"/>
              <w:jc w:val="left"/>
              <w:rPr/>
            </w:pPr>
            <w:r>
              <w:rPr/>
              <w:t xml:space="preserve">  </w:t>
            </w:r>
          </w:p>
        </w:tc>
        <w:tc>
          <w:tcPr>
            <w:tcW w:w="199" w:type="dxa"/>
            <w:tcBorders/>
            <w:shd w:fill="CCEEFF" w:val="clear"/>
            <w:vAlign w:val="bottom"/>
          </w:tcPr>
          <w:p>
            <w:pPr>
              <w:pStyle w:val="TableContents"/>
              <w:bidi w:val="0"/>
              <w:spacing w:before="0" w:after="0"/>
              <w:ind w:left="0" w:right="0" w:hanging="0"/>
              <w:jc w:val="left"/>
              <w:rPr/>
            </w:pPr>
            <w:r>
              <w:rPr/>
              <w:t xml:space="preserve">  </w:t>
            </w:r>
          </w:p>
        </w:tc>
        <w:tc>
          <w:tcPr>
            <w:tcW w:w="1034" w:type="dxa"/>
            <w:tcBorders/>
            <w:shd w:fill="CCEEFF" w:val="clear"/>
            <w:vAlign w:val="bottom"/>
          </w:tcPr>
          <w:p>
            <w:pPr>
              <w:pStyle w:val="TableContents"/>
              <w:bidi w:val="0"/>
              <w:spacing w:before="0" w:after="0"/>
              <w:ind w:left="0" w:right="0" w:hanging="0"/>
              <w:jc w:val="left"/>
              <w:rPr/>
            </w:pPr>
            <w:r>
              <w:rPr/>
              <w:t xml:space="preserve">  </w:t>
            </w:r>
          </w:p>
        </w:tc>
        <w:tc>
          <w:tcPr>
            <w:tcW w:w="113" w:type="dxa"/>
            <w:tcBorders/>
            <w:shd w:fill="CCEEFF" w:val="clear"/>
            <w:vAlign w:val="bottom"/>
          </w:tcPr>
          <w:p>
            <w:pPr>
              <w:pStyle w:val="TableContents"/>
              <w:bidi w:val="0"/>
              <w:spacing w:before="0" w:after="0"/>
              <w:ind w:left="0" w:right="0" w:hanging="0"/>
              <w:jc w:val="left"/>
              <w:rPr/>
            </w:pPr>
            <w:r>
              <w:rPr/>
              <w:t xml:space="preserve">  </w:t>
            </w:r>
          </w:p>
        </w:tc>
        <w:tc>
          <w:tcPr>
            <w:tcW w:w="22" w:type="dxa"/>
            <w:tcBorders/>
            <w:shd w:fill="CCEEFF" w:val="clear"/>
            <w:vAlign w:val="bottom"/>
          </w:tcPr>
          <w:p>
            <w:pPr>
              <w:pStyle w:val="TableContents"/>
              <w:bidi w:val="0"/>
              <w:spacing w:before="0" w:after="283"/>
              <w:jc w:val="left"/>
              <w:rPr/>
            </w:pPr>
            <w:r>
              <w:rPr/>
            </w:r>
          </w:p>
        </w:tc>
        <w:tc>
          <w:tcPr>
            <w:tcW w:w="189" w:type="dxa"/>
            <w:tcBorders/>
            <w:shd w:fill="CCEEFF" w:val="clear"/>
            <w:vAlign w:val="bottom"/>
          </w:tcPr>
          <w:p>
            <w:pPr>
              <w:pStyle w:val="TableContents"/>
              <w:bidi w:val="0"/>
              <w:spacing w:before="0" w:after="283"/>
              <w:jc w:val="left"/>
              <w:rPr/>
            </w:pPr>
            <w:r>
              <w:rPr/>
            </w:r>
          </w:p>
        </w:tc>
        <w:tc>
          <w:tcPr>
            <w:tcW w:w="1329" w:type="dxa"/>
            <w:tcBorders/>
            <w:shd w:fill="CCEEFF" w:val="clear"/>
            <w:vAlign w:val="bottom"/>
          </w:tcPr>
          <w:p>
            <w:pPr>
              <w:pStyle w:val="TableContents"/>
              <w:bidi w:val="0"/>
              <w:spacing w:before="0" w:after="283"/>
              <w:jc w:val="left"/>
              <w:rPr/>
            </w:pPr>
            <w:r>
              <w:rPr/>
            </w:r>
          </w:p>
        </w:tc>
        <w:tc>
          <w:tcPr>
            <w:tcW w:w="128" w:type="dxa"/>
            <w:tcBorders/>
            <w:shd w:fill="CCEEFF" w:val="clear"/>
            <w:vAlign w:val="bottom"/>
          </w:tcPr>
          <w:p>
            <w:pPr>
              <w:pStyle w:val="TableContents"/>
              <w:bidi w:val="0"/>
              <w:spacing w:before="0" w:after="283"/>
              <w:jc w:val="left"/>
              <w:rPr/>
            </w:pPr>
            <w:r>
              <w:rPr/>
            </w:r>
          </w:p>
        </w:tc>
        <w:tc>
          <w:tcPr>
            <w:tcW w:w="31" w:type="dxa"/>
            <w:tcBorders/>
            <w:shd w:fill="CCEEFF" w:val="clear"/>
            <w:vAlign w:val="bottom"/>
          </w:tcPr>
          <w:p>
            <w:pPr>
              <w:pStyle w:val="TableContents"/>
              <w:bidi w:val="0"/>
              <w:spacing w:before="0" w:after="283"/>
              <w:jc w:val="left"/>
              <w:rPr/>
            </w:pPr>
            <w:r>
              <w:rPr/>
            </w:r>
          </w:p>
        </w:tc>
        <w:tc>
          <w:tcPr>
            <w:tcW w:w="189" w:type="dxa"/>
            <w:tcBorders/>
            <w:shd w:fill="CCEEFF" w:val="clear"/>
            <w:vAlign w:val="bottom"/>
          </w:tcPr>
          <w:p>
            <w:pPr>
              <w:pStyle w:val="TableContents"/>
              <w:bidi w:val="0"/>
              <w:spacing w:before="0" w:after="283"/>
              <w:jc w:val="left"/>
              <w:rPr/>
            </w:pPr>
            <w:r>
              <w:rPr/>
            </w:r>
          </w:p>
        </w:tc>
        <w:tc>
          <w:tcPr>
            <w:tcW w:w="1329" w:type="dxa"/>
            <w:tcBorders/>
            <w:shd w:fill="CCEEFF" w:val="clear"/>
            <w:vAlign w:val="bottom"/>
          </w:tcPr>
          <w:p>
            <w:pPr>
              <w:pStyle w:val="TableContents"/>
              <w:bidi w:val="0"/>
              <w:spacing w:before="0" w:after="283"/>
              <w:jc w:val="left"/>
              <w:rPr/>
            </w:pPr>
            <w:r>
              <w:rPr/>
            </w:r>
          </w:p>
        </w:tc>
        <w:tc>
          <w:tcPr>
            <w:tcW w:w="119" w:type="dxa"/>
            <w:tcBorders/>
            <w:shd w:fill="CCEEFF" w:val="clear"/>
            <w:vAlign w:val="center"/>
          </w:tcPr>
          <w:p>
            <w:pPr>
              <w:pStyle w:val="TableContents"/>
              <w:bidi w:val="0"/>
              <w:spacing w:before="0" w:after="283"/>
              <w:jc w:val="left"/>
              <w:rPr/>
            </w:pPr>
            <w:r>
              <w:rPr/>
            </w:r>
          </w:p>
        </w:tc>
      </w:tr>
      <w:tr>
        <w:trPr/>
        <w:tc>
          <w:tcPr>
            <w:tcW w:w="3874"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Loss from continuing operations before income taxes </w:t>
            </w:r>
          </w:p>
        </w:tc>
        <w:tc>
          <w:tcPr>
            <w:tcW w:w="104" w:type="dxa"/>
            <w:tcBorders/>
            <w:vAlign w:val="bottom"/>
          </w:tcPr>
          <w:p>
            <w:pPr>
              <w:pStyle w:val="TableContents"/>
              <w:bidi w:val="0"/>
              <w:spacing w:before="0" w:after="0"/>
              <w:ind w:left="0" w:right="0" w:hanging="0"/>
              <w:jc w:val="left"/>
              <w:rPr/>
            </w:pPr>
            <w:r>
              <w:rPr/>
              <w:t xml:space="preserve">  </w:t>
            </w:r>
          </w:p>
        </w:tc>
        <w:tc>
          <w:tcPr>
            <w:tcW w:w="199" w:type="dxa"/>
            <w:tcBorders/>
            <w:vAlign w:val="bottom"/>
          </w:tcPr>
          <w:p>
            <w:pPr>
              <w:pStyle w:val="TableContents"/>
              <w:bidi w:val="0"/>
              <w:spacing w:before="0" w:after="0"/>
              <w:ind w:left="0" w:right="0" w:hanging="0"/>
              <w:jc w:val="left"/>
              <w:rPr/>
            </w:pPr>
            <w:r>
              <w:rPr/>
              <w:t xml:space="preserve">  </w:t>
            </w:r>
          </w:p>
        </w:tc>
        <w:tc>
          <w:tcPr>
            <w:tcW w:w="1077"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(870</w:t>
            </w:r>
          </w:p>
        </w:tc>
        <w:tc>
          <w:tcPr>
            <w:tcW w:w="139" w:type="dxa"/>
            <w:tcBorders/>
            <w:vAlign w:val="bottom"/>
          </w:tcPr>
          <w:p>
            <w:pPr>
              <w:pStyle w:val="TableContents"/>
              <w:bidi w:val="0"/>
              <w:spacing w:before="0" w:after="283"/>
              <w:jc w:val="left"/>
              <w:rPr/>
            </w:pPr>
            <w:r>
              <w:rPr/>
              <w:t>)</w:t>
            </w:r>
          </w:p>
        </w:tc>
        <w:tc>
          <w:tcPr>
            <w:tcW w:w="130" w:type="dxa"/>
            <w:tcBorders/>
            <w:vAlign w:val="bottom"/>
          </w:tcPr>
          <w:p>
            <w:pPr>
              <w:pStyle w:val="TableContents"/>
              <w:bidi w:val="0"/>
              <w:spacing w:before="0" w:after="0"/>
              <w:ind w:left="0" w:right="0" w:hanging="0"/>
              <w:jc w:val="left"/>
              <w:rPr/>
            </w:pPr>
            <w:r>
              <w:rPr/>
              <w:t xml:space="preserve">  </w:t>
            </w:r>
          </w:p>
        </w:tc>
        <w:tc>
          <w:tcPr>
            <w:tcW w:w="199" w:type="dxa"/>
            <w:tcBorders/>
            <w:vAlign w:val="bottom"/>
          </w:tcPr>
          <w:p>
            <w:pPr>
              <w:pStyle w:val="TableContents"/>
              <w:bidi w:val="0"/>
              <w:spacing w:before="0" w:after="0"/>
              <w:ind w:left="0" w:right="0" w:hanging="0"/>
              <w:jc w:val="left"/>
              <w:rPr/>
            </w:pPr>
            <w:r>
              <w:rPr/>
              <w:t xml:space="preserve">  </w:t>
            </w:r>
          </w:p>
        </w:tc>
        <w:tc>
          <w:tcPr>
            <w:tcW w:w="1034"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(700</w:t>
            </w:r>
          </w:p>
        </w:tc>
        <w:tc>
          <w:tcPr>
            <w:tcW w:w="113" w:type="dxa"/>
            <w:tcBorders/>
            <w:vAlign w:val="bottom"/>
          </w:tcPr>
          <w:p>
            <w:pPr>
              <w:pStyle w:val="TableContents"/>
              <w:bidi w:val="0"/>
              <w:spacing w:before="0" w:after="283"/>
              <w:jc w:val="left"/>
              <w:rPr/>
            </w:pPr>
            <w:r>
              <w:rPr/>
              <w:t>)</w:t>
            </w:r>
          </w:p>
        </w:tc>
        <w:tc>
          <w:tcPr>
            <w:tcW w:w="22" w:type="dxa"/>
            <w:tcBorders/>
            <w:vAlign w:val="bottom"/>
          </w:tcPr>
          <w:p>
            <w:pPr>
              <w:pStyle w:val="TableContents"/>
              <w:bidi w:val="0"/>
              <w:spacing w:before="0" w:after="283"/>
              <w:jc w:val="left"/>
              <w:rPr/>
            </w:pPr>
            <w:r>
              <w:rPr/>
            </w:r>
          </w:p>
        </w:tc>
        <w:tc>
          <w:tcPr>
            <w:tcW w:w="189" w:type="dxa"/>
            <w:tcBorders/>
            <w:vAlign w:val="bottom"/>
          </w:tcPr>
          <w:p>
            <w:pPr>
              <w:pStyle w:val="TableContents"/>
              <w:bidi w:val="0"/>
              <w:spacing w:before="0" w:after="283"/>
              <w:jc w:val="left"/>
              <w:rPr/>
            </w:pPr>
            <w:r>
              <w:rPr/>
            </w:r>
          </w:p>
        </w:tc>
        <w:tc>
          <w:tcPr>
            <w:tcW w:w="1329" w:type="dxa"/>
            <w:tcBorders/>
            <w:vAlign w:val="bottom"/>
          </w:tcPr>
          <w:p>
            <w:pPr>
              <w:pStyle w:val="TableContents"/>
              <w:bidi w:val="0"/>
              <w:spacing w:before="0" w:after="283"/>
              <w:jc w:val="right"/>
              <w:rPr/>
            </w:pPr>
            <w:r>
              <w:rPr/>
              <w:t>(3,269</w:t>
            </w:r>
          </w:p>
        </w:tc>
        <w:tc>
          <w:tcPr>
            <w:tcW w:w="128" w:type="dxa"/>
            <w:tcBorders/>
            <w:vAlign w:val="bottom"/>
          </w:tcPr>
          <w:p>
            <w:pPr>
              <w:pStyle w:val="TableContents"/>
              <w:bidi w:val="0"/>
              <w:spacing w:before="0" w:after="283"/>
              <w:jc w:val="left"/>
              <w:rPr/>
            </w:pPr>
            <w:r>
              <w:rPr/>
              <w:t>)</w:t>
            </w:r>
          </w:p>
        </w:tc>
        <w:tc>
          <w:tcPr>
            <w:tcW w:w="31" w:type="dxa"/>
            <w:tcBorders/>
            <w:vAlign w:val="bottom"/>
          </w:tcPr>
          <w:p>
            <w:pPr>
              <w:pStyle w:val="TableContents"/>
              <w:bidi w:val="0"/>
              <w:spacing w:before="0" w:after="283"/>
              <w:jc w:val="left"/>
              <w:rPr/>
            </w:pPr>
            <w:r>
              <w:rPr/>
            </w:r>
          </w:p>
        </w:tc>
        <w:tc>
          <w:tcPr>
            <w:tcW w:w="189" w:type="dxa"/>
            <w:tcBorders/>
            <w:vAlign w:val="bottom"/>
          </w:tcPr>
          <w:p>
            <w:pPr>
              <w:pStyle w:val="TableContents"/>
              <w:bidi w:val="0"/>
              <w:spacing w:before="0" w:after="283"/>
              <w:jc w:val="left"/>
              <w:rPr/>
            </w:pPr>
            <w:r>
              <w:rPr/>
            </w:r>
          </w:p>
        </w:tc>
        <w:tc>
          <w:tcPr>
            <w:tcW w:w="1329" w:type="dxa"/>
            <w:tcBorders/>
            <w:vAlign w:val="bottom"/>
          </w:tcPr>
          <w:p>
            <w:pPr>
              <w:pStyle w:val="TableContents"/>
              <w:bidi w:val="0"/>
              <w:spacing w:before="0" w:after="283"/>
              <w:jc w:val="right"/>
              <w:rPr/>
            </w:pPr>
            <w:r>
              <w:rPr/>
              <w:t>(2,057</w:t>
            </w:r>
          </w:p>
        </w:tc>
        <w:tc>
          <w:tcPr>
            <w:tcW w:w="119" w:type="dxa"/>
            <w:tcBorders/>
            <w:vAlign w:val="center"/>
          </w:tcPr>
          <w:p>
            <w:pPr>
              <w:pStyle w:val="TableContents"/>
              <w:bidi w:val="0"/>
              <w:spacing w:before="0" w:after="283"/>
              <w:jc w:val="left"/>
              <w:rPr/>
            </w:pPr>
            <w:r>
              <w:rPr/>
              <w:t>)</w:t>
            </w:r>
          </w:p>
        </w:tc>
      </w:tr>
      <w:tr>
        <w:trPr/>
        <w:tc>
          <w:tcPr>
            <w:tcW w:w="3874" w:type="dxa"/>
            <w:tcBorders/>
            <w:shd w:fill="CCEEFF" w:val="clear"/>
            <w:vAlign w:val="bottom"/>
          </w:tcPr>
          <w:p>
            <w:pPr>
              <w:pStyle w:val="TableContents"/>
              <w:bidi w:val="0"/>
              <w:spacing w:before="0" w:after="0"/>
              <w:ind w:left="0" w:right="0" w:hanging="0"/>
              <w:jc w:val="left"/>
              <w:rPr/>
            </w:pPr>
            <w:r>
              <w:rPr/>
              <w:t xml:space="preserve">  </w:t>
            </w:r>
          </w:p>
        </w:tc>
        <w:tc>
          <w:tcPr>
            <w:tcW w:w="104" w:type="dxa"/>
            <w:tcBorders/>
            <w:shd w:fill="CCEEFF" w:val="clear"/>
            <w:vAlign w:val="bottom"/>
          </w:tcPr>
          <w:p>
            <w:pPr>
              <w:pStyle w:val="TableContents"/>
              <w:bidi w:val="0"/>
              <w:spacing w:before="0" w:after="0"/>
              <w:ind w:left="0" w:right="0" w:hanging="0"/>
              <w:jc w:val="left"/>
              <w:rPr/>
            </w:pPr>
            <w:r>
              <w:rPr/>
              <w:t xml:space="preserve">  </w:t>
            </w:r>
          </w:p>
        </w:tc>
        <w:tc>
          <w:tcPr>
            <w:tcW w:w="199" w:type="dxa"/>
            <w:tcBorders/>
            <w:shd w:fill="CCEEFF" w:val="clear"/>
            <w:vAlign w:val="bottom"/>
          </w:tcPr>
          <w:p>
            <w:pPr>
              <w:pStyle w:val="TableContents"/>
              <w:bidi w:val="0"/>
              <w:spacing w:before="0" w:after="0"/>
              <w:ind w:left="0" w:right="0" w:hanging="0"/>
              <w:jc w:val="left"/>
              <w:rPr/>
            </w:pPr>
            <w:r>
              <w:rPr/>
              <w:t xml:space="preserve">  </w:t>
            </w:r>
          </w:p>
        </w:tc>
        <w:tc>
          <w:tcPr>
            <w:tcW w:w="1077" w:type="dxa"/>
            <w:tcBorders/>
            <w:shd w:fill="CCEEFF" w:val="clear"/>
            <w:vAlign w:val="bottom"/>
          </w:tcPr>
          <w:p>
            <w:pPr>
              <w:pStyle w:val="TableContents"/>
              <w:bidi w:val="0"/>
              <w:spacing w:before="0" w:after="0"/>
              <w:ind w:left="0" w:right="0" w:hanging="0"/>
              <w:jc w:val="left"/>
              <w:rPr/>
            </w:pPr>
            <w:r>
              <w:rPr/>
              <w:t xml:space="preserve">  </w:t>
            </w:r>
          </w:p>
        </w:tc>
        <w:tc>
          <w:tcPr>
            <w:tcW w:w="139" w:type="dxa"/>
            <w:tcBorders/>
            <w:shd w:fill="CCEEFF" w:val="clear"/>
            <w:vAlign w:val="bottom"/>
          </w:tcPr>
          <w:p>
            <w:pPr>
              <w:pStyle w:val="TableContents"/>
              <w:bidi w:val="0"/>
              <w:spacing w:before="0" w:after="0"/>
              <w:ind w:left="0" w:right="0" w:hanging="0"/>
              <w:jc w:val="left"/>
              <w:rPr/>
            </w:pPr>
            <w:r>
              <w:rPr/>
              <w:t xml:space="preserve">  </w:t>
            </w:r>
          </w:p>
        </w:tc>
        <w:tc>
          <w:tcPr>
            <w:tcW w:w="130" w:type="dxa"/>
            <w:tcBorders/>
            <w:shd w:fill="CCEEFF" w:val="clear"/>
            <w:vAlign w:val="bottom"/>
          </w:tcPr>
          <w:p>
            <w:pPr>
              <w:pStyle w:val="TableContents"/>
              <w:bidi w:val="0"/>
              <w:spacing w:before="0" w:after="0"/>
              <w:ind w:left="0" w:right="0" w:hanging="0"/>
              <w:jc w:val="left"/>
              <w:rPr/>
            </w:pPr>
            <w:r>
              <w:rPr/>
              <w:t xml:space="preserve">  </w:t>
            </w:r>
          </w:p>
        </w:tc>
        <w:tc>
          <w:tcPr>
            <w:tcW w:w="199" w:type="dxa"/>
            <w:tcBorders/>
            <w:shd w:fill="CCEEFF" w:val="clear"/>
            <w:vAlign w:val="bottom"/>
          </w:tcPr>
          <w:p>
            <w:pPr>
              <w:pStyle w:val="TableContents"/>
              <w:bidi w:val="0"/>
              <w:spacing w:before="0" w:after="0"/>
              <w:ind w:left="0" w:right="0" w:hanging="0"/>
              <w:jc w:val="left"/>
              <w:rPr/>
            </w:pPr>
            <w:r>
              <w:rPr/>
              <w:t xml:space="preserve">  </w:t>
            </w:r>
          </w:p>
        </w:tc>
        <w:tc>
          <w:tcPr>
            <w:tcW w:w="1034" w:type="dxa"/>
            <w:tcBorders/>
            <w:shd w:fill="CCEEFF" w:val="clear"/>
            <w:vAlign w:val="bottom"/>
          </w:tcPr>
          <w:p>
            <w:pPr>
              <w:pStyle w:val="TableContents"/>
              <w:bidi w:val="0"/>
              <w:spacing w:before="0" w:after="0"/>
              <w:ind w:left="0" w:right="0" w:hanging="0"/>
              <w:jc w:val="left"/>
              <w:rPr/>
            </w:pPr>
            <w:r>
              <w:rPr/>
              <w:t xml:space="preserve">  </w:t>
            </w:r>
          </w:p>
        </w:tc>
        <w:tc>
          <w:tcPr>
            <w:tcW w:w="113" w:type="dxa"/>
            <w:tcBorders/>
            <w:shd w:fill="CCEEFF" w:val="clear"/>
            <w:vAlign w:val="bottom"/>
          </w:tcPr>
          <w:p>
            <w:pPr>
              <w:pStyle w:val="TableContents"/>
              <w:bidi w:val="0"/>
              <w:spacing w:before="0" w:after="0"/>
              <w:ind w:left="0" w:right="0" w:hanging="0"/>
              <w:jc w:val="left"/>
              <w:rPr/>
            </w:pPr>
            <w:r>
              <w:rPr/>
              <w:t xml:space="preserve">  </w:t>
            </w:r>
          </w:p>
        </w:tc>
        <w:tc>
          <w:tcPr>
            <w:tcW w:w="22" w:type="dxa"/>
            <w:tcBorders/>
            <w:shd w:fill="CCEEFF" w:val="clear"/>
            <w:vAlign w:val="bottom"/>
          </w:tcPr>
          <w:p>
            <w:pPr>
              <w:pStyle w:val="TableContents"/>
              <w:bidi w:val="0"/>
              <w:spacing w:before="0" w:after="283"/>
              <w:jc w:val="left"/>
              <w:rPr/>
            </w:pPr>
            <w:r>
              <w:rPr/>
            </w:r>
          </w:p>
        </w:tc>
        <w:tc>
          <w:tcPr>
            <w:tcW w:w="189" w:type="dxa"/>
            <w:tcBorders/>
            <w:shd w:fill="CCEEFF" w:val="clear"/>
            <w:vAlign w:val="bottom"/>
          </w:tcPr>
          <w:p>
            <w:pPr>
              <w:pStyle w:val="TableContents"/>
              <w:bidi w:val="0"/>
              <w:spacing w:before="0" w:after="283"/>
              <w:jc w:val="left"/>
              <w:rPr/>
            </w:pPr>
            <w:r>
              <w:rPr/>
            </w:r>
          </w:p>
        </w:tc>
        <w:tc>
          <w:tcPr>
            <w:tcW w:w="1329" w:type="dxa"/>
            <w:tcBorders/>
            <w:shd w:fill="CCEEFF" w:val="clear"/>
            <w:vAlign w:val="bottom"/>
          </w:tcPr>
          <w:p>
            <w:pPr>
              <w:pStyle w:val="TableContents"/>
              <w:bidi w:val="0"/>
              <w:spacing w:before="0" w:after="283"/>
              <w:jc w:val="left"/>
              <w:rPr/>
            </w:pPr>
            <w:r>
              <w:rPr/>
            </w:r>
          </w:p>
        </w:tc>
        <w:tc>
          <w:tcPr>
            <w:tcW w:w="128" w:type="dxa"/>
            <w:tcBorders/>
            <w:shd w:fill="CCEEFF" w:val="clear"/>
            <w:vAlign w:val="bottom"/>
          </w:tcPr>
          <w:p>
            <w:pPr>
              <w:pStyle w:val="TableContents"/>
              <w:bidi w:val="0"/>
              <w:spacing w:before="0" w:after="283"/>
              <w:jc w:val="left"/>
              <w:rPr/>
            </w:pPr>
            <w:r>
              <w:rPr/>
            </w:r>
          </w:p>
        </w:tc>
        <w:tc>
          <w:tcPr>
            <w:tcW w:w="31" w:type="dxa"/>
            <w:tcBorders/>
            <w:shd w:fill="CCEEFF" w:val="clear"/>
            <w:vAlign w:val="bottom"/>
          </w:tcPr>
          <w:p>
            <w:pPr>
              <w:pStyle w:val="TableContents"/>
              <w:bidi w:val="0"/>
              <w:spacing w:before="0" w:after="283"/>
              <w:jc w:val="left"/>
              <w:rPr/>
            </w:pPr>
            <w:r>
              <w:rPr/>
            </w:r>
          </w:p>
        </w:tc>
        <w:tc>
          <w:tcPr>
            <w:tcW w:w="189" w:type="dxa"/>
            <w:tcBorders/>
            <w:shd w:fill="CCEEFF" w:val="clear"/>
            <w:vAlign w:val="bottom"/>
          </w:tcPr>
          <w:p>
            <w:pPr>
              <w:pStyle w:val="TableContents"/>
              <w:bidi w:val="0"/>
              <w:spacing w:before="0" w:after="283"/>
              <w:jc w:val="left"/>
              <w:rPr/>
            </w:pPr>
            <w:r>
              <w:rPr/>
            </w:r>
          </w:p>
        </w:tc>
        <w:tc>
          <w:tcPr>
            <w:tcW w:w="1329" w:type="dxa"/>
            <w:tcBorders/>
            <w:shd w:fill="CCEEFF" w:val="clear"/>
            <w:vAlign w:val="bottom"/>
          </w:tcPr>
          <w:p>
            <w:pPr>
              <w:pStyle w:val="TableContents"/>
              <w:bidi w:val="0"/>
              <w:spacing w:before="0" w:after="283"/>
              <w:jc w:val="left"/>
              <w:rPr/>
            </w:pPr>
            <w:r>
              <w:rPr/>
            </w:r>
          </w:p>
        </w:tc>
        <w:tc>
          <w:tcPr>
            <w:tcW w:w="119" w:type="dxa"/>
            <w:tcBorders/>
            <w:shd w:fill="CCEEFF" w:val="clear"/>
            <w:vAlign w:val="center"/>
          </w:tcPr>
          <w:p>
            <w:pPr>
              <w:pStyle w:val="TableContents"/>
              <w:bidi w:val="0"/>
              <w:spacing w:before="0" w:after="283"/>
              <w:jc w:val="left"/>
              <w:rPr/>
            </w:pPr>
            <w:r>
              <w:rPr/>
            </w:r>
          </w:p>
        </w:tc>
      </w:tr>
      <w:tr>
        <w:trPr/>
        <w:tc>
          <w:tcPr>
            <w:tcW w:w="3874"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Provision for income taxes </w:t>
            </w:r>
          </w:p>
        </w:tc>
        <w:tc>
          <w:tcPr>
            <w:tcW w:w="104" w:type="dxa"/>
            <w:tcBorders/>
            <w:vAlign w:val="bottom"/>
          </w:tcPr>
          <w:p>
            <w:pPr>
              <w:pStyle w:val="TableContents"/>
              <w:bidi w:val="0"/>
              <w:spacing w:before="0" w:after="0"/>
              <w:ind w:left="0" w:right="0" w:hanging="0"/>
              <w:jc w:val="left"/>
              <w:rPr/>
            </w:pPr>
            <w:r>
              <w:rPr/>
              <w:t xml:space="preserve">  </w:t>
            </w:r>
          </w:p>
        </w:tc>
        <w:tc>
          <w:tcPr>
            <w:tcW w:w="199" w:type="dxa"/>
            <w:tcBorders/>
            <w:vAlign w:val="bottom"/>
          </w:tcPr>
          <w:p>
            <w:pPr>
              <w:pStyle w:val="TableContents"/>
              <w:bidi w:val="0"/>
              <w:spacing w:before="0" w:after="0"/>
              <w:ind w:left="0" w:right="0" w:hanging="0"/>
              <w:jc w:val="left"/>
              <w:rPr/>
            </w:pPr>
            <w:r>
              <w:rPr/>
              <w:t xml:space="preserve">  </w:t>
            </w:r>
          </w:p>
        </w:tc>
        <w:tc>
          <w:tcPr>
            <w:tcW w:w="1077" w:type="dxa"/>
            <w:tcBorders/>
            <w:vAlign w:val="bottom"/>
          </w:tcPr>
          <w:p>
            <w:pPr>
              <w:pStyle w:val="TableContents"/>
              <w:bidi w:val="0"/>
              <w:spacing w:before="0" w:after="0"/>
              <w:ind w:left="0" w:right="0" w:hanging="0"/>
              <w:jc w:val="right"/>
              <w:rPr/>
            </w:pPr>
            <w:r>
              <w:rPr/>
              <w:t>1</w:t>
            </w:r>
          </w:p>
        </w:tc>
        <w:tc>
          <w:tcPr>
            <w:tcW w:w="139"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0"/>
              <w:ind w:left="0" w:right="0" w:hanging="0"/>
              <w:jc w:val="left"/>
              <w:rPr/>
            </w:pPr>
            <w:r>
              <w:rPr/>
              <w:t xml:space="preserve">  </w:t>
            </w:r>
          </w:p>
        </w:tc>
        <w:tc>
          <w:tcPr>
            <w:tcW w:w="199" w:type="dxa"/>
            <w:tcBorders/>
            <w:vAlign w:val="bottom"/>
          </w:tcPr>
          <w:p>
            <w:pPr>
              <w:pStyle w:val="TableContents"/>
              <w:bidi w:val="0"/>
              <w:spacing w:before="0" w:after="0"/>
              <w:ind w:left="0" w:right="0" w:hanging="0"/>
              <w:jc w:val="left"/>
              <w:rPr/>
            </w:pPr>
            <w:r>
              <w:rPr/>
              <w:t xml:space="preserve">  </w:t>
            </w:r>
          </w:p>
        </w:tc>
        <w:tc>
          <w:tcPr>
            <w:tcW w:w="1034"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w:t>
            </w:r>
          </w:p>
        </w:tc>
        <w:tc>
          <w:tcPr>
            <w:tcW w:w="113" w:type="dxa"/>
            <w:tcBorders/>
            <w:vAlign w:val="bottom"/>
          </w:tcPr>
          <w:p>
            <w:pPr>
              <w:pStyle w:val="TableContents"/>
              <w:bidi w:val="0"/>
              <w:spacing w:before="0" w:after="283"/>
              <w:jc w:val="left"/>
              <w:rPr>
                <w:sz w:val="4"/>
                <w:szCs w:val="4"/>
              </w:rPr>
            </w:pPr>
            <w:r>
              <w:rPr>
                <w:sz w:val="4"/>
                <w:szCs w:val="4"/>
              </w:rPr>
            </w:r>
          </w:p>
        </w:tc>
        <w:tc>
          <w:tcPr>
            <w:tcW w:w="22" w:type="dxa"/>
            <w:tcBorders/>
            <w:vAlign w:val="bottom"/>
          </w:tcPr>
          <w:p>
            <w:pPr>
              <w:pStyle w:val="TableContents"/>
              <w:bidi w:val="0"/>
              <w:spacing w:before="0" w:after="283"/>
              <w:jc w:val="left"/>
              <w:rPr/>
            </w:pPr>
            <w:r>
              <w:rPr/>
            </w:r>
          </w:p>
        </w:tc>
        <w:tc>
          <w:tcPr>
            <w:tcW w:w="189" w:type="dxa"/>
            <w:tcBorders/>
            <w:vAlign w:val="bottom"/>
          </w:tcPr>
          <w:p>
            <w:pPr>
              <w:pStyle w:val="TableContents"/>
              <w:bidi w:val="0"/>
              <w:spacing w:before="0" w:after="283"/>
              <w:jc w:val="left"/>
              <w:rPr/>
            </w:pPr>
            <w:r>
              <w:rPr/>
            </w:r>
          </w:p>
        </w:tc>
        <w:tc>
          <w:tcPr>
            <w:tcW w:w="1329" w:type="dxa"/>
            <w:tcBorders/>
            <w:vAlign w:val="bottom"/>
          </w:tcPr>
          <w:p>
            <w:pPr>
              <w:pStyle w:val="TableContents"/>
              <w:bidi w:val="0"/>
              <w:spacing w:before="0" w:after="283"/>
              <w:jc w:val="right"/>
              <w:rPr/>
            </w:pPr>
            <w:r>
              <w:rPr/>
              <w:t>9</w:t>
            </w:r>
          </w:p>
        </w:tc>
        <w:tc>
          <w:tcPr>
            <w:tcW w:w="128" w:type="dxa"/>
            <w:tcBorders/>
            <w:vAlign w:val="bottom"/>
          </w:tcPr>
          <w:p>
            <w:pPr>
              <w:pStyle w:val="TableContents"/>
              <w:bidi w:val="0"/>
              <w:spacing w:before="0" w:after="283"/>
              <w:jc w:val="left"/>
              <w:rPr/>
            </w:pPr>
            <w:r>
              <w:rPr/>
            </w:r>
          </w:p>
        </w:tc>
        <w:tc>
          <w:tcPr>
            <w:tcW w:w="31" w:type="dxa"/>
            <w:tcBorders/>
            <w:vAlign w:val="bottom"/>
          </w:tcPr>
          <w:p>
            <w:pPr>
              <w:pStyle w:val="TableContents"/>
              <w:bidi w:val="0"/>
              <w:spacing w:before="0" w:after="283"/>
              <w:jc w:val="left"/>
              <w:rPr/>
            </w:pPr>
            <w:r>
              <w:rPr/>
            </w:r>
          </w:p>
        </w:tc>
        <w:tc>
          <w:tcPr>
            <w:tcW w:w="189" w:type="dxa"/>
            <w:tcBorders/>
            <w:vAlign w:val="bottom"/>
          </w:tcPr>
          <w:p>
            <w:pPr>
              <w:pStyle w:val="TableContents"/>
              <w:bidi w:val="0"/>
              <w:spacing w:before="0" w:after="283"/>
              <w:jc w:val="left"/>
              <w:rPr/>
            </w:pPr>
            <w:r>
              <w:rPr/>
            </w:r>
          </w:p>
        </w:tc>
        <w:tc>
          <w:tcPr>
            <w:tcW w:w="1329" w:type="dxa"/>
            <w:tcBorders/>
            <w:vAlign w:val="bottom"/>
          </w:tcPr>
          <w:p>
            <w:pPr>
              <w:pStyle w:val="TableContents"/>
              <w:bidi w:val="0"/>
              <w:spacing w:before="0" w:after="283"/>
              <w:jc w:val="right"/>
              <w:rPr/>
            </w:pPr>
            <w:r>
              <w:rPr/>
              <w:t>29</w:t>
            </w:r>
          </w:p>
        </w:tc>
        <w:tc>
          <w:tcPr>
            <w:tcW w:w="119" w:type="dxa"/>
            <w:tcBorders/>
            <w:vAlign w:val="center"/>
          </w:tcPr>
          <w:p>
            <w:pPr>
              <w:pStyle w:val="TableContents"/>
              <w:bidi w:val="0"/>
              <w:spacing w:before="0" w:after="283"/>
              <w:jc w:val="left"/>
              <w:rPr/>
            </w:pPr>
            <w:r>
              <w:rPr/>
            </w:r>
          </w:p>
        </w:tc>
      </w:tr>
      <w:tr>
        <w:trPr/>
        <w:tc>
          <w:tcPr>
            <w:tcW w:w="3874" w:type="dxa"/>
            <w:tcBorders/>
            <w:shd w:fill="CCEEFF" w:val="clear"/>
            <w:vAlign w:val="bottom"/>
          </w:tcPr>
          <w:p>
            <w:pPr>
              <w:pStyle w:val="TableContents"/>
              <w:bidi w:val="0"/>
              <w:spacing w:before="0" w:after="0"/>
              <w:ind w:left="0" w:right="0" w:hanging="0"/>
              <w:jc w:val="left"/>
              <w:rPr/>
            </w:pPr>
            <w:r>
              <w:rPr/>
              <w:t xml:space="preserve">  </w:t>
            </w:r>
          </w:p>
        </w:tc>
        <w:tc>
          <w:tcPr>
            <w:tcW w:w="104" w:type="dxa"/>
            <w:tcBorders/>
            <w:shd w:fill="CCEEFF" w:val="clear"/>
            <w:vAlign w:val="bottom"/>
          </w:tcPr>
          <w:p>
            <w:pPr>
              <w:pStyle w:val="TableContents"/>
              <w:bidi w:val="0"/>
              <w:spacing w:before="0" w:after="0"/>
              <w:ind w:left="0" w:right="0" w:hanging="0"/>
              <w:jc w:val="left"/>
              <w:rPr/>
            </w:pPr>
            <w:r>
              <w:rPr/>
              <w:t xml:space="preserve">  </w:t>
            </w:r>
          </w:p>
        </w:tc>
        <w:tc>
          <w:tcPr>
            <w:tcW w:w="199" w:type="dxa"/>
            <w:tcBorders/>
            <w:shd w:fill="CCEEFF" w:val="clear"/>
            <w:vAlign w:val="bottom"/>
          </w:tcPr>
          <w:p>
            <w:pPr>
              <w:pStyle w:val="TableContents"/>
              <w:bidi w:val="0"/>
              <w:spacing w:before="0" w:after="0"/>
              <w:ind w:left="0" w:right="0" w:hanging="0"/>
              <w:jc w:val="left"/>
              <w:rPr/>
            </w:pPr>
            <w:r>
              <w:rPr/>
              <w:t xml:space="preserve">  </w:t>
            </w:r>
          </w:p>
        </w:tc>
        <w:tc>
          <w:tcPr>
            <w:tcW w:w="1077" w:type="dxa"/>
            <w:tcBorders/>
            <w:shd w:fill="CCEEFF" w:val="clear"/>
            <w:vAlign w:val="bottom"/>
          </w:tcPr>
          <w:p>
            <w:pPr>
              <w:pStyle w:val="TableContents"/>
              <w:bidi w:val="0"/>
              <w:spacing w:before="0" w:after="0"/>
              <w:ind w:left="0" w:right="0" w:hanging="0"/>
              <w:jc w:val="left"/>
              <w:rPr/>
            </w:pPr>
            <w:r>
              <w:rPr/>
              <w:t xml:space="preserve">  </w:t>
            </w:r>
          </w:p>
        </w:tc>
        <w:tc>
          <w:tcPr>
            <w:tcW w:w="139" w:type="dxa"/>
            <w:tcBorders/>
            <w:shd w:fill="CCEEFF" w:val="clear"/>
            <w:vAlign w:val="bottom"/>
          </w:tcPr>
          <w:p>
            <w:pPr>
              <w:pStyle w:val="TableContents"/>
              <w:bidi w:val="0"/>
              <w:spacing w:before="0" w:after="0"/>
              <w:ind w:left="0" w:right="0" w:hanging="0"/>
              <w:jc w:val="left"/>
              <w:rPr/>
            </w:pPr>
            <w:r>
              <w:rPr/>
              <w:t xml:space="preserve">  </w:t>
            </w:r>
          </w:p>
        </w:tc>
        <w:tc>
          <w:tcPr>
            <w:tcW w:w="130" w:type="dxa"/>
            <w:tcBorders/>
            <w:shd w:fill="CCEEFF" w:val="clear"/>
            <w:vAlign w:val="bottom"/>
          </w:tcPr>
          <w:p>
            <w:pPr>
              <w:pStyle w:val="TableContents"/>
              <w:bidi w:val="0"/>
              <w:spacing w:before="0" w:after="0"/>
              <w:ind w:left="0" w:right="0" w:hanging="0"/>
              <w:jc w:val="left"/>
              <w:rPr/>
            </w:pPr>
            <w:r>
              <w:rPr/>
              <w:t xml:space="preserve">  </w:t>
            </w:r>
          </w:p>
        </w:tc>
        <w:tc>
          <w:tcPr>
            <w:tcW w:w="199" w:type="dxa"/>
            <w:tcBorders/>
            <w:shd w:fill="CCEEFF" w:val="clear"/>
            <w:vAlign w:val="bottom"/>
          </w:tcPr>
          <w:p>
            <w:pPr>
              <w:pStyle w:val="TableContents"/>
              <w:bidi w:val="0"/>
              <w:spacing w:before="0" w:after="0"/>
              <w:ind w:left="0" w:right="0" w:hanging="0"/>
              <w:jc w:val="left"/>
              <w:rPr/>
            </w:pPr>
            <w:r>
              <w:rPr/>
              <w:t xml:space="preserve">  </w:t>
            </w:r>
          </w:p>
        </w:tc>
        <w:tc>
          <w:tcPr>
            <w:tcW w:w="1034" w:type="dxa"/>
            <w:tcBorders/>
            <w:shd w:fill="CCEEFF" w:val="clear"/>
            <w:vAlign w:val="bottom"/>
          </w:tcPr>
          <w:p>
            <w:pPr>
              <w:pStyle w:val="TableContents"/>
              <w:bidi w:val="0"/>
              <w:spacing w:before="0" w:after="0"/>
              <w:ind w:left="0" w:right="0" w:hanging="0"/>
              <w:jc w:val="left"/>
              <w:rPr/>
            </w:pPr>
            <w:r>
              <w:rPr/>
              <w:t xml:space="preserve">  </w:t>
            </w:r>
          </w:p>
        </w:tc>
        <w:tc>
          <w:tcPr>
            <w:tcW w:w="113" w:type="dxa"/>
            <w:tcBorders/>
            <w:shd w:fill="CCEEFF" w:val="clear"/>
            <w:vAlign w:val="bottom"/>
          </w:tcPr>
          <w:p>
            <w:pPr>
              <w:pStyle w:val="TableContents"/>
              <w:bidi w:val="0"/>
              <w:spacing w:before="0" w:after="0"/>
              <w:ind w:left="0" w:right="0" w:hanging="0"/>
              <w:jc w:val="left"/>
              <w:rPr/>
            </w:pPr>
            <w:r>
              <w:rPr/>
              <w:t xml:space="preserve">  </w:t>
            </w:r>
          </w:p>
        </w:tc>
        <w:tc>
          <w:tcPr>
            <w:tcW w:w="22" w:type="dxa"/>
            <w:tcBorders/>
            <w:shd w:fill="CCEEFF" w:val="clear"/>
            <w:vAlign w:val="bottom"/>
          </w:tcPr>
          <w:p>
            <w:pPr>
              <w:pStyle w:val="TableContents"/>
              <w:bidi w:val="0"/>
              <w:spacing w:before="0" w:after="283"/>
              <w:jc w:val="left"/>
              <w:rPr/>
            </w:pPr>
            <w:r>
              <w:rPr/>
            </w:r>
          </w:p>
        </w:tc>
        <w:tc>
          <w:tcPr>
            <w:tcW w:w="189" w:type="dxa"/>
            <w:tcBorders/>
            <w:shd w:fill="CCEEFF" w:val="clear"/>
            <w:vAlign w:val="bottom"/>
          </w:tcPr>
          <w:p>
            <w:pPr>
              <w:pStyle w:val="TableContents"/>
              <w:bidi w:val="0"/>
              <w:spacing w:before="0" w:after="283"/>
              <w:jc w:val="left"/>
              <w:rPr/>
            </w:pPr>
            <w:r>
              <w:rPr/>
            </w:r>
          </w:p>
        </w:tc>
        <w:tc>
          <w:tcPr>
            <w:tcW w:w="1329" w:type="dxa"/>
            <w:tcBorders/>
            <w:shd w:fill="CCEEFF" w:val="clear"/>
            <w:vAlign w:val="bottom"/>
          </w:tcPr>
          <w:p>
            <w:pPr>
              <w:pStyle w:val="TableContents"/>
              <w:bidi w:val="0"/>
              <w:spacing w:before="0" w:after="283"/>
              <w:jc w:val="left"/>
              <w:rPr/>
            </w:pPr>
            <w:r>
              <w:rPr/>
            </w:r>
          </w:p>
        </w:tc>
        <w:tc>
          <w:tcPr>
            <w:tcW w:w="128" w:type="dxa"/>
            <w:tcBorders/>
            <w:shd w:fill="CCEEFF" w:val="clear"/>
            <w:vAlign w:val="bottom"/>
          </w:tcPr>
          <w:p>
            <w:pPr>
              <w:pStyle w:val="TableContents"/>
              <w:bidi w:val="0"/>
              <w:spacing w:before="0" w:after="283"/>
              <w:jc w:val="left"/>
              <w:rPr/>
            </w:pPr>
            <w:r>
              <w:rPr/>
            </w:r>
          </w:p>
        </w:tc>
        <w:tc>
          <w:tcPr>
            <w:tcW w:w="31" w:type="dxa"/>
            <w:tcBorders/>
            <w:shd w:fill="CCEEFF" w:val="clear"/>
            <w:vAlign w:val="bottom"/>
          </w:tcPr>
          <w:p>
            <w:pPr>
              <w:pStyle w:val="TableContents"/>
              <w:bidi w:val="0"/>
              <w:spacing w:before="0" w:after="283"/>
              <w:jc w:val="left"/>
              <w:rPr/>
            </w:pPr>
            <w:r>
              <w:rPr/>
            </w:r>
          </w:p>
        </w:tc>
        <w:tc>
          <w:tcPr>
            <w:tcW w:w="189" w:type="dxa"/>
            <w:tcBorders/>
            <w:shd w:fill="CCEEFF" w:val="clear"/>
            <w:vAlign w:val="bottom"/>
          </w:tcPr>
          <w:p>
            <w:pPr>
              <w:pStyle w:val="TableContents"/>
              <w:bidi w:val="0"/>
              <w:spacing w:before="0" w:after="283"/>
              <w:jc w:val="left"/>
              <w:rPr/>
            </w:pPr>
            <w:r>
              <w:rPr/>
            </w:r>
          </w:p>
        </w:tc>
        <w:tc>
          <w:tcPr>
            <w:tcW w:w="1329" w:type="dxa"/>
            <w:tcBorders/>
            <w:shd w:fill="CCEEFF" w:val="clear"/>
            <w:vAlign w:val="bottom"/>
          </w:tcPr>
          <w:p>
            <w:pPr>
              <w:pStyle w:val="TableContents"/>
              <w:bidi w:val="0"/>
              <w:spacing w:before="0" w:after="283"/>
              <w:jc w:val="left"/>
              <w:rPr/>
            </w:pPr>
            <w:r>
              <w:rPr/>
            </w:r>
          </w:p>
        </w:tc>
        <w:tc>
          <w:tcPr>
            <w:tcW w:w="119" w:type="dxa"/>
            <w:tcBorders/>
            <w:shd w:fill="CCEEFF" w:val="clear"/>
            <w:vAlign w:val="center"/>
          </w:tcPr>
          <w:p>
            <w:pPr>
              <w:pStyle w:val="TableContents"/>
              <w:bidi w:val="0"/>
              <w:spacing w:before="0" w:after="283"/>
              <w:ind w:left="0" w:right="0" w:hanging="0"/>
              <w:jc w:val="left"/>
              <w:rPr/>
            </w:pPr>
            <w:r>
              <w:rPr/>
            </w:r>
          </w:p>
        </w:tc>
      </w:tr>
      <w:tr>
        <w:trPr/>
        <w:tc>
          <w:tcPr>
            <w:tcW w:w="3874" w:type="dxa"/>
            <w:tcBorders/>
            <w:vAlign w:val="bottom"/>
          </w:tcPr>
          <w:p>
            <w:pPr>
              <w:pStyle w:val="TableContents"/>
              <w:bidi w:val="0"/>
              <w:spacing w:before="0" w:after="0"/>
              <w:ind w:left="0" w:right="0" w:hanging="0"/>
              <w:jc w:val="left"/>
              <w:rPr/>
            </w:pPr>
            <w:r>
              <w:rPr/>
              <w:t>Loss from continuing operations</w:t>
            </w:r>
          </w:p>
        </w:tc>
        <w:tc>
          <w:tcPr>
            <w:tcW w:w="104" w:type="dxa"/>
            <w:tcBorders/>
            <w:vAlign w:val="bottom"/>
          </w:tcPr>
          <w:p>
            <w:pPr>
              <w:pStyle w:val="TableContents"/>
              <w:bidi w:val="0"/>
              <w:spacing w:before="0" w:after="283"/>
              <w:ind w:left="0" w:right="0" w:hanging="0"/>
              <w:jc w:val="left"/>
              <w:rPr/>
            </w:pPr>
            <w:r>
              <w:rPr/>
            </w:r>
          </w:p>
        </w:tc>
        <w:tc>
          <w:tcPr>
            <w:tcW w:w="199" w:type="dxa"/>
            <w:tcBorders/>
            <w:vAlign w:val="bottom"/>
          </w:tcPr>
          <w:p>
            <w:pPr>
              <w:pStyle w:val="TableContents"/>
              <w:bidi w:val="0"/>
              <w:spacing w:before="0" w:after="283"/>
              <w:ind w:left="0" w:right="0" w:hanging="0"/>
              <w:jc w:val="left"/>
              <w:rPr/>
            </w:pPr>
            <w:r>
              <w:rPr/>
            </w:r>
          </w:p>
        </w:tc>
        <w:tc>
          <w:tcPr>
            <w:tcW w:w="1077" w:type="dxa"/>
            <w:tcBorders/>
            <w:vAlign w:val="bottom"/>
          </w:tcPr>
          <w:p>
            <w:pPr>
              <w:pStyle w:val="TableContents"/>
              <w:bidi w:val="0"/>
              <w:spacing w:before="0" w:after="0"/>
              <w:ind w:left="0" w:right="0" w:hanging="0"/>
              <w:jc w:val="right"/>
              <w:rPr/>
            </w:pPr>
            <w:r>
              <w:rPr/>
              <w:t>(871</w:t>
            </w:r>
          </w:p>
        </w:tc>
        <w:tc>
          <w:tcPr>
            <w:tcW w:w="139" w:type="dxa"/>
            <w:tcBorders/>
            <w:vAlign w:val="bottom"/>
          </w:tcPr>
          <w:p>
            <w:pPr>
              <w:pStyle w:val="TableContents"/>
              <w:bidi w:val="0"/>
              <w:spacing w:before="0" w:after="0"/>
              <w:ind w:left="0" w:right="0" w:hanging="0"/>
              <w:jc w:val="left"/>
              <w:rPr/>
            </w:pPr>
            <w:r>
              <w:rPr/>
              <w:t>)</w:t>
            </w:r>
          </w:p>
        </w:tc>
        <w:tc>
          <w:tcPr>
            <w:tcW w:w="130" w:type="dxa"/>
            <w:tcBorders/>
            <w:vAlign w:val="bottom"/>
          </w:tcPr>
          <w:p>
            <w:pPr>
              <w:pStyle w:val="TableContents"/>
              <w:bidi w:val="0"/>
              <w:spacing w:before="0" w:after="283"/>
              <w:ind w:left="0" w:right="0" w:hanging="0"/>
              <w:jc w:val="left"/>
              <w:rPr/>
            </w:pPr>
            <w:r>
              <w:rPr/>
            </w:r>
          </w:p>
        </w:tc>
        <w:tc>
          <w:tcPr>
            <w:tcW w:w="199" w:type="dxa"/>
            <w:tcBorders/>
            <w:vAlign w:val="bottom"/>
          </w:tcPr>
          <w:p>
            <w:pPr>
              <w:pStyle w:val="TableContents"/>
              <w:bidi w:val="0"/>
              <w:spacing w:before="0" w:after="283"/>
              <w:ind w:left="0" w:right="0" w:hanging="0"/>
              <w:jc w:val="left"/>
              <w:rPr/>
            </w:pPr>
            <w:r>
              <w:rPr/>
            </w:r>
          </w:p>
        </w:tc>
        <w:tc>
          <w:tcPr>
            <w:tcW w:w="1034" w:type="dxa"/>
            <w:tcBorders/>
            <w:vAlign w:val="bottom"/>
          </w:tcPr>
          <w:p>
            <w:pPr>
              <w:pStyle w:val="TableContents"/>
              <w:bidi w:val="0"/>
              <w:spacing w:before="0" w:after="0"/>
              <w:ind w:left="0" w:right="0" w:hanging="0"/>
              <w:jc w:val="right"/>
              <w:rPr/>
            </w:pPr>
            <w:r>
              <w:rPr/>
              <w:t>(716</w:t>
            </w:r>
          </w:p>
        </w:tc>
        <w:tc>
          <w:tcPr>
            <w:tcW w:w="113" w:type="dxa"/>
            <w:tcBorders/>
            <w:vAlign w:val="bottom"/>
          </w:tcPr>
          <w:p>
            <w:pPr>
              <w:pStyle w:val="TableContents"/>
              <w:bidi w:val="0"/>
              <w:spacing w:before="0" w:after="0"/>
              <w:ind w:left="0" w:right="0" w:hanging="0"/>
              <w:jc w:val="left"/>
              <w:rPr/>
            </w:pPr>
            <w:r>
              <w:rPr/>
              <w:t>)</w:t>
            </w:r>
          </w:p>
        </w:tc>
        <w:tc>
          <w:tcPr>
            <w:tcW w:w="22" w:type="dxa"/>
            <w:tcBorders/>
            <w:vAlign w:val="bottom"/>
          </w:tcPr>
          <w:p>
            <w:pPr>
              <w:pStyle w:val="TableContents"/>
              <w:bidi w:val="0"/>
              <w:spacing w:before="0" w:after="283"/>
              <w:ind w:left="0" w:right="0" w:hanging="0"/>
              <w:jc w:val="left"/>
              <w:rPr/>
            </w:pPr>
            <w:r>
              <w:rPr/>
            </w:r>
          </w:p>
        </w:tc>
        <w:tc>
          <w:tcPr>
            <w:tcW w:w="189" w:type="dxa"/>
            <w:tcBorders/>
            <w:vAlign w:val="bottom"/>
          </w:tcPr>
          <w:p>
            <w:pPr>
              <w:pStyle w:val="TableContents"/>
              <w:bidi w:val="0"/>
              <w:spacing w:before="0" w:after="283"/>
              <w:ind w:left="0" w:right="0" w:hanging="0"/>
              <w:jc w:val="left"/>
              <w:rPr/>
            </w:pPr>
            <w:r>
              <w:rPr/>
            </w:r>
          </w:p>
        </w:tc>
        <w:tc>
          <w:tcPr>
            <w:tcW w:w="1329" w:type="dxa"/>
            <w:tcBorders/>
            <w:vAlign w:val="bottom"/>
          </w:tcPr>
          <w:p>
            <w:pPr>
              <w:pStyle w:val="TableContents"/>
              <w:bidi w:val="0"/>
              <w:spacing w:before="0" w:after="0"/>
              <w:ind w:left="0" w:right="0" w:hanging="0"/>
              <w:jc w:val="right"/>
              <w:rPr/>
            </w:pPr>
            <w:r>
              <w:rPr/>
              <w:t>(3,278</w:t>
            </w:r>
          </w:p>
        </w:tc>
        <w:tc>
          <w:tcPr>
            <w:tcW w:w="128" w:type="dxa"/>
            <w:tcBorders/>
            <w:vAlign w:val="bottom"/>
          </w:tcPr>
          <w:p>
            <w:pPr>
              <w:pStyle w:val="TableContents"/>
              <w:bidi w:val="0"/>
              <w:spacing w:before="0" w:after="0"/>
              <w:ind w:left="0" w:right="0" w:hanging="0"/>
              <w:jc w:val="left"/>
              <w:rPr/>
            </w:pPr>
            <w:r>
              <w:rPr/>
              <w:t>)</w:t>
            </w:r>
          </w:p>
        </w:tc>
        <w:tc>
          <w:tcPr>
            <w:tcW w:w="31" w:type="dxa"/>
            <w:tcBorders/>
            <w:vAlign w:val="bottom"/>
          </w:tcPr>
          <w:p>
            <w:pPr>
              <w:pStyle w:val="TableContents"/>
              <w:bidi w:val="0"/>
              <w:spacing w:before="0" w:after="283"/>
              <w:ind w:left="0" w:right="0" w:hanging="0"/>
              <w:jc w:val="left"/>
              <w:rPr/>
            </w:pPr>
            <w:r>
              <w:rPr/>
            </w:r>
          </w:p>
        </w:tc>
        <w:tc>
          <w:tcPr>
            <w:tcW w:w="189" w:type="dxa"/>
            <w:tcBorders/>
            <w:vAlign w:val="bottom"/>
          </w:tcPr>
          <w:p>
            <w:pPr>
              <w:pStyle w:val="TableContents"/>
              <w:bidi w:val="0"/>
              <w:spacing w:before="0" w:after="283"/>
              <w:ind w:left="0" w:right="0" w:hanging="0"/>
              <w:jc w:val="left"/>
              <w:rPr/>
            </w:pPr>
            <w:r>
              <w:rPr/>
            </w:r>
          </w:p>
        </w:tc>
        <w:tc>
          <w:tcPr>
            <w:tcW w:w="1329" w:type="dxa"/>
            <w:tcBorders/>
            <w:vAlign w:val="bottom"/>
          </w:tcPr>
          <w:p>
            <w:pPr>
              <w:pStyle w:val="TableContents"/>
              <w:bidi w:val="0"/>
              <w:spacing w:before="0" w:after="0"/>
              <w:ind w:left="0" w:right="0" w:hanging="0"/>
              <w:jc w:val="right"/>
              <w:rPr/>
            </w:pPr>
            <w:r>
              <w:rPr/>
              <w:t>(2,086</w:t>
            </w:r>
          </w:p>
        </w:tc>
        <w:tc>
          <w:tcPr>
            <w:tcW w:w="119" w:type="dxa"/>
            <w:tcBorders/>
            <w:vAlign w:val="center"/>
          </w:tcPr>
          <w:p>
            <w:pPr>
              <w:pStyle w:val="TableContents"/>
              <w:bidi w:val="0"/>
              <w:spacing w:before="0" w:after="0"/>
              <w:ind w:left="0" w:right="0" w:hanging="0"/>
              <w:jc w:val="left"/>
              <w:rPr/>
            </w:pPr>
            <w:r>
              <w:rPr/>
              <w:t>)</w:t>
            </w:r>
          </w:p>
        </w:tc>
      </w:tr>
      <w:tr>
        <w:trPr/>
        <w:tc>
          <w:tcPr>
            <w:tcW w:w="3874" w:type="dxa"/>
            <w:tcBorders/>
            <w:shd w:fill="CCEEFF" w:val="clear"/>
            <w:vAlign w:val="bottom"/>
          </w:tcPr>
          <w:p>
            <w:pPr>
              <w:pStyle w:val="TableContents"/>
              <w:bidi w:val="0"/>
              <w:spacing w:before="0" w:after="283"/>
              <w:ind w:left="0" w:right="0" w:hanging="0"/>
              <w:jc w:val="left"/>
              <w:rPr/>
            </w:pPr>
            <w:r>
              <w:rPr/>
            </w:r>
          </w:p>
        </w:tc>
        <w:tc>
          <w:tcPr>
            <w:tcW w:w="104" w:type="dxa"/>
            <w:tcBorders/>
            <w:shd w:fill="CCEEFF" w:val="clear"/>
            <w:vAlign w:val="bottom"/>
          </w:tcPr>
          <w:p>
            <w:pPr>
              <w:pStyle w:val="TableContents"/>
              <w:bidi w:val="0"/>
              <w:spacing w:before="0" w:after="283"/>
              <w:ind w:left="0" w:right="0" w:hanging="0"/>
              <w:jc w:val="left"/>
              <w:rPr/>
            </w:pPr>
            <w:r>
              <w:rPr/>
            </w:r>
          </w:p>
        </w:tc>
        <w:tc>
          <w:tcPr>
            <w:tcW w:w="199" w:type="dxa"/>
            <w:tcBorders/>
            <w:shd w:fill="CCEEFF" w:val="clear"/>
            <w:vAlign w:val="bottom"/>
          </w:tcPr>
          <w:p>
            <w:pPr>
              <w:pStyle w:val="TableContents"/>
              <w:bidi w:val="0"/>
              <w:spacing w:before="0" w:after="283"/>
              <w:ind w:left="0" w:right="0" w:hanging="0"/>
              <w:jc w:val="left"/>
              <w:rPr/>
            </w:pPr>
            <w:r>
              <w:rPr/>
            </w:r>
          </w:p>
        </w:tc>
        <w:tc>
          <w:tcPr>
            <w:tcW w:w="1077" w:type="dxa"/>
            <w:tcBorders/>
            <w:shd w:fill="CCEEFF" w:val="clear"/>
            <w:vAlign w:val="bottom"/>
          </w:tcPr>
          <w:p>
            <w:pPr>
              <w:pStyle w:val="TableContents"/>
              <w:bidi w:val="0"/>
              <w:spacing w:before="0" w:after="283"/>
              <w:ind w:left="0" w:right="0" w:hanging="0"/>
              <w:jc w:val="left"/>
              <w:rPr/>
            </w:pPr>
            <w:r>
              <w:rPr/>
            </w:r>
          </w:p>
        </w:tc>
        <w:tc>
          <w:tcPr>
            <w:tcW w:w="139" w:type="dxa"/>
            <w:tcBorders/>
            <w:shd w:fill="CCEEFF" w:val="clear"/>
            <w:vAlign w:val="bottom"/>
          </w:tcPr>
          <w:p>
            <w:pPr>
              <w:pStyle w:val="TableContents"/>
              <w:bidi w:val="0"/>
              <w:spacing w:before="0" w:after="283"/>
              <w:ind w:left="0" w:right="0" w:hanging="0"/>
              <w:jc w:val="left"/>
              <w:rPr/>
            </w:pPr>
            <w:r>
              <w:rPr/>
            </w:r>
          </w:p>
        </w:tc>
        <w:tc>
          <w:tcPr>
            <w:tcW w:w="130" w:type="dxa"/>
            <w:tcBorders/>
            <w:shd w:fill="CCEEFF" w:val="clear"/>
            <w:vAlign w:val="bottom"/>
          </w:tcPr>
          <w:p>
            <w:pPr>
              <w:pStyle w:val="TableContents"/>
              <w:bidi w:val="0"/>
              <w:spacing w:before="0" w:after="283"/>
              <w:ind w:left="0" w:right="0" w:hanging="0"/>
              <w:jc w:val="left"/>
              <w:rPr/>
            </w:pPr>
            <w:r>
              <w:rPr/>
            </w:r>
          </w:p>
        </w:tc>
        <w:tc>
          <w:tcPr>
            <w:tcW w:w="199" w:type="dxa"/>
            <w:tcBorders/>
            <w:shd w:fill="CCEEFF" w:val="clear"/>
            <w:vAlign w:val="bottom"/>
          </w:tcPr>
          <w:p>
            <w:pPr>
              <w:pStyle w:val="TableContents"/>
              <w:bidi w:val="0"/>
              <w:spacing w:before="0" w:after="283"/>
              <w:ind w:left="0" w:right="0" w:hanging="0"/>
              <w:jc w:val="left"/>
              <w:rPr/>
            </w:pPr>
            <w:r>
              <w:rPr/>
            </w:r>
          </w:p>
        </w:tc>
        <w:tc>
          <w:tcPr>
            <w:tcW w:w="1034" w:type="dxa"/>
            <w:tcBorders/>
            <w:shd w:fill="CCEEFF" w:val="clear"/>
            <w:vAlign w:val="bottom"/>
          </w:tcPr>
          <w:p>
            <w:pPr>
              <w:pStyle w:val="TableContents"/>
              <w:bidi w:val="0"/>
              <w:spacing w:before="0" w:after="283"/>
              <w:ind w:left="0" w:right="0" w:hanging="0"/>
              <w:jc w:val="left"/>
              <w:rPr/>
            </w:pPr>
            <w:r>
              <w:rPr/>
            </w:r>
          </w:p>
        </w:tc>
        <w:tc>
          <w:tcPr>
            <w:tcW w:w="113" w:type="dxa"/>
            <w:tcBorders/>
            <w:shd w:fill="CCEEFF" w:val="clear"/>
            <w:vAlign w:val="bottom"/>
          </w:tcPr>
          <w:p>
            <w:pPr>
              <w:pStyle w:val="TableContents"/>
              <w:bidi w:val="0"/>
              <w:spacing w:before="0" w:after="283"/>
              <w:ind w:left="0" w:right="0" w:hanging="0"/>
              <w:jc w:val="left"/>
              <w:rPr/>
            </w:pPr>
            <w:r>
              <w:rPr/>
            </w:r>
          </w:p>
        </w:tc>
        <w:tc>
          <w:tcPr>
            <w:tcW w:w="22" w:type="dxa"/>
            <w:tcBorders/>
            <w:shd w:fill="CCEEFF" w:val="clear"/>
            <w:vAlign w:val="bottom"/>
          </w:tcPr>
          <w:p>
            <w:pPr>
              <w:pStyle w:val="TableContents"/>
              <w:bidi w:val="0"/>
              <w:spacing w:before="0" w:after="283"/>
              <w:ind w:left="0" w:right="0" w:hanging="0"/>
              <w:jc w:val="left"/>
              <w:rPr/>
            </w:pPr>
            <w:r>
              <w:rPr/>
            </w:r>
          </w:p>
        </w:tc>
        <w:tc>
          <w:tcPr>
            <w:tcW w:w="189" w:type="dxa"/>
            <w:tcBorders/>
            <w:shd w:fill="CCEEFF" w:val="clear"/>
            <w:vAlign w:val="bottom"/>
          </w:tcPr>
          <w:p>
            <w:pPr>
              <w:pStyle w:val="TableContents"/>
              <w:bidi w:val="0"/>
              <w:spacing w:before="0" w:after="283"/>
              <w:ind w:left="0" w:right="0" w:hanging="0"/>
              <w:jc w:val="left"/>
              <w:rPr/>
            </w:pPr>
            <w:r>
              <w:rPr/>
            </w:r>
          </w:p>
        </w:tc>
        <w:tc>
          <w:tcPr>
            <w:tcW w:w="1329" w:type="dxa"/>
            <w:tcBorders/>
            <w:shd w:fill="CCEEFF" w:val="clear"/>
            <w:vAlign w:val="bottom"/>
          </w:tcPr>
          <w:p>
            <w:pPr>
              <w:pStyle w:val="TableContents"/>
              <w:bidi w:val="0"/>
              <w:spacing w:before="0" w:after="283"/>
              <w:ind w:left="0" w:right="0" w:hanging="0"/>
              <w:jc w:val="left"/>
              <w:rPr/>
            </w:pPr>
            <w:r>
              <w:rPr/>
            </w:r>
          </w:p>
        </w:tc>
        <w:tc>
          <w:tcPr>
            <w:tcW w:w="128" w:type="dxa"/>
            <w:tcBorders/>
            <w:shd w:fill="CCEEFF" w:val="clear"/>
            <w:vAlign w:val="bottom"/>
          </w:tcPr>
          <w:p>
            <w:pPr>
              <w:pStyle w:val="TableContents"/>
              <w:bidi w:val="0"/>
              <w:spacing w:before="0" w:after="283"/>
              <w:ind w:left="0" w:right="0" w:hanging="0"/>
              <w:jc w:val="left"/>
              <w:rPr/>
            </w:pPr>
            <w:r>
              <w:rPr/>
            </w:r>
          </w:p>
        </w:tc>
        <w:tc>
          <w:tcPr>
            <w:tcW w:w="31" w:type="dxa"/>
            <w:tcBorders/>
            <w:shd w:fill="CCEEFF" w:val="clear"/>
            <w:vAlign w:val="bottom"/>
          </w:tcPr>
          <w:p>
            <w:pPr>
              <w:pStyle w:val="TableContents"/>
              <w:bidi w:val="0"/>
              <w:spacing w:before="0" w:after="283"/>
              <w:ind w:left="0" w:right="0" w:hanging="0"/>
              <w:jc w:val="left"/>
              <w:rPr/>
            </w:pPr>
            <w:r>
              <w:rPr/>
            </w:r>
          </w:p>
        </w:tc>
        <w:tc>
          <w:tcPr>
            <w:tcW w:w="189" w:type="dxa"/>
            <w:tcBorders/>
            <w:shd w:fill="CCEEFF" w:val="clear"/>
            <w:vAlign w:val="bottom"/>
          </w:tcPr>
          <w:p>
            <w:pPr>
              <w:pStyle w:val="TableContents"/>
              <w:bidi w:val="0"/>
              <w:spacing w:before="0" w:after="283"/>
              <w:ind w:left="0" w:right="0" w:hanging="0"/>
              <w:jc w:val="left"/>
              <w:rPr/>
            </w:pPr>
            <w:r>
              <w:rPr/>
            </w:r>
          </w:p>
        </w:tc>
        <w:tc>
          <w:tcPr>
            <w:tcW w:w="1329" w:type="dxa"/>
            <w:tcBorders/>
            <w:shd w:fill="CCEEFF" w:val="clear"/>
            <w:vAlign w:val="bottom"/>
          </w:tcPr>
          <w:p>
            <w:pPr>
              <w:pStyle w:val="TableContents"/>
              <w:bidi w:val="0"/>
              <w:spacing w:before="0" w:after="283"/>
              <w:ind w:left="0" w:right="0" w:hanging="0"/>
              <w:jc w:val="left"/>
              <w:rPr/>
            </w:pPr>
            <w:r>
              <w:rPr/>
            </w:r>
          </w:p>
        </w:tc>
        <w:tc>
          <w:tcPr>
            <w:tcW w:w="119" w:type="dxa"/>
            <w:tcBorders/>
            <w:shd w:fill="CCEEFF" w:val="clear"/>
            <w:vAlign w:val="center"/>
          </w:tcPr>
          <w:p>
            <w:pPr>
              <w:pStyle w:val="TableContents"/>
              <w:bidi w:val="0"/>
              <w:spacing w:before="0" w:after="283"/>
              <w:ind w:left="0" w:right="0" w:hanging="0"/>
              <w:jc w:val="left"/>
              <w:rPr/>
            </w:pPr>
            <w:r>
              <w:rPr/>
            </w:r>
          </w:p>
        </w:tc>
      </w:tr>
      <w:tr>
        <w:trPr/>
        <w:tc>
          <w:tcPr>
            <w:tcW w:w="3874" w:type="dxa"/>
            <w:tcBorders/>
            <w:vAlign w:val="bottom"/>
          </w:tcPr>
          <w:p>
            <w:pPr>
              <w:pStyle w:val="TableContents"/>
              <w:bidi w:val="0"/>
              <w:spacing w:before="0" w:after="0"/>
              <w:ind w:left="0" w:right="0" w:hanging="0"/>
              <w:jc w:val="left"/>
              <w:rPr/>
            </w:pPr>
            <w:r>
              <w:rPr/>
              <w:t>Loss from discontinued operations, net of tax</w:t>
            </w:r>
          </w:p>
        </w:tc>
        <w:tc>
          <w:tcPr>
            <w:tcW w:w="104" w:type="dxa"/>
            <w:tcBorders/>
            <w:vAlign w:val="bottom"/>
          </w:tcPr>
          <w:p>
            <w:pPr>
              <w:pStyle w:val="TableContents"/>
              <w:bidi w:val="0"/>
              <w:spacing w:before="0" w:after="283"/>
              <w:ind w:left="0" w:right="0" w:hanging="0"/>
              <w:jc w:val="left"/>
              <w:rPr/>
            </w:pPr>
            <w:r>
              <w:rPr/>
            </w:r>
          </w:p>
        </w:tc>
        <w:tc>
          <w:tcPr>
            <w:tcW w:w="199" w:type="dxa"/>
            <w:tcBorders/>
            <w:vAlign w:val="bottom"/>
          </w:tcPr>
          <w:p>
            <w:pPr>
              <w:pStyle w:val="TableContents"/>
              <w:bidi w:val="0"/>
              <w:spacing w:before="0" w:after="283"/>
              <w:ind w:left="0" w:right="0" w:hanging="0"/>
              <w:jc w:val="left"/>
              <w:rPr/>
            </w:pPr>
            <w:r>
              <w:rPr/>
            </w:r>
          </w:p>
        </w:tc>
        <w:tc>
          <w:tcPr>
            <w:tcW w:w="1077" w:type="dxa"/>
            <w:tcBorders/>
            <w:vAlign w:val="bottom"/>
          </w:tcPr>
          <w:p>
            <w:pPr>
              <w:pStyle w:val="TableContents"/>
              <w:bidi w:val="0"/>
              <w:spacing w:before="0" w:after="0"/>
              <w:ind w:left="0" w:right="0" w:hanging="0"/>
              <w:jc w:val="right"/>
              <w:rPr/>
            </w:pPr>
            <w:r>
              <w:rPr/>
              <w:t>(12,865</w:t>
            </w:r>
          </w:p>
        </w:tc>
        <w:tc>
          <w:tcPr>
            <w:tcW w:w="139" w:type="dxa"/>
            <w:tcBorders/>
            <w:vAlign w:val="bottom"/>
          </w:tcPr>
          <w:p>
            <w:pPr>
              <w:pStyle w:val="TableContents"/>
              <w:bidi w:val="0"/>
              <w:spacing w:before="0" w:after="0"/>
              <w:ind w:left="0" w:right="0" w:hanging="0"/>
              <w:jc w:val="left"/>
              <w:rPr/>
            </w:pPr>
            <w:r>
              <w:rPr/>
              <w:t>)</w:t>
            </w:r>
          </w:p>
        </w:tc>
        <w:tc>
          <w:tcPr>
            <w:tcW w:w="130" w:type="dxa"/>
            <w:tcBorders/>
            <w:vAlign w:val="bottom"/>
          </w:tcPr>
          <w:p>
            <w:pPr>
              <w:pStyle w:val="TableContents"/>
              <w:bidi w:val="0"/>
              <w:spacing w:before="0" w:after="283"/>
              <w:ind w:left="0" w:right="0" w:hanging="0"/>
              <w:jc w:val="left"/>
              <w:rPr/>
            </w:pPr>
            <w:r>
              <w:rPr/>
            </w:r>
          </w:p>
        </w:tc>
        <w:tc>
          <w:tcPr>
            <w:tcW w:w="199" w:type="dxa"/>
            <w:tcBorders/>
            <w:vAlign w:val="bottom"/>
          </w:tcPr>
          <w:p>
            <w:pPr>
              <w:pStyle w:val="TableContents"/>
              <w:bidi w:val="0"/>
              <w:spacing w:before="0" w:after="283"/>
              <w:ind w:left="0" w:right="0" w:hanging="0"/>
              <w:jc w:val="left"/>
              <w:rPr/>
            </w:pPr>
            <w:r>
              <w:rPr/>
            </w:r>
          </w:p>
        </w:tc>
        <w:tc>
          <w:tcPr>
            <w:tcW w:w="1034" w:type="dxa"/>
            <w:tcBorders/>
            <w:vAlign w:val="bottom"/>
          </w:tcPr>
          <w:p>
            <w:pPr>
              <w:pStyle w:val="TableContents"/>
              <w:bidi w:val="0"/>
              <w:spacing w:before="0" w:after="0"/>
              <w:ind w:left="0" w:right="0" w:hanging="0"/>
              <w:jc w:val="right"/>
              <w:rPr/>
            </w:pPr>
            <w:r>
              <w:rPr/>
              <w:t>(1,346</w:t>
            </w:r>
          </w:p>
        </w:tc>
        <w:tc>
          <w:tcPr>
            <w:tcW w:w="113" w:type="dxa"/>
            <w:tcBorders/>
            <w:vAlign w:val="bottom"/>
          </w:tcPr>
          <w:p>
            <w:pPr>
              <w:pStyle w:val="TableContents"/>
              <w:bidi w:val="0"/>
              <w:spacing w:before="0" w:after="0"/>
              <w:ind w:left="0" w:right="0" w:hanging="0"/>
              <w:jc w:val="left"/>
              <w:rPr/>
            </w:pPr>
            <w:r>
              <w:rPr/>
              <w:t>)</w:t>
            </w:r>
          </w:p>
        </w:tc>
        <w:tc>
          <w:tcPr>
            <w:tcW w:w="22" w:type="dxa"/>
            <w:tcBorders/>
            <w:vAlign w:val="bottom"/>
          </w:tcPr>
          <w:p>
            <w:pPr>
              <w:pStyle w:val="TableContents"/>
              <w:bidi w:val="0"/>
              <w:spacing w:before="0" w:after="283"/>
              <w:ind w:left="0" w:right="0" w:hanging="0"/>
              <w:jc w:val="left"/>
              <w:rPr/>
            </w:pPr>
            <w:r>
              <w:rPr/>
            </w:r>
          </w:p>
        </w:tc>
        <w:tc>
          <w:tcPr>
            <w:tcW w:w="189" w:type="dxa"/>
            <w:tcBorders/>
            <w:vAlign w:val="bottom"/>
          </w:tcPr>
          <w:p>
            <w:pPr>
              <w:pStyle w:val="TableContents"/>
              <w:bidi w:val="0"/>
              <w:spacing w:before="0" w:after="283"/>
              <w:ind w:left="0" w:right="0" w:hanging="0"/>
              <w:jc w:val="left"/>
              <w:rPr/>
            </w:pPr>
            <w:r>
              <w:rPr/>
            </w:r>
          </w:p>
        </w:tc>
        <w:tc>
          <w:tcPr>
            <w:tcW w:w="1329" w:type="dxa"/>
            <w:tcBorders/>
            <w:vAlign w:val="bottom"/>
          </w:tcPr>
          <w:p>
            <w:pPr>
              <w:pStyle w:val="TableContents"/>
              <w:bidi w:val="0"/>
              <w:spacing w:before="0" w:after="0"/>
              <w:ind w:left="0" w:right="0" w:hanging="0"/>
              <w:jc w:val="right"/>
              <w:rPr/>
            </w:pPr>
            <w:r>
              <w:rPr/>
              <w:t>(17,864</w:t>
            </w:r>
          </w:p>
        </w:tc>
        <w:tc>
          <w:tcPr>
            <w:tcW w:w="128" w:type="dxa"/>
            <w:tcBorders/>
            <w:vAlign w:val="bottom"/>
          </w:tcPr>
          <w:p>
            <w:pPr>
              <w:pStyle w:val="TableContents"/>
              <w:bidi w:val="0"/>
              <w:spacing w:before="0" w:after="0"/>
              <w:ind w:left="0" w:right="0" w:hanging="0"/>
              <w:jc w:val="left"/>
              <w:rPr/>
            </w:pPr>
            <w:r>
              <w:rPr/>
              <w:t>)</w:t>
            </w:r>
          </w:p>
        </w:tc>
        <w:tc>
          <w:tcPr>
            <w:tcW w:w="31" w:type="dxa"/>
            <w:tcBorders/>
            <w:vAlign w:val="bottom"/>
          </w:tcPr>
          <w:p>
            <w:pPr>
              <w:pStyle w:val="TableContents"/>
              <w:bidi w:val="0"/>
              <w:spacing w:before="0" w:after="283"/>
              <w:ind w:left="0" w:right="0" w:hanging="0"/>
              <w:jc w:val="left"/>
              <w:rPr/>
            </w:pPr>
            <w:r>
              <w:rPr/>
            </w:r>
          </w:p>
        </w:tc>
        <w:tc>
          <w:tcPr>
            <w:tcW w:w="189" w:type="dxa"/>
            <w:tcBorders/>
            <w:vAlign w:val="bottom"/>
          </w:tcPr>
          <w:p>
            <w:pPr>
              <w:pStyle w:val="TableContents"/>
              <w:bidi w:val="0"/>
              <w:spacing w:before="0" w:after="283"/>
              <w:ind w:left="0" w:right="0" w:hanging="0"/>
              <w:jc w:val="left"/>
              <w:rPr/>
            </w:pPr>
            <w:r>
              <w:rPr/>
            </w:r>
          </w:p>
        </w:tc>
        <w:tc>
          <w:tcPr>
            <w:tcW w:w="1329" w:type="dxa"/>
            <w:tcBorders/>
            <w:vAlign w:val="bottom"/>
          </w:tcPr>
          <w:p>
            <w:pPr>
              <w:pStyle w:val="TableContents"/>
              <w:bidi w:val="0"/>
              <w:spacing w:before="0" w:after="0"/>
              <w:ind w:left="0" w:right="0" w:hanging="0"/>
              <w:jc w:val="right"/>
              <w:rPr/>
            </w:pPr>
            <w:r>
              <w:rPr/>
              <w:t>(4,694</w:t>
            </w:r>
          </w:p>
        </w:tc>
        <w:tc>
          <w:tcPr>
            <w:tcW w:w="119" w:type="dxa"/>
            <w:tcBorders/>
            <w:vAlign w:val="center"/>
          </w:tcPr>
          <w:p>
            <w:pPr>
              <w:pStyle w:val="TableContents"/>
              <w:bidi w:val="0"/>
              <w:spacing w:before="0" w:after="0"/>
              <w:ind w:left="0" w:right="0" w:hanging="0"/>
              <w:jc w:val="left"/>
              <w:rPr/>
            </w:pPr>
            <w:r>
              <w:rPr/>
              <w:t>)</w:t>
            </w:r>
          </w:p>
        </w:tc>
      </w:tr>
      <w:tr>
        <w:trPr/>
        <w:tc>
          <w:tcPr>
            <w:tcW w:w="3874" w:type="dxa"/>
            <w:tcBorders/>
            <w:shd w:fill="CCEEFF" w:val="clear"/>
            <w:vAlign w:val="bottom"/>
          </w:tcPr>
          <w:p>
            <w:pPr>
              <w:pStyle w:val="TableContents"/>
              <w:bidi w:val="0"/>
              <w:spacing w:before="0" w:after="283"/>
              <w:ind w:left="0" w:right="0" w:hanging="0"/>
              <w:jc w:val="left"/>
              <w:rPr/>
            </w:pPr>
            <w:r>
              <w:rPr/>
            </w:r>
          </w:p>
        </w:tc>
        <w:tc>
          <w:tcPr>
            <w:tcW w:w="104" w:type="dxa"/>
            <w:tcBorders/>
            <w:shd w:fill="CCEEFF" w:val="clear"/>
            <w:vAlign w:val="bottom"/>
          </w:tcPr>
          <w:p>
            <w:pPr>
              <w:pStyle w:val="TableContents"/>
              <w:bidi w:val="0"/>
              <w:spacing w:before="0" w:after="283"/>
              <w:ind w:left="0" w:right="0" w:hanging="0"/>
              <w:jc w:val="left"/>
              <w:rPr/>
            </w:pPr>
            <w:r>
              <w:rPr/>
            </w:r>
          </w:p>
        </w:tc>
        <w:tc>
          <w:tcPr>
            <w:tcW w:w="199" w:type="dxa"/>
            <w:tcBorders/>
            <w:shd w:fill="CCEEFF" w:val="clear"/>
            <w:vAlign w:val="bottom"/>
          </w:tcPr>
          <w:p>
            <w:pPr>
              <w:pStyle w:val="TableContents"/>
              <w:bidi w:val="0"/>
              <w:spacing w:before="0" w:after="283"/>
              <w:ind w:left="0" w:right="0" w:hanging="0"/>
              <w:jc w:val="left"/>
              <w:rPr/>
            </w:pPr>
            <w:r>
              <w:rPr/>
            </w:r>
          </w:p>
        </w:tc>
        <w:tc>
          <w:tcPr>
            <w:tcW w:w="1077" w:type="dxa"/>
            <w:tcBorders/>
            <w:shd w:fill="CCEEFF" w:val="clear"/>
            <w:vAlign w:val="bottom"/>
          </w:tcPr>
          <w:p>
            <w:pPr>
              <w:pStyle w:val="TableContents"/>
              <w:bidi w:val="0"/>
              <w:spacing w:before="0" w:after="283"/>
              <w:ind w:left="0" w:right="0" w:hanging="0"/>
              <w:jc w:val="left"/>
              <w:rPr/>
            </w:pPr>
            <w:r>
              <w:rPr/>
            </w:r>
          </w:p>
        </w:tc>
        <w:tc>
          <w:tcPr>
            <w:tcW w:w="139" w:type="dxa"/>
            <w:tcBorders/>
            <w:shd w:fill="CCEEFF" w:val="clear"/>
            <w:vAlign w:val="bottom"/>
          </w:tcPr>
          <w:p>
            <w:pPr>
              <w:pStyle w:val="TableContents"/>
              <w:bidi w:val="0"/>
              <w:spacing w:before="0" w:after="283"/>
              <w:ind w:left="0" w:right="0" w:hanging="0"/>
              <w:jc w:val="left"/>
              <w:rPr/>
            </w:pPr>
            <w:r>
              <w:rPr/>
            </w:r>
          </w:p>
        </w:tc>
        <w:tc>
          <w:tcPr>
            <w:tcW w:w="130" w:type="dxa"/>
            <w:tcBorders/>
            <w:shd w:fill="CCEEFF" w:val="clear"/>
            <w:vAlign w:val="bottom"/>
          </w:tcPr>
          <w:p>
            <w:pPr>
              <w:pStyle w:val="TableContents"/>
              <w:bidi w:val="0"/>
              <w:spacing w:before="0" w:after="283"/>
              <w:ind w:left="0" w:right="0" w:hanging="0"/>
              <w:jc w:val="left"/>
              <w:rPr/>
            </w:pPr>
            <w:r>
              <w:rPr/>
            </w:r>
          </w:p>
        </w:tc>
        <w:tc>
          <w:tcPr>
            <w:tcW w:w="199" w:type="dxa"/>
            <w:tcBorders/>
            <w:shd w:fill="CCEEFF" w:val="clear"/>
            <w:vAlign w:val="bottom"/>
          </w:tcPr>
          <w:p>
            <w:pPr>
              <w:pStyle w:val="TableContents"/>
              <w:bidi w:val="0"/>
              <w:spacing w:before="0" w:after="283"/>
              <w:ind w:left="0" w:right="0" w:hanging="0"/>
              <w:jc w:val="left"/>
              <w:rPr/>
            </w:pPr>
            <w:r>
              <w:rPr/>
            </w:r>
          </w:p>
        </w:tc>
        <w:tc>
          <w:tcPr>
            <w:tcW w:w="1034" w:type="dxa"/>
            <w:tcBorders/>
            <w:shd w:fill="CCEEFF" w:val="clear"/>
            <w:vAlign w:val="bottom"/>
          </w:tcPr>
          <w:p>
            <w:pPr>
              <w:pStyle w:val="TableContents"/>
              <w:bidi w:val="0"/>
              <w:spacing w:before="0" w:after="283"/>
              <w:ind w:left="0" w:right="0" w:hanging="0"/>
              <w:jc w:val="left"/>
              <w:rPr/>
            </w:pPr>
            <w:r>
              <w:rPr/>
            </w:r>
          </w:p>
        </w:tc>
        <w:tc>
          <w:tcPr>
            <w:tcW w:w="113" w:type="dxa"/>
            <w:tcBorders/>
            <w:shd w:fill="CCEEFF" w:val="clear"/>
            <w:vAlign w:val="bottom"/>
          </w:tcPr>
          <w:p>
            <w:pPr>
              <w:pStyle w:val="TableContents"/>
              <w:bidi w:val="0"/>
              <w:spacing w:before="0" w:after="283"/>
              <w:ind w:left="0" w:right="0" w:hanging="0"/>
              <w:jc w:val="left"/>
              <w:rPr/>
            </w:pPr>
            <w:r>
              <w:rPr/>
            </w:r>
          </w:p>
        </w:tc>
        <w:tc>
          <w:tcPr>
            <w:tcW w:w="22" w:type="dxa"/>
            <w:tcBorders/>
            <w:shd w:fill="CCEEFF" w:val="clear"/>
            <w:vAlign w:val="bottom"/>
          </w:tcPr>
          <w:p>
            <w:pPr>
              <w:pStyle w:val="TableContents"/>
              <w:bidi w:val="0"/>
              <w:spacing w:before="0" w:after="283"/>
              <w:ind w:left="0" w:right="0" w:hanging="0"/>
              <w:jc w:val="left"/>
              <w:rPr/>
            </w:pPr>
            <w:r>
              <w:rPr/>
            </w:r>
          </w:p>
        </w:tc>
        <w:tc>
          <w:tcPr>
            <w:tcW w:w="189" w:type="dxa"/>
            <w:tcBorders/>
            <w:shd w:fill="CCEEFF" w:val="clear"/>
            <w:vAlign w:val="bottom"/>
          </w:tcPr>
          <w:p>
            <w:pPr>
              <w:pStyle w:val="TableContents"/>
              <w:bidi w:val="0"/>
              <w:spacing w:before="0" w:after="283"/>
              <w:ind w:left="0" w:right="0" w:hanging="0"/>
              <w:jc w:val="left"/>
              <w:rPr/>
            </w:pPr>
            <w:r>
              <w:rPr/>
            </w:r>
          </w:p>
        </w:tc>
        <w:tc>
          <w:tcPr>
            <w:tcW w:w="1329" w:type="dxa"/>
            <w:tcBorders/>
            <w:shd w:fill="CCEEFF" w:val="clear"/>
            <w:vAlign w:val="bottom"/>
          </w:tcPr>
          <w:p>
            <w:pPr>
              <w:pStyle w:val="TableContents"/>
              <w:bidi w:val="0"/>
              <w:spacing w:before="0" w:after="283"/>
              <w:ind w:left="0" w:right="0" w:hanging="0"/>
              <w:jc w:val="left"/>
              <w:rPr/>
            </w:pPr>
            <w:r>
              <w:rPr/>
            </w:r>
          </w:p>
        </w:tc>
        <w:tc>
          <w:tcPr>
            <w:tcW w:w="128" w:type="dxa"/>
            <w:tcBorders/>
            <w:shd w:fill="CCEEFF" w:val="clear"/>
            <w:vAlign w:val="bottom"/>
          </w:tcPr>
          <w:p>
            <w:pPr>
              <w:pStyle w:val="TableContents"/>
              <w:bidi w:val="0"/>
              <w:spacing w:before="0" w:after="283"/>
              <w:ind w:left="0" w:right="0" w:hanging="0"/>
              <w:jc w:val="left"/>
              <w:rPr/>
            </w:pPr>
            <w:r>
              <w:rPr/>
            </w:r>
          </w:p>
        </w:tc>
        <w:tc>
          <w:tcPr>
            <w:tcW w:w="31" w:type="dxa"/>
            <w:tcBorders/>
            <w:shd w:fill="CCEEFF" w:val="clear"/>
            <w:vAlign w:val="bottom"/>
          </w:tcPr>
          <w:p>
            <w:pPr>
              <w:pStyle w:val="TableContents"/>
              <w:bidi w:val="0"/>
              <w:spacing w:before="0" w:after="283"/>
              <w:ind w:left="0" w:right="0" w:hanging="0"/>
              <w:jc w:val="left"/>
              <w:rPr/>
            </w:pPr>
            <w:r>
              <w:rPr/>
            </w:r>
          </w:p>
        </w:tc>
        <w:tc>
          <w:tcPr>
            <w:tcW w:w="189" w:type="dxa"/>
            <w:tcBorders/>
            <w:shd w:fill="CCEEFF" w:val="clear"/>
            <w:vAlign w:val="bottom"/>
          </w:tcPr>
          <w:p>
            <w:pPr>
              <w:pStyle w:val="TableContents"/>
              <w:bidi w:val="0"/>
              <w:spacing w:before="0" w:after="283"/>
              <w:ind w:left="0" w:right="0" w:hanging="0"/>
              <w:jc w:val="left"/>
              <w:rPr/>
            </w:pPr>
            <w:r>
              <w:rPr/>
            </w:r>
          </w:p>
        </w:tc>
        <w:tc>
          <w:tcPr>
            <w:tcW w:w="1329" w:type="dxa"/>
            <w:tcBorders/>
            <w:shd w:fill="CCEEFF" w:val="clear"/>
            <w:vAlign w:val="bottom"/>
          </w:tcPr>
          <w:p>
            <w:pPr>
              <w:pStyle w:val="TableContents"/>
              <w:bidi w:val="0"/>
              <w:spacing w:before="0" w:after="283"/>
              <w:ind w:left="0" w:right="0" w:hanging="0"/>
              <w:jc w:val="left"/>
              <w:rPr/>
            </w:pPr>
            <w:r>
              <w:rPr/>
            </w:r>
          </w:p>
        </w:tc>
        <w:tc>
          <w:tcPr>
            <w:tcW w:w="119" w:type="dxa"/>
            <w:tcBorders/>
            <w:shd w:fill="CCEEFF" w:val="clear"/>
            <w:vAlign w:val="center"/>
          </w:tcPr>
          <w:p>
            <w:pPr>
              <w:pStyle w:val="TableContents"/>
              <w:bidi w:val="0"/>
              <w:spacing w:before="0" w:after="283"/>
              <w:ind w:left="0" w:right="0" w:hanging="0"/>
              <w:jc w:val="left"/>
              <w:rPr/>
            </w:pPr>
            <w:r>
              <w:rPr/>
            </w:r>
          </w:p>
        </w:tc>
      </w:tr>
      <w:tr>
        <w:trPr/>
        <w:tc>
          <w:tcPr>
            <w:tcW w:w="3874" w:type="dxa"/>
            <w:tcBorders/>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Net loss </w:t>
            </w:r>
          </w:p>
        </w:tc>
        <w:tc>
          <w:tcPr>
            <w:tcW w:w="104" w:type="dxa"/>
            <w:tcBorders/>
            <w:vAlign w:val="bottom"/>
          </w:tcPr>
          <w:p>
            <w:pPr>
              <w:pStyle w:val="TableContents"/>
              <w:pBdr/>
              <w:bidi w:val="0"/>
              <w:spacing w:before="0" w:after="0"/>
              <w:ind w:left="0" w:right="0" w:hanging="0"/>
              <w:jc w:val="left"/>
              <w:rPr/>
            </w:pPr>
            <w:r>
              <w:rPr/>
              <w:t xml:space="preserve">  </w:t>
            </w:r>
          </w:p>
        </w:tc>
        <w:tc>
          <w:tcPr>
            <w:tcW w:w="199" w:type="dxa"/>
            <w:tcBorders>
              <w:bottom w:val="double" w:sz="7" w:space="0" w:color="000000"/>
            </w:tcBorders>
            <w:tcMar>
              <w:bottom w:w="28" w:type="dxa"/>
            </w:tcM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077" w:type="dxa"/>
            <w:tcBorders>
              <w:bottom w:val="double" w:sz="7" w:space="0" w:color="000000"/>
            </w:tcBorders>
            <w:tcMar>
              <w:bottom w:w="28" w:type="dxa"/>
            </w:tcM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(13,736</w:t>
            </w:r>
          </w:p>
        </w:tc>
        <w:tc>
          <w:tcPr>
            <w:tcW w:w="139" w:type="dxa"/>
            <w:tcBorders/>
            <w:vAlign w:val="bottom"/>
          </w:tcPr>
          <w:p>
            <w:pPr>
              <w:pStyle w:val="TableContents"/>
              <w:bidi w:val="0"/>
              <w:spacing w:before="0" w:after="0"/>
              <w:ind w:left="0" w:right="0" w:hanging="0"/>
              <w:jc w:val="left"/>
              <w:rPr/>
            </w:pPr>
            <w:r>
              <w:rPr/>
              <w:t>)</w:t>
            </w:r>
          </w:p>
        </w:tc>
        <w:tc>
          <w:tcPr>
            <w:tcW w:w="130" w:type="dxa"/>
            <w:tcBorders/>
            <w:vAlign w:val="bottom"/>
          </w:tcPr>
          <w:p>
            <w:pPr>
              <w:pStyle w:val="TableContents"/>
              <w:pBdr/>
              <w:bidi w:val="0"/>
              <w:spacing w:before="0" w:after="0"/>
              <w:ind w:left="0" w:right="0" w:hanging="0"/>
              <w:jc w:val="left"/>
              <w:rPr/>
            </w:pPr>
            <w:r>
              <w:rPr/>
              <w:t xml:space="preserve">  </w:t>
            </w:r>
          </w:p>
        </w:tc>
        <w:tc>
          <w:tcPr>
            <w:tcW w:w="199" w:type="dxa"/>
            <w:tcBorders>
              <w:bottom w:val="double" w:sz="7" w:space="0" w:color="000000"/>
            </w:tcBorders>
            <w:tcMar>
              <w:bottom w:w="28" w:type="dxa"/>
            </w:tcM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034" w:type="dxa"/>
            <w:tcBorders>
              <w:bottom w:val="double" w:sz="7" w:space="0" w:color="000000"/>
            </w:tcBorders>
            <w:tcMar>
              <w:bottom w:w="28" w:type="dxa"/>
            </w:tcM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(2,062</w:t>
            </w:r>
          </w:p>
        </w:tc>
        <w:tc>
          <w:tcPr>
            <w:tcW w:w="113" w:type="dxa"/>
            <w:tcBorders/>
            <w:vAlign w:val="bottom"/>
          </w:tcPr>
          <w:p>
            <w:pPr>
              <w:pStyle w:val="TableContents"/>
              <w:bidi w:val="0"/>
              <w:spacing w:before="0" w:after="0"/>
              <w:ind w:left="0" w:right="0" w:hanging="0"/>
              <w:jc w:val="left"/>
              <w:rPr/>
            </w:pPr>
            <w:r>
              <w:rPr/>
              <w:t>)</w:t>
            </w:r>
          </w:p>
        </w:tc>
        <w:tc>
          <w:tcPr>
            <w:tcW w:w="22" w:type="dxa"/>
            <w:tcBorders/>
            <w:vAlign w:val="bottom"/>
          </w:tcPr>
          <w:p>
            <w:pPr>
              <w:pStyle w:val="TableContents"/>
              <w:bidi w:val="0"/>
              <w:spacing w:before="0" w:after="283"/>
              <w:ind w:left="0" w:right="0" w:hanging="0"/>
              <w:jc w:val="left"/>
              <w:rPr/>
            </w:pPr>
            <w:r>
              <w:rPr/>
            </w:r>
          </w:p>
        </w:tc>
        <w:tc>
          <w:tcPr>
            <w:tcW w:w="189" w:type="dxa"/>
            <w:tcBorders>
              <w:bottom w:val="double" w:sz="7" w:space="0" w:color="000000"/>
            </w:tcBorders>
            <w:tcMar>
              <w:bottom w:w="28" w:type="dxa"/>
            </w:tcM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329" w:type="dxa"/>
            <w:tcBorders>
              <w:bottom w:val="double" w:sz="7" w:space="0" w:color="000000"/>
            </w:tcBorders>
            <w:tcMar>
              <w:bottom w:w="28" w:type="dxa"/>
            </w:tcM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(21,142</w:t>
            </w:r>
          </w:p>
        </w:tc>
        <w:tc>
          <w:tcPr>
            <w:tcW w:w="128" w:type="dxa"/>
            <w:tcBorders/>
            <w:vAlign w:val="bottom"/>
          </w:tcPr>
          <w:p>
            <w:pPr>
              <w:pStyle w:val="TableContents"/>
              <w:bidi w:val="0"/>
              <w:spacing w:before="0" w:after="0"/>
              <w:ind w:left="0" w:right="0" w:hanging="0"/>
              <w:jc w:val="left"/>
              <w:rPr/>
            </w:pPr>
            <w:r>
              <w:rPr/>
              <w:t>)</w:t>
            </w:r>
          </w:p>
        </w:tc>
        <w:tc>
          <w:tcPr>
            <w:tcW w:w="31" w:type="dxa"/>
            <w:tcBorders/>
            <w:vAlign w:val="bottom"/>
          </w:tcPr>
          <w:p>
            <w:pPr>
              <w:pStyle w:val="TableContents"/>
              <w:bidi w:val="0"/>
              <w:spacing w:before="0" w:after="283"/>
              <w:ind w:left="0" w:right="0" w:hanging="0"/>
              <w:jc w:val="left"/>
              <w:rPr/>
            </w:pPr>
            <w:r>
              <w:rPr/>
            </w:r>
          </w:p>
        </w:tc>
        <w:tc>
          <w:tcPr>
            <w:tcW w:w="189" w:type="dxa"/>
            <w:tcBorders>
              <w:bottom w:val="double" w:sz="7" w:space="0" w:color="000000"/>
            </w:tcBorders>
            <w:tcMar>
              <w:bottom w:w="28" w:type="dxa"/>
            </w:tcM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329" w:type="dxa"/>
            <w:tcBorders>
              <w:bottom w:val="double" w:sz="7" w:space="0" w:color="000000"/>
            </w:tcBorders>
            <w:tcMar>
              <w:bottom w:w="28" w:type="dxa"/>
            </w:tcM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(6,780</w:t>
            </w:r>
          </w:p>
        </w:tc>
        <w:tc>
          <w:tcPr>
            <w:tcW w:w="119" w:type="dxa"/>
            <w:tcBorders/>
            <w:vAlign w:val="bottom"/>
          </w:tcPr>
          <w:p>
            <w:pPr>
              <w:pStyle w:val="TableContents"/>
              <w:bidi w:val="0"/>
              <w:spacing w:before="0" w:after="0"/>
              <w:jc w:val="left"/>
              <w:rPr/>
            </w:pPr>
            <w:r>
              <w:rPr/>
              <w:t>)</w:t>
            </w:r>
          </w:p>
        </w:tc>
      </w:tr>
      <w:tr>
        <w:trPr/>
        <w:tc>
          <w:tcPr>
            <w:tcW w:w="3874" w:type="dxa"/>
            <w:tcBorders/>
            <w:shd w:fill="CCEEFF" w:val="clear"/>
            <w:vAlign w:val="bottom"/>
          </w:tcPr>
          <w:p>
            <w:pPr>
              <w:pStyle w:val="TableContents"/>
              <w:bidi w:val="0"/>
              <w:spacing w:before="0" w:after="0"/>
              <w:ind w:left="0" w:right="0" w:hanging="0"/>
              <w:jc w:val="left"/>
              <w:rPr/>
            </w:pPr>
            <w:r>
              <w:rPr/>
              <w:t xml:space="preserve">  </w:t>
            </w:r>
          </w:p>
        </w:tc>
        <w:tc>
          <w:tcPr>
            <w:tcW w:w="104" w:type="dxa"/>
            <w:tcBorders/>
            <w:shd w:fill="CCEEFF" w:val="clear"/>
            <w:vAlign w:val="bottom"/>
          </w:tcPr>
          <w:p>
            <w:pPr>
              <w:pStyle w:val="TableContents"/>
              <w:bidi w:val="0"/>
              <w:spacing w:before="0" w:after="0"/>
              <w:ind w:left="0" w:right="0" w:hanging="0"/>
              <w:jc w:val="left"/>
              <w:rPr/>
            </w:pPr>
            <w:r>
              <w:rPr/>
              <w:t xml:space="preserve">  </w:t>
            </w:r>
          </w:p>
        </w:tc>
        <w:tc>
          <w:tcPr>
            <w:tcW w:w="199" w:type="dxa"/>
            <w:tcBorders/>
            <w:shd w:fill="CCEEFF" w:val="clear"/>
            <w:vAlign w:val="bottom"/>
          </w:tcPr>
          <w:p>
            <w:pPr>
              <w:pStyle w:val="TableContents"/>
              <w:bidi w:val="0"/>
              <w:spacing w:before="0" w:after="0"/>
              <w:ind w:left="0" w:right="0" w:hanging="0"/>
              <w:jc w:val="left"/>
              <w:rPr/>
            </w:pPr>
            <w:r>
              <w:rPr/>
              <w:t xml:space="preserve">  </w:t>
            </w:r>
          </w:p>
        </w:tc>
        <w:tc>
          <w:tcPr>
            <w:tcW w:w="1077" w:type="dxa"/>
            <w:tcBorders/>
            <w:shd w:fill="CCEEFF" w:val="clear"/>
            <w:vAlign w:val="bottom"/>
          </w:tcPr>
          <w:p>
            <w:pPr>
              <w:pStyle w:val="TableContents"/>
              <w:bidi w:val="0"/>
              <w:spacing w:before="0" w:after="0"/>
              <w:ind w:left="0" w:right="0" w:hanging="0"/>
              <w:jc w:val="left"/>
              <w:rPr/>
            </w:pPr>
            <w:r>
              <w:rPr/>
              <w:t xml:space="preserve">  </w:t>
            </w:r>
          </w:p>
        </w:tc>
        <w:tc>
          <w:tcPr>
            <w:tcW w:w="139" w:type="dxa"/>
            <w:tcBorders/>
            <w:shd w:fill="CCEEFF" w:val="clear"/>
            <w:vAlign w:val="bottom"/>
          </w:tcPr>
          <w:p>
            <w:pPr>
              <w:pStyle w:val="TableContents"/>
              <w:bidi w:val="0"/>
              <w:spacing w:before="0" w:after="0"/>
              <w:ind w:left="0" w:right="0" w:hanging="0"/>
              <w:jc w:val="left"/>
              <w:rPr/>
            </w:pPr>
            <w:r>
              <w:rPr/>
              <w:t xml:space="preserve">  </w:t>
            </w:r>
          </w:p>
        </w:tc>
        <w:tc>
          <w:tcPr>
            <w:tcW w:w="130" w:type="dxa"/>
            <w:tcBorders/>
            <w:shd w:fill="CCEEFF" w:val="clear"/>
            <w:vAlign w:val="bottom"/>
          </w:tcPr>
          <w:p>
            <w:pPr>
              <w:pStyle w:val="TableContents"/>
              <w:bidi w:val="0"/>
              <w:spacing w:before="0" w:after="0"/>
              <w:ind w:left="0" w:right="0" w:hanging="0"/>
              <w:jc w:val="left"/>
              <w:rPr/>
            </w:pPr>
            <w:r>
              <w:rPr/>
              <w:t xml:space="preserve">  </w:t>
            </w:r>
          </w:p>
        </w:tc>
        <w:tc>
          <w:tcPr>
            <w:tcW w:w="199" w:type="dxa"/>
            <w:tcBorders/>
            <w:shd w:fill="CCEEFF" w:val="clear"/>
            <w:vAlign w:val="bottom"/>
          </w:tcPr>
          <w:p>
            <w:pPr>
              <w:pStyle w:val="TableContents"/>
              <w:bidi w:val="0"/>
              <w:spacing w:before="0" w:after="0"/>
              <w:ind w:left="0" w:right="0" w:hanging="0"/>
              <w:jc w:val="left"/>
              <w:rPr/>
            </w:pPr>
            <w:r>
              <w:rPr/>
              <w:t xml:space="preserve">  </w:t>
            </w:r>
          </w:p>
        </w:tc>
        <w:tc>
          <w:tcPr>
            <w:tcW w:w="1034" w:type="dxa"/>
            <w:tcBorders/>
            <w:shd w:fill="CCEEFF" w:val="clear"/>
            <w:vAlign w:val="bottom"/>
          </w:tcPr>
          <w:p>
            <w:pPr>
              <w:pStyle w:val="TableContents"/>
              <w:bidi w:val="0"/>
              <w:spacing w:before="0" w:after="0"/>
              <w:ind w:left="0" w:right="0" w:hanging="0"/>
              <w:jc w:val="left"/>
              <w:rPr/>
            </w:pPr>
            <w:r>
              <w:rPr/>
              <w:t xml:space="preserve">  </w:t>
            </w:r>
          </w:p>
        </w:tc>
        <w:tc>
          <w:tcPr>
            <w:tcW w:w="113" w:type="dxa"/>
            <w:tcBorders/>
            <w:shd w:fill="CCEEFF" w:val="clear"/>
            <w:vAlign w:val="bottom"/>
          </w:tcPr>
          <w:p>
            <w:pPr>
              <w:pStyle w:val="TableContents"/>
              <w:bidi w:val="0"/>
              <w:spacing w:before="0" w:after="0"/>
              <w:ind w:left="0" w:right="0" w:hanging="0"/>
              <w:jc w:val="left"/>
              <w:rPr/>
            </w:pPr>
            <w:r>
              <w:rPr/>
              <w:t xml:space="preserve">  </w:t>
            </w:r>
          </w:p>
        </w:tc>
        <w:tc>
          <w:tcPr>
            <w:tcW w:w="22" w:type="dxa"/>
            <w:tcBorders/>
            <w:shd w:fill="CCEEFF" w:val="clear"/>
            <w:vAlign w:val="bottom"/>
          </w:tcPr>
          <w:p>
            <w:pPr>
              <w:pStyle w:val="TableContents"/>
              <w:bidi w:val="0"/>
              <w:spacing w:before="0" w:after="283"/>
              <w:jc w:val="left"/>
              <w:rPr/>
            </w:pPr>
            <w:r>
              <w:rPr/>
            </w:r>
          </w:p>
        </w:tc>
        <w:tc>
          <w:tcPr>
            <w:tcW w:w="189" w:type="dxa"/>
            <w:tcBorders/>
            <w:shd w:fill="CCEEFF" w:val="clear"/>
            <w:vAlign w:val="bottom"/>
          </w:tcPr>
          <w:p>
            <w:pPr>
              <w:pStyle w:val="TableContents"/>
              <w:bidi w:val="0"/>
              <w:spacing w:before="0" w:after="283"/>
              <w:jc w:val="left"/>
              <w:rPr/>
            </w:pPr>
            <w:r>
              <w:rPr/>
            </w:r>
          </w:p>
        </w:tc>
        <w:tc>
          <w:tcPr>
            <w:tcW w:w="1329" w:type="dxa"/>
            <w:tcBorders/>
            <w:shd w:fill="CCEEFF" w:val="clear"/>
            <w:vAlign w:val="bottom"/>
          </w:tcPr>
          <w:p>
            <w:pPr>
              <w:pStyle w:val="TableContents"/>
              <w:bidi w:val="0"/>
              <w:spacing w:before="0" w:after="283"/>
              <w:jc w:val="left"/>
              <w:rPr/>
            </w:pPr>
            <w:r>
              <w:rPr/>
            </w:r>
          </w:p>
        </w:tc>
        <w:tc>
          <w:tcPr>
            <w:tcW w:w="128" w:type="dxa"/>
            <w:tcBorders/>
            <w:shd w:fill="CCEEFF" w:val="clear"/>
            <w:vAlign w:val="bottom"/>
          </w:tcPr>
          <w:p>
            <w:pPr>
              <w:pStyle w:val="TableContents"/>
              <w:bidi w:val="0"/>
              <w:spacing w:before="0" w:after="283"/>
              <w:jc w:val="left"/>
              <w:rPr/>
            </w:pPr>
            <w:r>
              <w:rPr/>
            </w:r>
          </w:p>
        </w:tc>
        <w:tc>
          <w:tcPr>
            <w:tcW w:w="31" w:type="dxa"/>
            <w:tcBorders/>
            <w:shd w:fill="CCEEFF" w:val="clear"/>
            <w:vAlign w:val="bottom"/>
          </w:tcPr>
          <w:p>
            <w:pPr>
              <w:pStyle w:val="TableContents"/>
              <w:bidi w:val="0"/>
              <w:spacing w:before="0" w:after="283"/>
              <w:jc w:val="left"/>
              <w:rPr/>
            </w:pPr>
            <w:r>
              <w:rPr/>
            </w:r>
          </w:p>
        </w:tc>
        <w:tc>
          <w:tcPr>
            <w:tcW w:w="189" w:type="dxa"/>
            <w:tcBorders/>
            <w:shd w:fill="CCEEFF" w:val="clear"/>
            <w:vAlign w:val="bottom"/>
          </w:tcPr>
          <w:p>
            <w:pPr>
              <w:pStyle w:val="TableContents"/>
              <w:bidi w:val="0"/>
              <w:spacing w:before="0" w:after="283"/>
              <w:jc w:val="left"/>
              <w:rPr/>
            </w:pPr>
            <w:r>
              <w:rPr/>
            </w:r>
          </w:p>
        </w:tc>
        <w:tc>
          <w:tcPr>
            <w:tcW w:w="1329" w:type="dxa"/>
            <w:tcBorders/>
            <w:shd w:fill="CCEEFF" w:val="clear"/>
            <w:vAlign w:val="bottom"/>
          </w:tcPr>
          <w:p>
            <w:pPr>
              <w:pStyle w:val="TableContents"/>
              <w:bidi w:val="0"/>
              <w:spacing w:before="0" w:after="283"/>
              <w:jc w:val="left"/>
              <w:rPr/>
            </w:pPr>
            <w:r>
              <w:rPr/>
            </w:r>
          </w:p>
        </w:tc>
        <w:tc>
          <w:tcPr>
            <w:tcW w:w="119" w:type="dxa"/>
            <w:tcBorders/>
            <w:shd w:fill="CCEEFF" w:val="clear"/>
            <w:vAlign w:val="center"/>
          </w:tcPr>
          <w:p>
            <w:pPr>
              <w:pStyle w:val="TableContents"/>
              <w:bidi w:val="0"/>
              <w:spacing w:before="0" w:after="283"/>
              <w:jc w:val="left"/>
              <w:rPr/>
            </w:pPr>
            <w:r>
              <w:rPr/>
            </w:r>
          </w:p>
        </w:tc>
      </w:tr>
      <w:tr>
        <w:trPr/>
        <w:tc>
          <w:tcPr>
            <w:tcW w:w="3874"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Basic weighted average shares outstanding </w:t>
            </w:r>
          </w:p>
        </w:tc>
        <w:tc>
          <w:tcPr>
            <w:tcW w:w="104" w:type="dxa"/>
            <w:tcBorders/>
            <w:vAlign w:val="bottom"/>
          </w:tcPr>
          <w:p>
            <w:pPr>
              <w:pStyle w:val="TableContents"/>
              <w:bidi w:val="0"/>
              <w:spacing w:before="0" w:after="0"/>
              <w:ind w:left="0" w:right="0" w:hanging="0"/>
              <w:jc w:val="left"/>
              <w:rPr/>
            </w:pPr>
            <w:r>
              <w:rPr/>
              <w:t xml:space="preserve">  </w:t>
            </w:r>
          </w:p>
        </w:tc>
        <w:tc>
          <w:tcPr>
            <w:tcW w:w="199" w:type="dxa"/>
            <w:tcBorders/>
            <w:vAlign w:val="bottom"/>
          </w:tcPr>
          <w:p>
            <w:pPr>
              <w:pStyle w:val="TableContents"/>
              <w:bidi w:val="0"/>
              <w:spacing w:before="0" w:after="0"/>
              <w:ind w:left="0" w:right="0" w:hanging="0"/>
              <w:jc w:val="left"/>
              <w:rPr/>
            </w:pPr>
            <w:r>
              <w:rPr/>
              <w:t xml:space="preserve">  </w:t>
            </w:r>
          </w:p>
        </w:tc>
        <w:tc>
          <w:tcPr>
            <w:tcW w:w="1077"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1,734,250</w:t>
            </w:r>
          </w:p>
        </w:tc>
        <w:tc>
          <w:tcPr>
            <w:tcW w:w="139" w:type="dxa"/>
            <w:tcBorders/>
            <w:vAlign w:val="bottom"/>
          </w:tcPr>
          <w:p>
            <w:pPr>
              <w:pStyle w:val="TableContents"/>
              <w:bidi w:val="0"/>
              <w:spacing w:before="0" w:after="0"/>
              <w:ind w:left="0" w:right="0" w:hanging="0"/>
              <w:jc w:val="left"/>
              <w:rPr/>
            </w:pPr>
            <w:r>
              <w:rPr/>
              <w:t xml:space="preserve">  </w:t>
            </w:r>
          </w:p>
        </w:tc>
        <w:tc>
          <w:tcPr>
            <w:tcW w:w="130" w:type="dxa"/>
            <w:tcBorders/>
            <w:vAlign w:val="bottom"/>
          </w:tcPr>
          <w:p>
            <w:pPr>
              <w:pStyle w:val="TableContents"/>
              <w:bidi w:val="0"/>
              <w:spacing w:before="0" w:after="0"/>
              <w:ind w:left="0" w:right="0" w:hanging="0"/>
              <w:jc w:val="left"/>
              <w:rPr/>
            </w:pPr>
            <w:r>
              <w:rPr/>
              <w:t xml:space="preserve">  </w:t>
            </w:r>
          </w:p>
        </w:tc>
        <w:tc>
          <w:tcPr>
            <w:tcW w:w="199" w:type="dxa"/>
            <w:tcBorders/>
            <w:vAlign w:val="bottom"/>
          </w:tcPr>
          <w:p>
            <w:pPr>
              <w:pStyle w:val="TableContents"/>
              <w:bidi w:val="0"/>
              <w:spacing w:before="0" w:after="0"/>
              <w:ind w:left="0" w:right="0" w:hanging="0"/>
              <w:jc w:val="left"/>
              <w:rPr/>
            </w:pPr>
            <w:r>
              <w:rPr/>
              <w:t xml:space="preserve">  </w:t>
            </w:r>
          </w:p>
        </w:tc>
        <w:tc>
          <w:tcPr>
            <w:tcW w:w="1034"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1,599,534</w:t>
            </w:r>
          </w:p>
        </w:tc>
        <w:tc>
          <w:tcPr>
            <w:tcW w:w="113" w:type="dxa"/>
            <w:tcBorders/>
            <w:vAlign w:val="bottom"/>
          </w:tcPr>
          <w:p>
            <w:pPr>
              <w:pStyle w:val="TableContents"/>
              <w:bidi w:val="0"/>
              <w:spacing w:before="0" w:after="0"/>
              <w:ind w:left="0" w:right="0" w:hanging="0"/>
              <w:jc w:val="left"/>
              <w:rPr/>
            </w:pPr>
            <w:r>
              <w:rPr/>
              <w:t xml:space="preserve">  </w:t>
            </w:r>
          </w:p>
        </w:tc>
        <w:tc>
          <w:tcPr>
            <w:tcW w:w="22" w:type="dxa"/>
            <w:tcBorders/>
            <w:vAlign w:val="bottom"/>
          </w:tcPr>
          <w:p>
            <w:pPr>
              <w:pStyle w:val="TableContents"/>
              <w:bidi w:val="0"/>
              <w:spacing w:before="0" w:after="283"/>
              <w:jc w:val="left"/>
              <w:rPr/>
            </w:pPr>
            <w:r>
              <w:rPr/>
            </w:r>
          </w:p>
        </w:tc>
        <w:tc>
          <w:tcPr>
            <w:tcW w:w="189" w:type="dxa"/>
            <w:tcBorders/>
            <w:vAlign w:val="bottom"/>
          </w:tcPr>
          <w:p>
            <w:pPr>
              <w:pStyle w:val="TableContents"/>
              <w:bidi w:val="0"/>
              <w:spacing w:before="0" w:after="283"/>
              <w:jc w:val="left"/>
              <w:rPr/>
            </w:pPr>
            <w:r>
              <w:rPr/>
            </w:r>
          </w:p>
        </w:tc>
        <w:tc>
          <w:tcPr>
            <w:tcW w:w="1329" w:type="dxa"/>
            <w:tcBorders/>
            <w:vAlign w:val="bottom"/>
          </w:tcPr>
          <w:p>
            <w:pPr>
              <w:pStyle w:val="TableContents"/>
              <w:bidi w:val="0"/>
              <w:spacing w:before="0" w:after="283"/>
              <w:jc w:val="right"/>
              <w:rPr/>
            </w:pPr>
            <w:r>
              <w:rPr/>
              <w:t>1,706,130</w:t>
            </w:r>
          </w:p>
        </w:tc>
        <w:tc>
          <w:tcPr>
            <w:tcW w:w="128" w:type="dxa"/>
            <w:tcBorders/>
            <w:vAlign w:val="bottom"/>
          </w:tcPr>
          <w:p>
            <w:pPr>
              <w:pStyle w:val="TableContents"/>
              <w:bidi w:val="0"/>
              <w:spacing w:before="0" w:after="283"/>
              <w:jc w:val="left"/>
              <w:rPr/>
            </w:pPr>
            <w:r>
              <w:rPr/>
            </w:r>
          </w:p>
        </w:tc>
        <w:tc>
          <w:tcPr>
            <w:tcW w:w="31" w:type="dxa"/>
            <w:tcBorders/>
            <w:vAlign w:val="bottom"/>
          </w:tcPr>
          <w:p>
            <w:pPr>
              <w:pStyle w:val="TableContents"/>
              <w:bidi w:val="0"/>
              <w:spacing w:before="0" w:after="283"/>
              <w:jc w:val="left"/>
              <w:rPr/>
            </w:pPr>
            <w:r>
              <w:rPr/>
            </w:r>
          </w:p>
        </w:tc>
        <w:tc>
          <w:tcPr>
            <w:tcW w:w="189" w:type="dxa"/>
            <w:tcBorders/>
            <w:vAlign w:val="bottom"/>
          </w:tcPr>
          <w:p>
            <w:pPr>
              <w:pStyle w:val="TableContents"/>
              <w:bidi w:val="0"/>
              <w:spacing w:before="0" w:after="283"/>
              <w:jc w:val="left"/>
              <w:rPr/>
            </w:pPr>
            <w:r>
              <w:rPr/>
            </w:r>
          </w:p>
        </w:tc>
        <w:tc>
          <w:tcPr>
            <w:tcW w:w="1329" w:type="dxa"/>
            <w:tcBorders/>
            <w:vAlign w:val="bottom"/>
          </w:tcPr>
          <w:p>
            <w:pPr>
              <w:pStyle w:val="TableContents"/>
              <w:bidi w:val="0"/>
              <w:spacing w:before="0" w:after="283"/>
              <w:jc w:val="right"/>
              <w:rPr/>
            </w:pPr>
            <w:r>
              <w:rPr/>
              <w:t>1,598,495</w:t>
            </w:r>
          </w:p>
        </w:tc>
        <w:tc>
          <w:tcPr>
            <w:tcW w:w="119" w:type="dxa"/>
            <w:tcBorders/>
            <w:vAlign w:val="center"/>
          </w:tcPr>
          <w:p>
            <w:pPr>
              <w:pStyle w:val="TableContents"/>
              <w:bidi w:val="0"/>
              <w:spacing w:before="0" w:after="283"/>
              <w:jc w:val="left"/>
              <w:rPr/>
            </w:pPr>
            <w:r>
              <w:rPr/>
            </w:r>
          </w:p>
        </w:tc>
      </w:tr>
      <w:tr>
        <w:trPr/>
        <w:tc>
          <w:tcPr>
            <w:tcW w:w="3874"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Diluted weighted average shares outstanding </w:t>
            </w:r>
          </w:p>
        </w:tc>
        <w:tc>
          <w:tcPr>
            <w:tcW w:w="104" w:type="dxa"/>
            <w:tcBorders/>
            <w:shd w:fill="CCEEFF" w:val="clear"/>
            <w:vAlign w:val="bottom"/>
          </w:tcPr>
          <w:p>
            <w:pPr>
              <w:pStyle w:val="TableContents"/>
              <w:bidi w:val="0"/>
              <w:spacing w:before="0" w:after="0"/>
              <w:ind w:left="0" w:right="0" w:hanging="0"/>
              <w:jc w:val="left"/>
              <w:rPr/>
            </w:pPr>
            <w:r>
              <w:rPr/>
              <w:t xml:space="preserve">  </w:t>
            </w:r>
          </w:p>
        </w:tc>
        <w:tc>
          <w:tcPr>
            <w:tcW w:w="199" w:type="dxa"/>
            <w:tcBorders/>
            <w:shd w:fill="CCEEFF" w:val="clear"/>
            <w:vAlign w:val="bottom"/>
          </w:tcPr>
          <w:p>
            <w:pPr>
              <w:pStyle w:val="TableContents"/>
              <w:bidi w:val="0"/>
              <w:spacing w:before="0" w:after="0"/>
              <w:ind w:left="0" w:right="0" w:hanging="0"/>
              <w:jc w:val="left"/>
              <w:rPr/>
            </w:pPr>
            <w:r>
              <w:rPr/>
              <w:t xml:space="preserve">  </w:t>
            </w:r>
          </w:p>
        </w:tc>
        <w:tc>
          <w:tcPr>
            <w:tcW w:w="1077" w:type="dxa"/>
            <w:tcBorders/>
            <w:shd w:fill="CCEEFF" w:val="clear"/>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1,734,250 </w:t>
            </w:r>
          </w:p>
        </w:tc>
        <w:tc>
          <w:tcPr>
            <w:tcW w:w="139" w:type="dxa"/>
            <w:tcBorders/>
            <w:shd w:fill="CCEEFF" w:val="clear"/>
            <w:vAlign w:val="bottom"/>
          </w:tcPr>
          <w:p>
            <w:pPr>
              <w:pStyle w:val="TableContents"/>
              <w:bidi w:val="0"/>
              <w:spacing w:before="0" w:after="0"/>
              <w:ind w:left="0" w:right="0" w:hanging="0"/>
              <w:jc w:val="left"/>
              <w:rPr/>
            </w:pPr>
            <w:r>
              <w:rPr/>
              <w:t xml:space="preserve">  </w:t>
            </w:r>
          </w:p>
        </w:tc>
        <w:tc>
          <w:tcPr>
            <w:tcW w:w="130" w:type="dxa"/>
            <w:tcBorders/>
            <w:shd w:fill="CCEEFF" w:val="clear"/>
            <w:vAlign w:val="bottom"/>
          </w:tcPr>
          <w:p>
            <w:pPr>
              <w:pStyle w:val="TableContents"/>
              <w:bidi w:val="0"/>
              <w:spacing w:before="0" w:after="0"/>
              <w:ind w:left="0" w:right="0" w:hanging="0"/>
              <w:jc w:val="left"/>
              <w:rPr/>
            </w:pPr>
            <w:r>
              <w:rPr/>
              <w:t xml:space="preserve">  </w:t>
            </w:r>
          </w:p>
        </w:tc>
        <w:tc>
          <w:tcPr>
            <w:tcW w:w="199" w:type="dxa"/>
            <w:tcBorders/>
            <w:shd w:fill="CCEEFF" w:val="clear"/>
            <w:vAlign w:val="bottom"/>
          </w:tcPr>
          <w:p>
            <w:pPr>
              <w:pStyle w:val="TableContents"/>
              <w:bidi w:val="0"/>
              <w:spacing w:before="0" w:after="0"/>
              <w:ind w:left="0" w:right="0" w:hanging="0"/>
              <w:jc w:val="left"/>
              <w:rPr/>
            </w:pPr>
            <w:r>
              <w:rPr/>
              <w:t xml:space="preserve">  </w:t>
            </w:r>
          </w:p>
        </w:tc>
        <w:tc>
          <w:tcPr>
            <w:tcW w:w="1034" w:type="dxa"/>
            <w:tcBorders/>
            <w:shd w:fill="CCEEFF" w:val="clear"/>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1,599,534</w:t>
            </w:r>
          </w:p>
        </w:tc>
        <w:tc>
          <w:tcPr>
            <w:tcW w:w="113" w:type="dxa"/>
            <w:tcBorders/>
            <w:shd w:fill="CCEEFF" w:val="clear"/>
            <w:vAlign w:val="bottom"/>
          </w:tcPr>
          <w:p>
            <w:pPr>
              <w:pStyle w:val="TableContents"/>
              <w:bidi w:val="0"/>
              <w:spacing w:before="0" w:after="0"/>
              <w:ind w:left="0" w:right="0" w:hanging="0"/>
              <w:jc w:val="left"/>
              <w:rPr/>
            </w:pPr>
            <w:r>
              <w:rPr/>
              <w:t xml:space="preserve">  </w:t>
            </w:r>
          </w:p>
        </w:tc>
        <w:tc>
          <w:tcPr>
            <w:tcW w:w="22" w:type="dxa"/>
            <w:tcBorders/>
            <w:shd w:fill="CCEEFF" w:val="clear"/>
            <w:vAlign w:val="bottom"/>
          </w:tcPr>
          <w:p>
            <w:pPr>
              <w:pStyle w:val="TableContents"/>
              <w:bidi w:val="0"/>
              <w:spacing w:before="0" w:after="283"/>
              <w:jc w:val="left"/>
              <w:rPr/>
            </w:pPr>
            <w:r>
              <w:rPr/>
            </w:r>
          </w:p>
        </w:tc>
        <w:tc>
          <w:tcPr>
            <w:tcW w:w="189" w:type="dxa"/>
            <w:tcBorders/>
            <w:shd w:fill="CCEEFF" w:val="clear"/>
            <w:vAlign w:val="bottom"/>
          </w:tcPr>
          <w:p>
            <w:pPr>
              <w:pStyle w:val="TableContents"/>
              <w:bidi w:val="0"/>
              <w:spacing w:before="0" w:after="283"/>
              <w:jc w:val="left"/>
              <w:rPr/>
            </w:pPr>
            <w:r>
              <w:rPr/>
            </w:r>
          </w:p>
        </w:tc>
        <w:tc>
          <w:tcPr>
            <w:tcW w:w="1329" w:type="dxa"/>
            <w:tcBorders/>
            <w:shd w:fill="CCEEFF" w:val="clear"/>
            <w:vAlign w:val="bottom"/>
          </w:tcPr>
          <w:p>
            <w:pPr>
              <w:pStyle w:val="TableContents"/>
              <w:bidi w:val="0"/>
              <w:spacing w:before="0" w:after="283"/>
              <w:jc w:val="right"/>
              <w:rPr/>
            </w:pPr>
            <w:r>
              <w:rPr/>
              <w:t>1,706,130</w:t>
            </w:r>
          </w:p>
        </w:tc>
        <w:tc>
          <w:tcPr>
            <w:tcW w:w="128" w:type="dxa"/>
            <w:tcBorders/>
            <w:shd w:fill="CCEEFF" w:val="clear"/>
            <w:vAlign w:val="bottom"/>
          </w:tcPr>
          <w:p>
            <w:pPr>
              <w:pStyle w:val="TableContents"/>
              <w:bidi w:val="0"/>
              <w:spacing w:before="0" w:after="283"/>
              <w:jc w:val="left"/>
              <w:rPr/>
            </w:pPr>
            <w:r>
              <w:rPr/>
            </w:r>
          </w:p>
        </w:tc>
        <w:tc>
          <w:tcPr>
            <w:tcW w:w="31" w:type="dxa"/>
            <w:tcBorders/>
            <w:shd w:fill="CCEEFF" w:val="clear"/>
            <w:vAlign w:val="bottom"/>
          </w:tcPr>
          <w:p>
            <w:pPr>
              <w:pStyle w:val="TableContents"/>
              <w:bidi w:val="0"/>
              <w:spacing w:before="0" w:after="283"/>
              <w:jc w:val="left"/>
              <w:rPr/>
            </w:pPr>
            <w:r>
              <w:rPr/>
            </w:r>
          </w:p>
        </w:tc>
        <w:tc>
          <w:tcPr>
            <w:tcW w:w="189" w:type="dxa"/>
            <w:tcBorders/>
            <w:shd w:fill="CCEEFF" w:val="clear"/>
            <w:vAlign w:val="bottom"/>
          </w:tcPr>
          <w:p>
            <w:pPr>
              <w:pStyle w:val="TableContents"/>
              <w:bidi w:val="0"/>
              <w:spacing w:before="0" w:after="283"/>
              <w:jc w:val="left"/>
              <w:rPr/>
            </w:pPr>
            <w:r>
              <w:rPr/>
            </w:r>
          </w:p>
        </w:tc>
        <w:tc>
          <w:tcPr>
            <w:tcW w:w="1329" w:type="dxa"/>
            <w:tcBorders/>
            <w:shd w:fill="CCEEFF" w:val="clear"/>
            <w:vAlign w:val="bottom"/>
          </w:tcPr>
          <w:p>
            <w:pPr>
              <w:pStyle w:val="TableContents"/>
              <w:bidi w:val="0"/>
              <w:spacing w:before="0" w:after="283"/>
              <w:jc w:val="right"/>
              <w:rPr/>
            </w:pPr>
            <w:r>
              <w:rPr/>
              <w:t>1,598,495</w:t>
            </w:r>
          </w:p>
        </w:tc>
        <w:tc>
          <w:tcPr>
            <w:tcW w:w="119" w:type="dxa"/>
            <w:tcBorders/>
            <w:shd w:fill="CCEEFF" w:val="clear"/>
            <w:vAlign w:val="center"/>
          </w:tcPr>
          <w:p>
            <w:pPr>
              <w:pStyle w:val="TableContents"/>
              <w:bidi w:val="0"/>
              <w:spacing w:before="0" w:after="283"/>
              <w:jc w:val="left"/>
              <w:rPr/>
            </w:pPr>
            <w:r>
              <w:rPr/>
            </w:r>
          </w:p>
        </w:tc>
      </w:tr>
      <w:tr>
        <w:trPr/>
        <w:tc>
          <w:tcPr>
            <w:tcW w:w="3874" w:type="dxa"/>
            <w:tcBorders/>
            <w:vAlign w:val="bottom"/>
          </w:tcPr>
          <w:p>
            <w:pPr>
              <w:pStyle w:val="TableContents"/>
              <w:bidi w:val="0"/>
              <w:spacing w:before="0" w:after="0"/>
              <w:ind w:left="0" w:right="0" w:hanging="0"/>
              <w:jc w:val="left"/>
              <w:rPr/>
            </w:pPr>
            <w:r>
              <w:rPr/>
              <w:t xml:space="preserve">  </w:t>
            </w:r>
          </w:p>
        </w:tc>
        <w:tc>
          <w:tcPr>
            <w:tcW w:w="104" w:type="dxa"/>
            <w:tcBorders/>
            <w:vAlign w:val="bottom"/>
          </w:tcPr>
          <w:p>
            <w:pPr>
              <w:pStyle w:val="TableContents"/>
              <w:bidi w:val="0"/>
              <w:spacing w:before="0" w:after="0"/>
              <w:ind w:left="0" w:right="0" w:hanging="0"/>
              <w:jc w:val="left"/>
              <w:rPr/>
            </w:pPr>
            <w:r>
              <w:rPr/>
              <w:t xml:space="preserve">  </w:t>
            </w:r>
          </w:p>
        </w:tc>
        <w:tc>
          <w:tcPr>
            <w:tcW w:w="199" w:type="dxa"/>
            <w:tcBorders/>
            <w:vAlign w:val="bottom"/>
          </w:tcPr>
          <w:p>
            <w:pPr>
              <w:pStyle w:val="TableContents"/>
              <w:bidi w:val="0"/>
              <w:spacing w:before="0" w:after="0"/>
              <w:ind w:left="0" w:right="0" w:hanging="0"/>
              <w:jc w:val="left"/>
              <w:rPr/>
            </w:pPr>
            <w:r>
              <w:rPr/>
              <w:t xml:space="preserve">  </w:t>
            </w:r>
          </w:p>
        </w:tc>
        <w:tc>
          <w:tcPr>
            <w:tcW w:w="1077" w:type="dxa"/>
            <w:tcBorders/>
            <w:vAlign w:val="bottom"/>
          </w:tcPr>
          <w:p>
            <w:pPr>
              <w:pStyle w:val="TableContents"/>
              <w:bidi w:val="0"/>
              <w:spacing w:before="0" w:after="0"/>
              <w:ind w:left="0" w:right="0" w:hanging="0"/>
              <w:jc w:val="left"/>
              <w:rPr/>
            </w:pPr>
            <w:r>
              <w:rPr/>
              <w:t xml:space="preserve">  </w:t>
            </w:r>
          </w:p>
        </w:tc>
        <w:tc>
          <w:tcPr>
            <w:tcW w:w="139" w:type="dxa"/>
            <w:tcBorders/>
            <w:vAlign w:val="bottom"/>
          </w:tcPr>
          <w:p>
            <w:pPr>
              <w:pStyle w:val="TableContents"/>
              <w:bidi w:val="0"/>
              <w:spacing w:before="0" w:after="0"/>
              <w:ind w:left="0" w:right="0" w:hanging="0"/>
              <w:jc w:val="left"/>
              <w:rPr/>
            </w:pPr>
            <w:r>
              <w:rPr/>
              <w:t xml:space="preserve">  </w:t>
            </w:r>
          </w:p>
        </w:tc>
        <w:tc>
          <w:tcPr>
            <w:tcW w:w="130" w:type="dxa"/>
            <w:tcBorders/>
            <w:vAlign w:val="bottom"/>
          </w:tcPr>
          <w:p>
            <w:pPr>
              <w:pStyle w:val="TableContents"/>
              <w:bidi w:val="0"/>
              <w:spacing w:before="0" w:after="0"/>
              <w:ind w:left="0" w:right="0" w:hanging="0"/>
              <w:jc w:val="left"/>
              <w:rPr/>
            </w:pPr>
            <w:r>
              <w:rPr/>
              <w:t xml:space="preserve">  </w:t>
            </w:r>
          </w:p>
        </w:tc>
        <w:tc>
          <w:tcPr>
            <w:tcW w:w="199" w:type="dxa"/>
            <w:tcBorders/>
            <w:vAlign w:val="bottom"/>
          </w:tcPr>
          <w:p>
            <w:pPr>
              <w:pStyle w:val="TableContents"/>
              <w:bidi w:val="0"/>
              <w:spacing w:before="0" w:after="0"/>
              <w:ind w:left="0" w:right="0" w:hanging="0"/>
              <w:jc w:val="left"/>
              <w:rPr/>
            </w:pPr>
            <w:r>
              <w:rPr/>
              <w:t xml:space="preserve">  </w:t>
            </w:r>
          </w:p>
        </w:tc>
        <w:tc>
          <w:tcPr>
            <w:tcW w:w="1034" w:type="dxa"/>
            <w:tcBorders/>
            <w:vAlign w:val="bottom"/>
          </w:tcPr>
          <w:p>
            <w:pPr>
              <w:pStyle w:val="TableContents"/>
              <w:bidi w:val="0"/>
              <w:spacing w:before="0" w:after="0"/>
              <w:ind w:left="0" w:right="0" w:hanging="0"/>
              <w:jc w:val="left"/>
              <w:rPr/>
            </w:pPr>
            <w:r>
              <w:rPr/>
              <w:t xml:space="preserve">  </w:t>
            </w:r>
          </w:p>
        </w:tc>
        <w:tc>
          <w:tcPr>
            <w:tcW w:w="113" w:type="dxa"/>
            <w:tcBorders/>
            <w:vAlign w:val="bottom"/>
          </w:tcPr>
          <w:p>
            <w:pPr>
              <w:pStyle w:val="TableContents"/>
              <w:bidi w:val="0"/>
              <w:spacing w:before="0" w:after="0"/>
              <w:ind w:left="0" w:right="0" w:hanging="0"/>
              <w:jc w:val="left"/>
              <w:rPr/>
            </w:pPr>
            <w:r>
              <w:rPr/>
              <w:t xml:space="preserve">  </w:t>
            </w:r>
          </w:p>
        </w:tc>
        <w:tc>
          <w:tcPr>
            <w:tcW w:w="22" w:type="dxa"/>
            <w:tcBorders/>
            <w:vAlign w:val="bottom"/>
          </w:tcPr>
          <w:p>
            <w:pPr>
              <w:pStyle w:val="TableContents"/>
              <w:bidi w:val="0"/>
              <w:spacing w:before="0" w:after="283"/>
              <w:jc w:val="left"/>
              <w:rPr/>
            </w:pPr>
            <w:r>
              <w:rPr/>
            </w:r>
          </w:p>
        </w:tc>
        <w:tc>
          <w:tcPr>
            <w:tcW w:w="189" w:type="dxa"/>
            <w:tcBorders/>
            <w:vAlign w:val="bottom"/>
          </w:tcPr>
          <w:p>
            <w:pPr>
              <w:pStyle w:val="TableContents"/>
              <w:bidi w:val="0"/>
              <w:spacing w:before="0" w:after="283"/>
              <w:jc w:val="left"/>
              <w:rPr/>
            </w:pPr>
            <w:r>
              <w:rPr/>
            </w:r>
          </w:p>
        </w:tc>
        <w:tc>
          <w:tcPr>
            <w:tcW w:w="1329" w:type="dxa"/>
            <w:tcBorders/>
            <w:vAlign w:val="bottom"/>
          </w:tcPr>
          <w:p>
            <w:pPr>
              <w:pStyle w:val="TableContents"/>
              <w:bidi w:val="0"/>
              <w:spacing w:before="0" w:after="283"/>
              <w:jc w:val="left"/>
              <w:rPr/>
            </w:pPr>
            <w:r>
              <w:rPr/>
            </w:r>
          </w:p>
        </w:tc>
        <w:tc>
          <w:tcPr>
            <w:tcW w:w="128" w:type="dxa"/>
            <w:tcBorders/>
            <w:vAlign w:val="bottom"/>
          </w:tcPr>
          <w:p>
            <w:pPr>
              <w:pStyle w:val="TableContents"/>
              <w:bidi w:val="0"/>
              <w:spacing w:before="0" w:after="283"/>
              <w:jc w:val="left"/>
              <w:rPr/>
            </w:pPr>
            <w:r>
              <w:rPr/>
            </w:r>
          </w:p>
        </w:tc>
        <w:tc>
          <w:tcPr>
            <w:tcW w:w="31" w:type="dxa"/>
            <w:tcBorders/>
            <w:vAlign w:val="bottom"/>
          </w:tcPr>
          <w:p>
            <w:pPr>
              <w:pStyle w:val="TableContents"/>
              <w:bidi w:val="0"/>
              <w:spacing w:before="0" w:after="283"/>
              <w:jc w:val="left"/>
              <w:rPr/>
            </w:pPr>
            <w:r>
              <w:rPr/>
            </w:r>
          </w:p>
        </w:tc>
        <w:tc>
          <w:tcPr>
            <w:tcW w:w="189" w:type="dxa"/>
            <w:tcBorders/>
            <w:vAlign w:val="bottom"/>
          </w:tcPr>
          <w:p>
            <w:pPr>
              <w:pStyle w:val="TableContents"/>
              <w:bidi w:val="0"/>
              <w:spacing w:before="0" w:after="283"/>
              <w:jc w:val="left"/>
              <w:rPr/>
            </w:pPr>
            <w:r>
              <w:rPr/>
            </w:r>
          </w:p>
        </w:tc>
        <w:tc>
          <w:tcPr>
            <w:tcW w:w="1329" w:type="dxa"/>
            <w:tcBorders/>
            <w:vAlign w:val="bottom"/>
          </w:tcPr>
          <w:p>
            <w:pPr>
              <w:pStyle w:val="TableContents"/>
              <w:bidi w:val="0"/>
              <w:spacing w:before="0" w:after="283"/>
              <w:jc w:val="left"/>
              <w:rPr/>
            </w:pPr>
            <w:r>
              <w:rPr/>
            </w:r>
          </w:p>
        </w:tc>
        <w:tc>
          <w:tcPr>
            <w:tcW w:w="119" w:type="dxa"/>
            <w:tcBorders/>
            <w:vAlign w:val="center"/>
          </w:tcPr>
          <w:p>
            <w:pPr>
              <w:pStyle w:val="TableContents"/>
              <w:bidi w:val="0"/>
              <w:spacing w:before="0" w:after="283"/>
              <w:jc w:val="left"/>
              <w:rPr/>
            </w:pPr>
            <w:r>
              <w:rPr/>
            </w:r>
          </w:p>
        </w:tc>
      </w:tr>
      <w:tr>
        <w:trPr/>
        <w:tc>
          <w:tcPr>
            <w:tcW w:w="3874"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Basic loss per share </w:t>
            </w:r>
          </w:p>
        </w:tc>
        <w:tc>
          <w:tcPr>
            <w:tcW w:w="104" w:type="dxa"/>
            <w:tcBorders/>
            <w:shd w:fill="CCEEFF" w:val="clear"/>
            <w:vAlign w:val="bottom"/>
          </w:tcPr>
          <w:p>
            <w:pPr>
              <w:pStyle w:val="TableContents"/>
              <w:bidi w:val="0"/>
              <w:spacing w:before="0" w:after="0"/>
              <w:ind w:left="0" w:right="0" w:hanging="0"/>
              <w:jc w:val="left"/>
              <w:rPr/>
            </w:pPr>
            <w:r>
              <w:rPr/>
              <w:t xml:space="preserve">  </w:t>
            </w:r>
          </w:p>
        </w:tc>
        <w:tc>
          <w:tcPr>
            <w:tcW w:w="199" w:type="dxa"/>
            <w:tcBorders/>
            <w:shd w:fill="CCEEFF" w:val="clear"/>
            <w:vAlign w:val="bottom"/>
          </w:tcPr>
          <w:p>
            <w:pPr>
              <w:pStyle w:val="TableContents"/>
              <w:bidi w:val="0"/>
              <w:spacing w:before="0" w:after="0"/>
              <w:ind w:left="0" w:right="0" w:hanging="0"/>
              <w:jc w:val="left"/>
              <w:rPr/>
            </w:pPr>
            <w:r>
              <w:rPr/>
            </w:r>
          </w:p>
        </w:tc>
        <w:tc>
          <w:tcPr>
            <w:tcW w:w="1077" w:type="dxa"/>
            <w:tcBorders/>
            <w:shd w:fill="CCEEFF" w:val="clear"/>
            <w:vAlign w:val="bottom"/>
          </w:tcPr>
          <w:p>
            <w:pPr>
              <w:pStyle w:val="TableContents"/>
              <w:bidi w:val="0"/>
              <w:spacing w:before="0" w:after="0"/>
              <w:ind w:left="0" w:right="0" w:hanging="0"/>
              <w:jc w:val="right"/>
              <w:rPr/>
            </w:pPr>
            <w:r>
              <w:rPr/>
            </w:r>
          </w:p>
        </w:tc>
        <w:tc>
          <w:tcPr>
            <w:tcW w:w="139"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0"/>
              <w:ind w:left="0" w:right="0" w:hanging="0"/>
              <w:jc w:val="left"/>
              <w:rPr/>
            </w:pPr>
            <w:r>
              <w:rPr/>
              <w:t xml:space="preserve">  </w:t>
            </w:r>
          </w:p>
        </w:tc>
        <w:tc>
          <w:tcPr>
            <w:tcW w:w="199" w:type="dxa"/>
            <w:tcBorders/>
            <w:shd w:fill="CCEEFF" w:val="clear"/>
            <w:vAlign w:val="bottom"/>
          </w:tcPr>
          <w:p>
            <w:pPr>
              <w:pStyle w:val="TableContents"/>
              <w:bidi w:val="0"/>
              <w:spacing w:before="0" w:after="0"/>
              <w:ind w:left="0" w:right="0" w:hanging="0"/>
              <w:jc w:val="left"/>
              <w:rPr/>
            </w:pPr>
            <w:r>
              <w:rPr/>
            </w:r>
          </w:p>
        </w:tc>
        <w:tc>
          <w:tcPr>
            <w:tcW w:w="1034" w:type="dxa"/>
            <w:tcBorders/>
            <w:shd w:fill="CCEEFF" w:val="clear"/>
            <w:vAlign w:val="bottom"/>
          </w:tcPr>
          <w:p>
            <w:pPr>
              <w:pStyle w:val="TableContents"/>
              <w:bidi w:val="0"/>
              <w:spacing w:before="0" w:after="0"/>
              <w:ind w:left="0" w:right="0" w:hanging="0"/>
              <w:jc w:val="right"/>
              <w:rPr/>
            </w:pPr>
            <w:r>
              <w:rPr/>
            </w:r>
          </w:p>
        </w:tc>
        <w:tc>
          <w:tcPr>
            <w:tcW w:w="113" w:type="dxa"/>
            <w:tcBorders/>
            <w:shd w:fill="CCEEFF" w:val="clear"/>
            <w:vAlign w:val="bottom"/>
          </w:tcPr>
          <w:p>
            <w:pPr>
              <w:pStyle w:val="TableContents"/>
              <w:bidi w:val="0"/>
              <w:spacing w:before="0" w:after="283"/>
              <w:jc w:val="left"/>
              <w:rPr>
                <w:sz w:val="4"/>
                <w:szCs w:val="4"/>
              </w:rPr>
            </w:pPr>
            <w:r>
              <w:rPr>
                <w:sz w:val="4"/>
                <w:szCs w:val="4"/>
              </w:rPr>
            </w:r>
          </w:p>
        </w:tc>
        <w:tc>
          <w:tcPr>
            <w:tcW w:w="22" w:type="dxa"/>
            <w:tcBorders/>
            <w:shd w:fill="CCEEFF" w:val="clear"/>
            <w:vAlign w:val="bottom"/>
          </w:tcPr>
          <w:p>
            <w:pPr>
              <w:pStyle w:val="TableContents"/>
              <w:bidi w:val="0"/>
              <w:spacing w:before="0" w:after="283"/>
              <w:jc w:val="left"/>
              <w:rPr/>
            </w:pPr>
            <w:r>
              <w:rPr/>
            </w:r>
          </w:p>
        </w:tc>
        <w:tc>
          <w:tcPr>
            <w:tcW w:w="189" w:type="dxa"/>
            <w:tcBorders/>
            <w:shd w:fill="CCEEFF" w:val="clear"/>
            <w:vAlign w:val="bottom"/>
          </w:tcPr>
          <w:p>
            <w:pPr>
              <w:pStyle w:val="TableContents"/>
              <w:bidi w:val="0"/>
              <w:spacing w:before="0" w:after="283"/>
              <w:jc w:val="left"/>
              <w:rPr/>
            </w:pPr>
            <w:r>
              <w:rPr/>
            </w:r>
          </w:p>
        </w:tc>
        <w:tc>
          <w:tcPr>
            <w:tcW w:w="1329" w:type="dxa"/>
            <w:tcBorders/>
            <w:shd w:fill="CCEEFF" w:val="clear"/>
            <w:vAlign w:val="bottom"/>
          </w:tcPr>
          <w:p>
            <w:pPr>
              <w:pStyle w:val="TableContents"/>
              <w:bidi w:val="0"/>
              <w:spacing w:before="0" w:after="283"/>
              <w:jc w:val="left"/>
              <w:rPr/>
            </w:pPr>
            <w:r>
              <w:rPr/>
            </w:r>
          </w:p>
        </w:tc>
        <w:tc>
          <w:tcPr>
            <w:tcW w:w="128" w:type="dxa"/>
            <w:tcBorders/>
            <w:shd w:fill="CCEEFF" w:val="clear"/>
            <w:vAlign w:val="bottom"/>
          </w:tcPr>
          <w:p>
            <w:pPr>
              <w:pStyle w:val="TableContents"/>
              <w:bidi w:val="0"/>
              <w:spacing w:before="0" w:after="283"/>
              <w:jc w:val="left"/>
              <w:rPr>
                <w:sz w:val="4"/>
                <w:szCs w:val="4"/>
              </w:rPr>
            </w:pPr>
            <w:r>
              <w:rPr>
                <w:sz w:val="4"/>
                <w:szCs w:val="4"/>
              </w:rPr>
            </w:r>
          </w:p>
        </w:tc>
        <w:tc>
          <w:tcPr>
            <w:tcW w:w="31" w:type="dxa"/>
            <w:tcBorders/>
            <w:shd w:fill="CCEEFF" w:val="clear"/>
            <w:vAlign w:val="bottom"/>
          </w:tcPr>
          <w:p>
            <w:pPr>
              <w:pStyle w:val="TableContents"/>
              <w:bidi w:val="0"/>
              <w:spacing w:before="0" w:after="283"/>
              <w:jc w:val="left"/>
              <w:rPr/>
            </w:pPr>
            <w:r>
              <w:rPr/>
            </w:r>
          </w:p>
        </w:tc>
        <w:tc>
          <w:tcPr>
            <w:tcW w:w="189" w:type="dxa"/>
            <w:tcBorders/>
            <w:shd w:fill="CCEEFF" w:val="clear"/>
            <w:vAlign w:val="bottom"/>
          </w:tcPr>
          <w:p>
            <w:pPr>
              <w:pStyle w:val="TableContents"/>
              <w:bidi w:val="0"/>
              <w:spacing w:before="0" w:after="283"/>
              <w:jc w:val="left"/>
              <w:rPr/>
            </w:pPr>
            <w:r>
              <w:rPr/>
            </w:r>
          </w:p>
        </w:tc>
        <w:tc>
          <w:tcPr>
            <w:tcW w:w="1329" w:type="dxa"/>
            <w:tcBorders/>
            <w:shd w:fill="CCEEFF" w:val="clear"/>
            <w:vAlign w:val="bottom"/>
          </w:tcPr>
          <w:p>
            <w:pPr>
              <w:pStyle w:val="TableContents"/>
              <w:bidi w:val="0"/>
              <w:spacing w:before="0" w:after="283"/>
              <w:jc w:val="left"/>
              <w:rPr/>
            </w:pPr>
            <w:r>
              <w:rPr/>
            </w:r>
          </w:p>
        </w:tc>
        <w:tc>
          <w:tcPr>
            <w:tcW w:w="119" w:type="dxa"/>
            <w:tcBorders/>
            <w:shd w:fill="CCEEFF" w:val="clear"/>
            <w:vAlign w:val="center"/>
          </w:tcPr>
          <w:p>
            <w:pPr>
              <w:pStyle w:val="TableContents"/>
              <w:bidi w:val="0"/>
              <w:spacing w:before="0" w:after="283"/>
              <w:jc w:val="left"/>
              <w:rPr>
                <w:sz w:val="4"/>
                <w:szCs w:val="4"/>
              </w:rPr>
            </w:pPr>
            <w:r>
              <w:rPr>
                <w:sz w:val="4"/>
                <w:szCs w:val="4"/>
              </w:rPr>
            </w:r>
          </w:p>
        </w:tc>
      </w:tr>
      <w:tr>
        <w:trPr/>
        <w:tc>
          <w:tcPr>
            <w:tcW w:w="3874" w:type="dxa"/>
            <w:tcBorders/>
            <w:vAlign w:val="bottom"/>
          </w:tcPr>
          <w:p>
            <w:pPr>
              <w:pStyle w:val="TableContents"/>
              <w:bidi w:val="0"/>
              <w:spacing w:before="0" w:after="283"/>
              <w:jc w:val="left"/>
              <w:rPr/>
            </w:pPr>
            <w:r>
              <w:rPr/>
              <w:t xml:space="preserve">    </w:t>
            </w:r>
            <w:r>
              <w:rPr/>
              <w:t>From continuing operations</w:t>
            </w:r>
          </w:p>
        </w:tc>
        <w:tc>
          <w:tcPr>
            <w:tcW w:w="104" w:type="dxa"/>
            <w:tcBorders/>
            <w:vAlign w:val="bottom"/>
          </w:tcPr>
          <w:p>
            <w:pPr>
              <w:pStyle w:val="TableContents"/>
              <w:bidi w:val="0"/>
              <w:spacing w:before="0" w:after="283"/>
              <w:jc w:val="left"/>
              <w:rPr/>
            </w:pPr>
            <w:r>
              <w:rPr/>
            </w:r>
          </w:p>
        </w:tc>
        <w:tc>
          <w:tcPr>
            <w:tcW w:w="199" w:type="dxa"/>
            <w:tcBorders/>
            <w:vAlign w:val="bottom"/>
          </w:tcPr>
          <w:p>
            <w:pPr>
              <w:pStyle w:val="TableContents"/>
              <w:bidi w:val="0"/>
              <w:spacing w:before="0" w:after="283"/>
              <w:jc w:val="left"/>
              <w:rPr/>
            </w:pPr>
            <w:r>
              <w:rPr/>
              <w:t>$</w:t>
            </w:r>
          </w:p>
        </w:tc>
        <w:tc>
          <w:tcPr>
            <w:tcW w:w="1077" w:type="dxa"/>
            <w:tcBorders/>
            <w:vAlign w:val="bottom"/>
          </w:tcPr>
          <w:p>
            <w:pPr>
              <w:pStyle w:val="TableContents"/>
              <w:bidi w:val="0"/>
              <w:spacing w:before="0" w:after="283"/>
              <w:jc w:val="right"/>
              <w:rPr/>
            </w:pPr>
            <w:r>
              <w:rPr/>
              <w:t>(0.50</w:t>
            </w:r>
          </w:p>
        </w:tc>
        <w:tc>
          <w:tcPr>
            <w:tcW w:w="139" w:type="dxa"/>
            <w:tcBorders/>
            <w:vAlign w:val="bottom"/>
          </w:tcPr>
          <w:p>
            <w:pPr>
              <w:pStyle w:val="TableContents"/>
              <w:bidi w:val="0"/>
              <w:spacing w:before="0" w:after="283"/>
              <w:jc w:val="left"/>
              <w:rPr/>
            </w:pPr>
            <w:r>
              <w:rPr/>
              <w:t>)</w:t>
            </w:r>
          </w:p>
        </w:tc>
        <w:tc>
          <w:tcPr>
            <w:tcW w:w="130" w:type="dxa"/>
            <w:tcBorders/>
            <w:vAlign w:val="bottom"/>
          </w:tcPr>
          <w:p>
            <w:pPr>
              <w:pStyle w:val="TableContents"/>
              <w:bidi w:val="0"/>
              <w:spacing w:before="0" w:after="283"/>
              <w:jc w:val="left"/>
              <w:rPr/>
            </w:pPr>
            <w:r>
              <w:rPr/>
            </w:r>
          </w:p>
        </w:tc>
        <w:tc>
          <w:tcPr>
            <w:tcW w:w="199" w:type="dxa"/>
            <w:tcBorders/>
            <w:vAlign w:val="bottom"/>
          </w:tcPr>
          <w:p>
            <w:pPr>
              <w:pStyle w:val="TableContents"/>
              <w:bidi w:val="0"/>
              <w:spacing w:before="0" w:after="283"/>
              <w:jc w:val="left"/>
              <w:rPr/>
            </w:pPr>
            <w:r>
              <w:rPr/>
              <w:t>$</w:t>
            </w:r>
          </w:p>
        </w:tc>
        <w:tc>
          <w:tcPr>
            <w:tcW w:w="1034" w:type="dxa"/>
            <w:tcBorders/>
            <w:vAlign w:val="bottom"/>
          </w:tcPr>
          <w:p>
            <w:pPr>
              <w:pStyle w:val="TableContents"/>
              <w:bidi w:val="0"/>
              <w:spacing w:before="0" w:after="283"/>
              <w:jc w:val="right"/>
              <w:rPr/>
            </w:pPr>
            <w:r>
              <w:rPr/>
              <w:t>(0.45</w:t>
            </w:r>
          </w:p>
        </w:tc>
        <w:tc>
          <w:tcPr>
            <w:tcW w:w="113" w:type="dxa"/>
            <w:tcBorders/>
            <w:vAlign w:val="bottom"/>
          </w:tcPr>
          <w:p>
            <w:pPr>
              <w:pStyle w:val="TableContents"/>
              <w:bidi w:val="0"/>
              <w:spacing w:before="0" w:after="283"/>
              <w:jc w:val="left"/>
              <w:rPr/>
            </w:pPr>
            <w:r>
              <w:rPr/>
              <w:t>)</w:t>
            </w:r>
          </w:p>
        </w:tc>
        <w:tc>
          <w:tcPr>
            <w:tcW w:w="22" w:type="dxa"/>
            <w:tcBorders/>
            <w:vAlign w:val="bottom"/>
          </w:tcPr>
          <w:p>
            <w:pPr>
              <w:pStyle w:val="TableContents"/>
              <w:bidi w:val="0"/>
              <w:spacing w:before="0" w:after="283"/>
              <w:jc w:val="left"/>
              <w:rPr/>
            </w:pPr>
            <w:r>
              <w:rPr/>
            </w:r>
          </w:p>
        </w:tc>
        <w:tc>
          <w:tcPr>
            <w:tcW w:w="189" w:type="dxa"/>
            <w:tcBorders/>
            <w:vAlign w:val="bottom"/>
          </w:tcPr>
          <w:p>
            <w:pPr>
              <w:pStyle w:val="TableContents"/>
              <w:bidi w:val="0"/>
              <w:spacing w:before="0" w:after="283"/>
              <w:jc w:val="left"/>
              <w:rPr/>
            </w:pPr>
            <w:r>
              <w:rPr/>
              <w:t>$</w:t>
            </w:r>
          </w:p>
        </w:tc>
        <w:tc>
          <w:tcPr>
            <w:tcW w:w="1329" w:type="dxa"/>
            <w:tcBorders/>
            <w:vAlign w:val="bottom"/>
          </w:tcPr>
          <w:p>
            <w:pPr>
              <w:pStyle w:val="TableContents"/>
              <w:bidi w:val="0"/>
              <w:spacing w:before="0" w:after="283"/>
              <w:jc w:val="right"/>
              <w:rPr/>
            </w:pPr>
            <w:r>
              <w:rPr/>
              <w:t>(1.92</w:t>
            </w:r>
          </w:p>
        </w:tc>
        <w:tc>
          <w:tcPr>
            <w:tcW w:w="128" w:type="dxa"/>
            <w:tcBorders/>
            <w:vAlign w:val="bottom"/>
          </w:tcPr>
          <w:p>
            <w:pPr>
              <w:pStyle w:val="TableContents"/>
              <w:bidi w:val="0"/>
              <w:spacing w:before="0" w:after="283"/>
              <w:jc w:val="left"/>
              <w:rPr/>
            </w:pPr>
            <w:r>
              <w:rPr/>
              <w:t>)</w:t>
            </w:r>
          </w:p>
        </w:tc>
        <w:tc>
          <w:tcPr>
            <w:tcW w:w="31" w:type="dxa"/>
            <w:tcBorders/>
            <w:vAlign w:val="bottom"/>
          </w:tcPr>
          <w:p>
            <w:pPr>
              <w:pStyle w:val="TableContents"/>
              <w:bidi w:val="0"/>
              <w:spacing w:before="0" w:after="283"/>
              <w:jc w:val="left"/>
              <w:rPr/>
            </w:pPr>
            <w:r>
              <w:rPr/>
            </w:r>
          </w:p>
        </w:tc>
        <w:tc>
          <w:tcPr>
            <w:tcW w:w="189" w:type="dxa"/>
            <w:tcBorders/>
            <w:vAlign w:val="bottom"/>
          </w:tcPr>
          <w:p>
            <w:pPr>
              <w:pStyle w:val="TableContents"/>
              <w:bidi w:val="0"/>
              <w:spacing w:before="0" w:after="283"/>
              <w:jc w:val="left"/>
              <w:rPr/>
            </w:pPr>
            <w:r>
              <w:rPr/>
              <w:t>$</w:t>
            </w:r>
          </w:p>
        </w:tc>
        <w:tc>
          <w:tcPr>
            <w:tcW w:w="1329" w:type="dxa"/>
            <w:tcBorders/>
            <w:vAlign w:val="bottom"/>
          </w:tcPr>
          <w:p>
            <w:pPr>
              <w:pStyle w:val="TableContents"/>
              <w:bidi w:val="0"/>
              <w:spacing w:before="0" w:after="283"/>
              <w:jc w:val="right"/>
              <w:rPr/>
            </w:pPr>
            <w:r>
              <w:rPr/>
              <w:t>(1.30</w:t>
            </w:r>
          </w:p>
        </w:tc>
        <w:tc>
          <w:tcPr>
            <w:tcW w:w="119" w:type="dxa"/>
            <w:tcBorders/>
            <w:vAlign w:val="center"/>
          </w:tcPr>
          <w:p>
            <w:pPr>
              <w:pStyle w:val="TableContents"/>
              <w:bidi w:val="0"/>
              <w:spacing w:before="0" w:after="283"/>
              <w:jc w:val="left"/>
              <w:rPr/>
            </w:pPr>
            <w:r>
              <w:rPr/>
              <w:t>)</w:t>
            </w:r>
          </w:p>
        </w:tc>
      </w:tr>
      <w:tr>
        <w:trPr/>
        <w:tc>
          <w:tcPr>
            <w:tcW w:w="3874" w:type="dxa"/>
            <w:tcBorders/>
            <w:shd w:fill="CCEEFF" w:val="clear"/>
            <w:vAlign w:val="bottom"/>
          </w:tcPr>
          <w:p>
            <w:pPr>
              <w:pStyle w:val="TableContents"/>
              <w:bidi w:val="0"/>
              <w:spacing w:before="0" w:after="283"/>
              <w:jc w:val="left"/>
              <w:rPr/>
            </w:pPr>
            <w:r>
              <w:rPr/>
              <w:t xml:space="preserve">    </w:t>
            </w:r>
            <w:r>
              <w:rPr/>
              <w:t>From discontinued operations</w:t>
            </w:r>
          </w:p>
        </w:tc>
        <w:tc>
          <w:tcPr>
            <w:tcW w:w="104" w:type="dxa"/>
            <w:tcBorders/>
            <w:shd w:fill="CCEEFF" w:val="clear"/>
            <w:vAlign w:val="bottom"/>
          </w:tcPr>
          <w:p>
            <w:pPr>
              <w:pStyle w:val="TableContents"/>
              <w:bidi w:val="0"/>
              <w:spacing w:before="0" w:after="283"/>
              <w:jc w:val="left"/>
              <w:rPr/>
            </w:pPr>
            <w:r>
              <w:rPr/>
            </w:r>
          </w:p>
        </w:tc>
        <w:tc>
          <w:tcPr>
            <w:tcW w:w="199" w:type="dxa"/>
            <w:tcBorders/>
            <w:shd w:fill="CCEEFF" w:val="clear"/>
            <w:vAlign w:val="bottom"/>
          </w:tcPr>
          <w:p>
            <w:pPr>
              <w:pStyle w:val="TableContents"/>
              <w:bidi w:val="0"/>
              <w:spacing w:before="0" w:after="283"/>
              <w:jc w:val="left"/>
              <w:rPr/>
            </w:pPr>
            <w:r>
              <w:rPr/>
            </w:r>
          </w:p>
        </w:tc>
        <w:tc>
          <w:tcPr>
            <w:tcW w:w="1077" w:type="dxa"/>
            <w:tcBorders/>
            <w:shd w:fill="CCEEFF" w:val="clear"/>
            <w:vAlign w:val="bottom"/>
          </w:tcPr>
          <w:p>
            <w:pPr>
              <w:pStyle w:val="TableContents"/>
              <w:bidi w:val="0"/>
              <w:spacing w:before="0" w:after="283"/>
              <w:jc w:val="right"/>
              <w:rPr/>
            </w:pPr>
            <w:r>
              <w:rPr/>
              <w:t>(7.42</w:t>
            </w:r>
          </w:p>
        </w:tc>
        <w:tc>
          <w:tcPr>
            <w:tcW w:w="139" w:type="dxa"/>
            <w:tcBorders/>
            <w:shd w:fill="CCEEFF" w:val="clear"/>
            <w:vAlign w:val="bottom"/>
          </w:tcPr>
          <w:p>
            <w:pPr>
              <w:pStyle w:val="TableContents"/>
              <w:bidi w:val="0"/>
              <w:spacing w:before="0" w:after="283"/>
              <w:jc w:val="left"/>
              <w:rPr/>
            </w:pPr>
            <w:r>
              <w:rPr/>
              <w:t>)</w:t>
            </w:r>
          </w:p>
        </w:tc>
        <w:tc>
          <w:tcPr>
            <w:tcW w:w="130" w:type="dxa"/>
            <w:tcBorders/>
            <w:shd w:fill="CCEEFF" w:val="clear"/>
            <w:vAlign w:val="bottom"/>
          </w:tcPr>
          <w:p>
            <w:pPr>
              <w:pStyle w:val="TableContents"/>
              <w:bidi w:val="0"/>
              <w:spacing w:before="0" w:after="283"/>
              <w:jc w:val="left"/>
              <w:rPr/>
            </w:pPr>
            <w:r>
              <w:rPr/>
            </w:r>
          </w:p>
        </w:tc>
        <w:tc>
          <w:tcPr>
            <w:tcW w:w="199" w:type="dxa"/>
            <w:tcBorders/>
            <w:shd w:fill="CCEEFF" w:val="clear"/>
            <w:vAlign w:val="bottom"/>
          </w:tcPr>
          <w:p>
            <w:pPr>
              <w:pStyle w:val="TableContents"/>
              <w:bidi w:val="0"/>
              <w:spacing w:before="0" w:after="283"/>
              <w:jc w:val="left"/>
              <w:rPr/>
            </w:pPr>
            <w:r>
              <w:rPr/>
            </w:r>
          </w:p>
        </w:tc>
        <w:tc>
          <w:tcPr>
            <w:tcW w:w="1034" w:type="dxa"/>
            <w:tcBorders/>
            <w:shd w:fill="CCEEFF" w:val="clear"/>
            <w:vAlign w:val="bottom"/>
          </w:tcPr>
          <w:p>
            <w:pPr>
              <w:pStyle w:val="TableContents"/>
              <w:bidi w:val="0"/>
              <w:spacing w:before="0" w:after="283"/>
              <w:jc w:val="right"/>
              <w:rPr/>
            </w:pPr>
            <w:r>
              <w:rPr/>
              <w:t>(0.84</w:t>
            </w:r>
          </w:p>
        </w:tc>
        <w:tc>
          <w:tcPr>
            <w:tcW w:w="113" w:type="dxa"/>
            <w:tcBorders/>
            <w:shd w:fill="CCEEFF" w:val="clear"/>
            <w:vAlign w:val="bottom"/>
          </w:tcPr>
          <w:p>
            <w:pPr>
              <w:pStyle w:val="TableContents"/>
              <w:bidi w:val="0"/>
              <w:spacing w:before="0" w:after="283"/>
              <w:jc w:val="left"/>
              <w:rPr/>
            </w:pPr>
            <w:r>
              <w:rPr/>
              <w:t>)</w:t>
            </w:r>
          </w:p>
        </w:tc>
        <w:tc>
          <w:tcPr>
            <w:tcW w:w="22" w:type="dxa"/>
            <w:tcBorders/>
            <w:shd w:fill="CCEEFF" w:val="clear"/>
            <w:vAlign w:val="bottom"/>
          </w:tcPr>
          <w:p>
            <w:pPr>
              <w:pStyle w:val="TableContents"/>
              <w:bidi w:val="0"/>
              <w:spacing w:before="0" w:after="283"/>
              <w:jc w:val="left"/>
              <w:rPr/>
            </w:pPr>
            <w:r>
              <w:rPr/>
            </w:r>
          </w:p>
        </w:tc>
        <w:tc>
          <w:tcPr>
            <w:tcW w:w="189" w:type="dxa"/>
            <w:tcBorders/>
            <w:shd w:fill="CCEEFF" w:val="clear"/>
            <w:vAlign w:val="bottom"/>
          </w:tcPr>
          <w:p>
            <w:pPr>
              <w:pStyle w:val="TableContents"/>
              <w:bidi w:val="0"/>
              <w:spacing w:before="0" w:after="283"/>
              <w:jc w:val="left"/>
              <w:rPr/>
            </w:pPr>
            <w:r>
              <w:rPr/>
            </w:r>
          </w:p>
        </w:tc>
        <w:tc>
          <w:tcPr>
            <w:tcW w:w="1329" w:type="dxa"/>
            <w:tcBorders/>
            <w:shd w:fill="CCEEFF" w:val="clear"/>
            <w:vAlign w:val="bottom"/>
          </w:tcPr>
          <w:p>
            <w:pPr>
              <w:pStyle w:val="TableContents"/>
              <w:bidi w:val="0"/>
              <w:spacing w:before="0" w:after="283"/>
              <w:jc w:val="right"/>
              <w:rPr/>
            </w:pPr>
            <w:r>
              <w:rPr/>
              <w:t>(10.47</w:t>
            </w:r>
          </w:p>
        </w:tc>
        <w:tc>
          <w:tcPr>
            <w:tcW w:w="128" w:type="dxa"/>
            <w:tcBorders/>
            <w:shd w:fill="CCEEFF" w:val="clear"/>
            <w:vAlign w:val="bottom"/>
          </w:tcPr>
          <w:p>
            <w:pPr>
              <w:pStyle w:val="TableContents"/>
              <w:bidi w:val="0"/>
              <w:spacing w:before="0" w:after="283"/>
              <w:jc w:val="left"/>
              <w:rPr/>
            </w:pPr>
            <w:r>
              <w:rPr/>
              <w:t>)</w:t>
            </w:r>
          </w:p>
        </w:tc>
        <w:tc>
          <w:tcPr>
            <w:tcW w:w="31" w:type="dxa"/>
            <w:tcBorders/>
            <w:shd w:fill="CCEEFF" w:val="clear"/>
            <w:vAlign w:val="bottom"/>
          </w:tcPr>
          <w:p>
            <w:pPr>
              <w:pStyle w:val="TableContents"/>
              <w:bidi w:val="0"/>
              <w:spacing w:before="0" w:after="283"/>
              <w:jc w:val="left"/>
              <w:rPr/>
            </w:pPr>
            <w:r>
              <w:rPr/>
            </w:r>
          </w:p>
        </w:tc>
        <w:tc>
          <w:tcPr>
            <w:tcW w:w="189" w:type="dxa"/>
            <w:tcBorders/>
            <w:shd w:fill="CCEEFF" w:val="clear"/>
            <w:vAlign w:val="bottom"/>
          </w:tcPr>
          <w:p>
            <w:pPr>
              <w:pStyle w:val="TableContents"/>
              <w:bidi w:val="0"/>
              <w:spacing w:before="0" w:after="283"/>
              <w:jc w:val="left"/>
              <w:rPr/>
            </w:pPr>
            <w:r>
              <w:rPr/>
            </w:r>
          </w:p>
        </w:tc>
        <w:tc>
          <w:tcPr>
            <w:tcW w:w="1329" w:type="dxa"/>
            <w:tcBorders/>
            <w:shd w:fill="CCEEFF" w:val="clear"/>
            <w:vAlign w:val="bottom"/>
          </w:tcPr>
          <w:p>
            <w:pPr>
              <w:pStyle w:val="TableContents"/>
              <w:bidi w:val="0"/>
              <w:spacing w:before="0" w:after="283"/>
              <w:jc w:val="right"/>
              <w:rPr/>
            </w:pPr>
            <w:r>
              <w:rPr/>
              <w:t>(2.94</w:t>
            </w:r>
          </w:p>
        </w:tc>
        <w:tc>
          <w:tcPr>
            <w:tcW w:w="119" w:type="dxa"/>
            <w:tcBorders/>
            <w:shd w:fill="CCEEFF" w:val="clear"/>
            <w:vAlign w:val="center"/>
          </w:tcPr>
          <w:p>
            <w:pPr>
              <w:pStyle w:val="TableContents"/>
              <w:bidi w:val="0"/>
              <w:spacing w:before="0" w:after="283"/>
              <w:jc w:val="left"/>
              <w:rPr/>
            </w:pPr>
            <w:r>
              <w:rPr/>
              <w:t>)</w:t>
            </w:r>
          </w:p>
        </w:tc>
      </w:tr>
      <w:tr>
        <w:trPr/>
        <w:tc>
          <w:tcPr>
            <w:tcW w:w="3874" w:type="dxa"/>
            <w:tcBorders/>
            <w:vAlign w:val="bottom"/>
          </w:tcPr>
          <w:p>
            <w:pPr>
              <w:pStyle w:val="TableContents"/>
              <w:bidi w:val="0"/>
              <w:spacing w:before="0" w:after="283"/>
              <w:jc w:val="left"/>
              <w:rPr/>
            </w:pPr>
            <w:r>
              <w:rPr/>
              <w:t>Total</w:t>
            </w:r>
          </w:p>
        </w:tc>
        <w:tc>
          <w:tcPr>
            <w:tcW w:w="104" w:type="dxa"/>
            <w:tcBorders/>
            <w:vAlign w:val="bottom"/>
          </w:tcPr>
          <w:p>
            <w:pPr>
              <w:pStyle w:val="TableContents"/>
              <w:bidi w:val="0"/>
              <w:spacing w:before="0" w:after="283"/>
              <w:jc w:val="left"/>
              <w:rPr/>
            </w:pPr>
            <w:r>
              <w:rPr/>
            </w:r>
          </w:p>
        </w:tc>
        <w:tc>
          <w:tcPr>
            <w:tcW w:w="199" w:type="dxa"/>
            <w:tcBorders/>
            <w:vAlign w:val="bottom"/>
          </w:tcPr>
          <w:p>
            <w:pPr>
              <w:pStyle w:val="TableContents"/>
              <w:bidi w:val="0"/>
              <w:spacing w:before="0" w:after="283"/>
              <w:jc w:val="left"/>
              <w:rPr/>
            </w:pPr>
            <w:r>
              <w:rPr/>
            </w:r>
          </w:p>
        </w:tc>
        <w:tc>
          <w:tcPr>
            <w:tcW w:w="1077" w:type="dxa"/>
            <w:tcBorders/>
            <w:vAlign w:val="bottom"/>
          </w:tcPr>
          <w:p>
            <w:pPr>
              <w:pStyle w:val="TableContents"/>
              <w:bidi w:val="0"/>
              <w:spacing w:before="0" w:after="283"/>
              <w:jc w:val="right"/>
              <w:rPr/>
            </w:pPr>
            <w:r>
              <w:rPr/>
              <w:t>(7.92</w:t>
            </w:r>
          </w:p>
        </w:tc>
        <w:tc>
          <w:tcPr>
            <w:tcW w:w="139" w:type="dxa"/>
            <w:tcBorders/>
            <w:vAlign w:val="bottom"/>
          </w:tcPr>
          <w:p>
            <w:pPr>
              <w:pStyle w:val="TableContents"/>
              <w:bidi w:val="0"/>
              <w:spacing w:before="0" w:after="283"/>
              <w:jc w:val="left"/>
              <w:rPr/>
            </w:pPr>
            <w:r>
              <w:rPr/>
              <w:t>)</w:t>
            </w:r>
          </w:p>
        </w:tc>
        <w:tc>
          <w:tcPr>
            <w:tcW w:w="130" w:type="dxa"/>
            <w:tcBorders/>
            <w:vAlign w:val="bottom"/>
          </w:tcPr>
          <w:p>
            <w:pPr>
              <w:pStyle w:val="TableContents"/>
              <w:bidi w:val="0"/>
              <w:spacing w:before="0" w:after="283"/>
              <w:jc w:val="left"/>
              <w:rPr/>
            </w:pPr>
            <w:r>
              <w:rPr/>
            </w:r>
          </w:p>
        </w:tc>
        <w:tc>
          <w:tcPr>
            <w:tcW w:w="199" w:type="dxa"/>
            <w:tcBorders/>
            <w:vAlign w:val="bottom"/>
          </w:tcPr>
          <w:p>
            <w:pPr>
              <w:pStyle w:val="TableContents"/>
              <w:bidi w:val="0"/>
              <w:spacing w:before="0" w:after="283"/>
              <w:jc w:val="left"/>
              <w:rPr/>
            </w:pPr>
            <w:r>
              <w:rPr/>
            </w:r>
          </w:p>
        </w:tc>
        <w:tc>
          <w:tcPr>
            <w:tcW w:w="1034" w:type="dxa"/>
            <w:tcBorders/>
            <w:vAlign w:val="bottom"/>
          </w:tcPr>
          <w:p>
            <w:pPr>
              <w:pStyle w:val="TableContents"/>
              <w:bidi w:val="0"/>
              <w:spacing w:before="0" w:after="283"/>
              <w:jc w:val="right"/>
              <w:rPr/>
            </w:pPr>
            <w:r>
              <w:rPr/>
              <w:t>(1.29</w:t>
            </w:r>
          </w:p>
        </w:tc>
        <w:tc>
          <w:tcPr>
            <w:tcW w:w="113" w:type="dxa"/>
            <w:tcBorders/>
            <w:vAlign w:val="bottom"/>
          </w:tcPr>
          <w:p>
            <w:pPr>
              <w:pStyle w:val="TableContents"/>
              <w:bidi w:val="0"/>
              <w:spacing w:before="0" w:after="283"/>
              <w:jc w:val="left"/>
              <w:rPr/>
            </w:pPr>
            <w:r>
              <w:rPr/>
              <w:t>)</w:t>
            </w:r>
          </w:p>
        </w:tc>
        <w:tc>
          <w:tcPr>
            <w:tcW w:w="22" w:type="dxa"/>
            <w:tcBorders/>
            <w:vAlign w:val="bottom"/>
          </w:tcPr>
          <w:p>
            <w:pPr>
              <w:pStyle w:val="TableContents"/>
              <w:bidi w:val="0"/>
              <w:spacing w:before="0" w:after="283"/>
              <w:jc w:val="left"/>
              <w:rPr/>
            </w:pPr>
            <w:r>
              <w:rPr/>
            </w:r>
          </w:p>
        </w:tc>
        <w:tc>
          <w:tcPr>
            <w:tcW w:w="189" w:type="dxa"/>
            <w:tcBorders/>
            <w:vAlign w:val="bottom"/>
          </w:tcPr>
          <w:p>
            <w:pPr>
              <w:pStyle w:val="TableContents"/>
              <w:bidi w:val="0"/>
              <w:spacing w:before="0" w:after="283"/>
              <w:jc w:val="left"/>
              <w:rPr/>
            </w:pPr>
            <w:r>
              <w:rPr/>
            </w:r>
          </w:p>
        </w:tc>
        <w:tc>
          <w:tcPr>
            <w:tcW w:w="1329" w:type="dxa"/>
            <w:tcBorders/>
            <w:vAlign w:val="bottom"/>
          </w:tcPr>
          <w:p>
            <w:pPr>
              <w:pStyle w:val="TableContents"/>
              <w:bidi w:val="0"/>
              <w:spacing w:before="0" w:after="283"/>
              <w:jc w:val="right"/>
              <w:rPr/>
            </w:pPr>
            <w:r>
              <w:rPr/>
              <w:t>(12.39</w:t>
            </w:r>
          </w:p>
        </w:tc>
        <w:tc>
          <w:tcPr>
            <w:tcW w:w="128" w:type="dxa"/>
            <w:tcBorders/>
            <w:vAlign w:val="bottom"/>
          </w:tcPr>
          <w:p>
            <w:pPr>
              <w:pStyle w:val="TableContents"/>
              <w:bidi w:val="0"/>
              <w:spacing w:before="0" w:after="283"/>
              <w:jc w:val="left"/>
              <w:rPr/>
            </w:pPr>
            <w:r>
              <w:rPr/>
              <w:t>)</w:t>
            </w:r>
          </w:p>
        </w:tc>
        <w:tc>
          <w:tcPr>
            <w:tcW w:w="31" w:type="dxa"/>
            <w:tcBorders/>
            <w:vAlign w:val="bottom"/>
          </w:tcPr>
          <w:p>
            <w:pPr>
              <w:pStyle w:val="TableContents"/>
              <w:bidi w:val="0"/>
              <w:spacing w:before="0" w:after="283"/>
              <w:jc w:val="left"/>
              <w:rPr/>
            </w:pPr>
            <w:r>
              <w:rPr/>
            </w:r>
          </w:p>
        </w:tc>
        <w:tc>
          <w:tcPr>
            <w:tcW w:w="189" w:type="dxa"/>
            <w:tcBorders/>
            <w:vAlign w:val="bottom"/>
          </w:tcPr>
          <w:p>
            <w:pPr>
              <w:pStyle w:val="TableContents"/>
              <w:bidi w:val="0"/>
              <w:spacing w:before="0" w:after="283"/>
              <w:jc w:val="left"/>
              <w:rPr/>
            </w:pPr>
            <w:r>
              <w:rPr/>
            </w:r>
          </w:p>
        </w:tc>
        <w:tc>
          <w:tcPr>
            <w:tcW w:w="1329" w:type="dxa"/>
            <w:tcBorders/>
            <w:vAlign w:val="bottom"/>
          </w:tcPr>
          <w:p>
            <w:pPr>
              <w:pStyle w:val="TableContents"/>
              <w:bidi w:val="0"/>
              <w:spacing w:before="0" w:after="283"/>
              <w:jc w:val="right"/>
              <w:rPr/>
            </w:pPr>
            <w:r>
              <w:rPr/>
              <w:t>(4.24</w:t>
            </w:r>
          </w:p>
        </w:tc>
        <w:tc>
          <w:tcPr>
            <w:tcW w:w="119" w:type="dxa"/>
            <w:tcBorders/>
            <w:vAlign w:val="center"/>
          </w:tcPr>
          <w:p>
            <w:pPr>
              <w:pStyle w:val="TableContents"/>
              <w:bidi w:val="0"/>
              <w:spacing w:before="0" w:after="283"/>
              <w:jc w:val="left"/>
              <w:rPr/>
            </w:pPr>
            <w:r>
              <w:rPr/>
              <w:t>)</w:t>
            </w:r>
          </w:p>
        </w:tc>
      </w:tr>
      <w:tr>
        <w:trPr/>
        <w:tc>
          <w:tcPr>
            <w:tcW w:w="3874" w:type="dxa"/>
            <w:tcBorders/>
            <w:shd w:fill="CCEEFF" w:val="clear"/>
            <w:vAlign w:val="bottom"/>
          </w:tcPr>
          <w:p>
            <w:pPr>
              <w:pStyle w:val="TableContents"/>
              <w:bidi w:val="0"/>
              <w:spacing w:before="0" w:after="283"/>
              <w:jc w:val="left"/>
              <w:rPr/>
            </w:pPr>
            <w:r>
              <w:rPr/>
            </w:r>
          </w:p>
        </w:tc>
        <w:tc>
          <w:tcPr>
            <w:tcW w:w="104" w:type="dxa"/>
            <w:tcBorders/>
            <w:shd w:fill="CCEEFF" w:val="clear"/>
            <w:vAlign w:val="bottom"/>
          </w:tcPr>
          <w:p>
            <w:pPr>
              <w:pStyle w:val="TableContents"/>
              <w:bidi w:val="0"/>
              <w:spacing w:before="0" w:after="283"/>
              <w:jc w:val="left"/>
              <w:rPr/>
            </w:pPr>
            <w:r>
              <w:rPr/>
            </w:r>
          </w:p>
        </w:tc>
        <w:tc>
          <w:tcPr>
            <w:tcW w:w="199" w:type="dxa"/>
            <w:tcBorders/>
            <w:shd w:fill="CCEEFF" w:val="clear"/>
            <w:vAlign w:val="bottom"/>
          </w:tcPr>
          <w:p>
            <w:pPr>
              <w:pStyle w:val="TableContents"/>
              <w:bidi w:val="0"/>
              <w:spacing w:before="0" w:after="283"/>
              <w:jc w:val="left"/>
              <w:rPr/>
            </w:pPr>
            <w:r>
              <w:rPr/>
            </w:r>
          </w:p>
        </w:tc>
        <w:tc>
          <w:tcPr>
            <w:tcW w:w="1077" w:type="dxa"/>
            <w:tcBorders/>
            <w:shd w:fill="CCEEFF" w:val="clear"/>
            <w:vAlign w:val="bottom"/>
          </w:tcPr>
          <w:p>
            <w:pPr>
              <w:pStyle w:val="TableContents"/>
              <w:bidi w:val="0"/>
              <w:spacing w:before="0" w:after="283"/>
              <w:jc w:val="left"/>
              <w:rPr/>
            </w:pPr>
            <w:r>
              <w:rPr/>
            </w:r>
          </w:p>
        </w:tc>
        <w:tc>
          <w:tcPr>
            <w:tcW w:w="139" w:type="dxa"/>
            <w:tcBorders/>
            <w:shd w:fill="CCEEFF" w:val="clear"/>
            <w:vAlign w:val="bottom"/>
          </w:tcPr>
          <w:p>
            <w:pPr>
              <w:pStyle w:val="TableContents"/>
              <w:bidi w:val="0"/>
              <w:spacing w:before="0" w:after="283"/>
              <w:jc w:val="left"/>
              <w:rPr/>
            </w:pPr>
            <w:r>
              <w:rPr/>
            </w:r>
          </w:p>
        </w:tc>
        <w:tc>
          <w:tcPr>
            <w:tcW w:w="130" w:type="dxa"/>
            <w:tcBorders/>
            <w:shd w:fill="CCEEFF" w:val="clear"/>
            <w:vAlign w:val="bottom"/>
          </w:tcPr>
          <w:p>
            <w:pPr>
              <w:pStyle w:val="TableContents"/>
              <w:bidi w:val="0"/>
              <w:spacing w:before="0" w:after="283"/>
              <w:jc w:val="left"/>
              <w:rPr/>
            </w:pPr>
            <w:r>
              <w:rPr/>
            </w:r>
          </w:p>
        </w:tc>
        <w:tc>
          <w:tcPr>
            <w:tcW w:w="199" w:type="dxa"/>
            <w:tcBorders/>
            <w:shd w:fill="CCEEFF" w:val="clear"/>
            <w:vAlign w:val="bottom"/>
          </w:tcPr>
          <w:p>
            <w:pPr>
              <w:pStyle w:val="TableContents"/>
              <w:bidi w:val="0"/>
              <w:spacing w:before="0" w:after="283"/>
              <w:jc w:val="left"/>
              <w:rPr/>
            </w:pPr>
            <w:r>
              <w:rPr/>
            </w:r>
          </w:p>
        </w:tc>
        <w:tc>
          <w:tcPr>
            <w:tcW w:w="1034" w:type="dxa"/>
            <w:tcBorders/>
            <w:shd w:fill="CCEEFF" w:val="clear"/>
            <w:vAlign w:val="bottom"/>
          </w:tcPr>
          <w:p>
            <w:pPr>
              <w:pStyle w:val="TableContents"/>
              <w:bidi w:val="0"/>
              <w:spacing w:before="0" w:after="283"/>
              <w:jc w:val="left"/>
              <w:rPr/>
            </w:pPr>
            <w:r>
              <w:rPr/>
            </w:r>
          </w:p>
        </w:tc>
        <w:tc>
          <w:tcPr>
            <w:tcW w:w="113" w:type="dxa"/>
            <w:tcBorders/>
            <w:shd w:fill="CCEEFF" w:val="clear"/>
            <w:vAlign w:val="bottom"/>
          </w:tcPr>
          <w:p>
            <w:pPr>
              <w:pStyle w:val="TableContents"/>
              <w:bidi w:val="0"/>
              <w:spacing w:before="0" w:after="283"/>
              <w:jc w:val="left"/>
              <w:rPr/>
            </w:pPr>
            <w:r>
              <w:rPr/>
            </w:r>
          </w:p>
        </w:tc>
        <w:tc>
          <w:tcPr>
            <w:tcW w:w="22" w:type="dxa"/>
            <w:tcBorders/>
            <w:shd w:fill="CCEEFF" w:val="clear"/>
            <w:vAlign w:val="bottom"/>
          </w:tcPr>
          <w:p>
            <w:pPr>
              <w:pStyle w:val="TableContents"/>
              <w:bidi w:val="0"/>
              <w:spacing w:before="0" w:after="283"/>
              <w:jc w:val="left"/>
              <w:rPr/>
            </w:pPr>
            <w:r>
              <w:rPr/>
            </w:r>
          </w:p>
        </w:tc>
        <w:tc>
          <w:tcPr>
            <w:tcW w:w="189" w:type="dxa"/>
            <w:tcBorders/>
            <w:shd w:fill="CCEEFF" w:val="clear"/>
            <w:vAlign w:val="bottom"/>
          </w:tcPr>
          <w:p>
            <w:pPr>
              <w:pStyle w:val="TableContents"/>
              <w:bidi w:val="0"/>
              <w:spacing w:before="0" w:after="283"/>
              <w:jc w:val="left"/>
              <w:rPr/>
            </w:pPr>
            <w:r>
              <w:rPr/>
            </w:r>
          </w:p>
        </w:tc>
        <w:tc>
          <w:tcPr>
            <w:tcW w:w="1329" w:type="dxa"/>
            <w:tcBorders/>
            <w:shd w:fill="CCEEFF" w:val="clear"/>
            <w:vAlign w:val="bottom"/>
          </w:tcPr>
          <w:p>
            <w:pPr>
              <w:pStyle w:val="TableContents"/>
              <w:bidi w:val="0"/>
              <w:spacing w:before="0" w:after="283"/>
              <w:jc w:val="left"/>
              <w:rPr/>
            </w:pPr>
            <w:r>
              <w:rPr/>
            </w:r>
          </w:p>
        </w:tc>
        <w:tc>
          <w:tcPr>
            <w:tcW w:w="128" w:type="dxa"/>
            <w:tcBorders/>
            <w:shd w:fill="CCEEFF" w:val="clear"/>
            <w:vAlign w:val="bottom"/>
          </w:tcPr>
          <w:p>
            <w:pPr>
              <w:pStyle w:val="TableContents"/>
              <w:bidi w:val="0"/>
              <w:spacing w:before="0" w:after="283"/>
              <w:jc w:val="left"/>
              <w:rPr/>
            </w:pPr>
            <w:r>
              <w:rPr/>
            </w:r>
          </w:p>
        </w:tc>
        <w:tc>
          <w:tcPr>
            <w:tcW w:w="31" w:type="dxa"/>
            <w:tcBorders/>
            <w:shd w:fill="CCEEFF" w:val="clear"/>
            <w:vAlign w:val="bottom"/>
          </w:tcPr>
          <w:p>
            <w:pPr>
              <w:pStyle w:val="TableContents"/>
              <w:bidi w:val="0"/>
              <w:spacing w:before="0" w:after="283"/>
              <w:jc w:val="left"/>
              <w:rPr/>
            </w:pPr>
            <w:r>
              <w:rPr/>
            </w:r>
          </w:p>
        </w:tc>
        <w:tc>
          <w:tcPr>
            <w:tcW w:w="189" w:type="dxa"/>
            <w:tcBorders/>
            <w:shd w:fill="CCEEFF" w:val="clear"/>
            <w:vAlign w:val="bottom"/>
          </w:tcPr>
          <w:p>
            <w:pPr>
              <w:pStyle w:val="TableContents"/>
              <w:bidi w:val="0"/>
              <w:spacing w:before="0" w:after="283"/>
              <w:jc w:val="left"/>
              <w:rPr/>
            </w:pPr>
            <w:r>
              <w:rPr/>
            </w:r>
          </w:p>
        </w:tc>
        <w:tc>
          <w:tcPr>
            <w:tcW w:w="1329" w:type="dxa"/>
            <w:tcBorders/>
            <w:shd w:fill="CCEEFF" w:val="clear"/>
            <w:vAlign w:val="bottom"/>
          </w:tcPr>
          <w:p>
            <w:pPr>
              <w:pStyle w:val="TableContents"/>
              <w:bidi w:val="0"/>
              <w:spacing w:before="0" w:after="283"/>
              <w:jc w:val="left"/>
              <w:rPr/>
            </w:pPr>
            <w:r>
              <w:rPr/>
            </w:r>
          </w:p>
        </w:tc>
        <w:tc>
          <w:tcPr>
            <w:tcW w:w="119" w:type="dxa"/>
            <w:tcBorders/>
            <w:shd w:fill="CCEEFF" w:val="clear"/>
            <w:vAlign w:val="center"/>
          </w:tcPr>
          <w:p>
            <w:pPr>
              <w:pStyle w:val="TableContents"/>
              <w:bidi w:val="0"/>
              <w:spacing w:before="0" w:after="283"/>
              <w:jc w:val="left"/>
              <w:rPr/>
            </w:pPr>
            <w:r>
              <w:rPr/>
            </w:r>
          </w:p>
        </w:tc>
      </w:tr>
      <w:tr>
        <w:trPr/>
        <w:tc>
          <w:tcPr>
            <w:tcW w:w="3874"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Diluted loss per share </w:t>
            </w:r>
          </w:p>
        </w:tc>
        <w:tc>
          <w:tcPr>
            <w:tcW w:w="104" w:type="dxa"/>
            <w:tcBorders/>
            <w:vAlign w:val="bottom"/>
          </w:tcPr>
          <w:p>
            <w:pPr>
              <w:pStyle w:val="TableContents"/>
              <w:bidi w:val="0"/>
              <w:spacing w:before="0" w:after="0"/>
              <w:ind w:left="0" w:right="0" w:hanging="0"/>
              <w:jc w:val="left"/>
              <w:rPr/>
            </w:pPr>
            <w:r>
              <w:rPr/>
              <w:t xml:space="preserve">  </w:t>
            </w:r>
          </w:p>
        </w:tc>
        <w:tc>
          <w:tcPr>
            <w:tcW w:w="199" w:type="dxa"/>
            <w:tcBorders/>
            <w:vAlign w:val="bottom"/>
          </w:tcPr>
          <w:p>
            <w:pPr>
              <w:pStyle w:val="TableContents"/>
              <w:bidi w:val="0"/>
              <w:spacing w:before="0" w:after="0"/>
              <w:ind w:left="0" w:right="0" w:hanging="0"/>
              <w:jc w:val="left"/>
              <w:rPr/>
            </w:pPr>
            <w:r>
              <w:rPr/>
            </w:r>
          </w:p>
        </w:tc>
        <w:tc>
          <w:tcPr>
            <w:tcW w:w="1077" w:type="dxa"/>
            <w:tcBorders/>
            <w:vAlign w:val="bottom"/>
          </w:tcPr>
          <w:p>
            <w:pPr>
              <w:pStyle w:val="TableContents"/>
              <w:bidi w:val="0"/>
              <w:spacing w:before="0" w:after="0"/>
              <w:ind w:left="0" w:right="0" w:hanging="0"/>
              <w:jc w:val="left"/>
              <w:rPr/>
            </w:pPr>
            <w:r>
              <w:rPr/>
            </w:r>
          </w:p>
        </w:tc>
        <w:tc>
          <w:tcPr>
            <w:tcW w:w="139"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0"/>
              <w:ind w:left="0" w:right="0" w:hanging="0"/>
              <w:jc w:val="left"/>
              <w:rPr/>
            </w:pPr>
            <w:r>
              <w:rPr/>
              <w:t xml:space="preserve">  </w:t>
            </w:r>
          </w:p>
        </w:tc>
        <w:tc>
          <w:tcPr>
            <w:tcW w:w="199" w:type="dxa"/>
            <w:tcBorders/>
            <w:vAlign w:val="bottom"/>
          </w:tcPr>
          <w:p>
            <w:pPr>
              <w:pStyle w:val="TableContents"/>
              <w:bidi w:val="0"/>
              <w:spacing w:before="0" w:after="0"/>
              <w:ind w:left="0" w:right="0" w:hanging="0"/>
              <w:jc w:val="left"/>
              <w:rPr/>
            </w:pPr>
            <w:r>
              <w:rPr/>
            </w:r>
          </w:p>
        </w:tc>
        <w:tc>
          <w:tcPr>
            <w:tcW w:w="1034" w:type="dxa"/>
            <w:tcBorders/>
            <w:vAlign w:val="bottom"/>
          </w:tcPr>
          <w:p>
            <w:pPr>
              <w:pStyle w:val="TableContents"/>
              <w:bidi w:val="0"/>
              <w:spacing w:before="0" w:after="0"/>
              <w:ind w:left="0" w:right="0" w:hanging="0"/>
              <w:jc w:val="left"/>
              <w:rPr/>
            </w:pPr>
            <w:r>
              <w:rPr/>
            </w:r>
          </w:p>
        </w:tc>
        <w:tc>
          <w:tcPr>
            <w:tcW w:w="113" w:type="dxa"/>
            <w:tcBorders/>
            <w:vAlign w:val="bottom"/>
          </w:tcPr>
          <w:p>
            <w:pPr>
              <w:pStyle w:val="TableContents"/>
              <w:bidi w:val="0"/>
              <w:spacing w:before="0" w:after="283"/>
              <w:jc w:val="left"/>
              <w:rPr>
                <w:sz w:val="4"/>
                <w:szCs w:val="4"/>
              </w:rPr>
            </w:pPr>
            <w:r>
              <w:rPr>
                <w:sz w:val="4"/>
                <w:szCs w:val="4"/>
              </w:rPr>
            </w:r>
          </w:p>
        </w:tc>
        <w:tc>
          <w:tcPr>
            <w:tcW w:w="22" w:type="dxa"/>
            <w:tcBorders/>
            <w:vAlign w:val="bottom"/>
          </w:tcPr>
          <w:p>
            <w:pPr>
              <w:pStyle w:val="TableContents"/>
              <w:bidi w:val="0"/>
              <w:spacing w:before="0" w:after="283"/>
              <w:jc w:val="left"/>
              <w:rPr/>
            </w:pPr>
            <w:r>
              <w:rPr/>
            </w:r>
          </w:p>
        </w:tc>
        <w:tc>
          <w:tcPr>
            <w:tcW w:w="189" w:type="dxa"/>
            <w:tcBorders/>
            <w:vAlign w:val="bottom"/>
          </w:tcPr>
          <w:p>
            <w:pPr>
              <w:pStyle w:val="TableContents"/>
              <w:bidi w:val="0"/>
              <w:spacing w:before="0" w:after="283"/>
              <w:jc w:val="left"/>
              <w:rPr/>
            </w:pPr>
            <w:r>
              <w:rPr/>
            </w:r>
          </w:p>
        </w:tc>
        <w:tc>
          <w:tcPr>
            <w:tcW w:w="1329" w:type="dxa"/>
            <w:tcBorders/>
            <w:vAlign w:val="bottom"/>
          </w:tcPr>
          <w:p>
            <w:pPr>
              <w:pStyle w:val="TableContents"/>
              <w:bidi w:val="0"/>
              <w:spacing w:before="0" w:after="283"/>
              <w:jc w:val="left"/>
              <w:rPr/>
            </w:pPr>
            <w:r>
              <w:rPr/>
            </w:r>
          </w:p>
        </w:tc>
        <w:tc>
          <w:tcPr>
            <w:tcW w:w="128" w:type="dxa"/>
            <w:tcBorders/>
            <w:vAlign w:val="bottom"/>
          </w:tcPr>
          <w:p>
            <w:pPr>
              <w:pStyle w:val="TableContents"/>
              <w:bidi w:val="0"/>
              <w:spacing w:before="0" w:after="283"/>
              <w:jc w:val="left"/>
              <w:rPr>
                <w:sz w:val="4"/>
                <w:szCs w:val="4"/>
              </w:rPr>
            </w:pPr>
            <w:r>
              <w:rPr>
                <w:sz w:val="4"/>
                <w:szCs w:val="4"/>
              </w:rPr>
            </w:r>
          </w:p>
        </w:tc>
        <w:tc>
          <w:tcPr>
            <w:tcW w:w="31" w:type="dxa"/>
            <w:tcBorders/>
            <w:vAlign w:val="bottom"/>
          </w:tcPr>
          <w:p>
            <w:pPr>
              <w:pStyle w:val="TableContents"/>
              <w:bidi w:val="0"/>
              <w:spacing w:before="0" w:after="283"/>
              <w:jc w:val="left"/>
              <w:rPr/>
            </w:pPr>
            <w:r>
              <w:rPr/>
            </w:r>
          </w:p>
        </w:tc>
        <w:tc>
          <w:tcPr>
            <w:tcW w:w="189" w:type="dxa"/>
            <w:tcBorders/>
            <w:vAlign w:val="bottom"/>
          </w:tcPr>
          <w:p>
            <w:pPr>
              <w:pStyle w:val="TableContents"/>
              <w:bidi w:val="0"/>
              <w:spacing w:before="0" w:after="283"/>
              <w:jc w:val="left"/>
              <w:rPr/>
            </w:pPr>
            <w:r>
              <w:rPr/>
            </w:r>
          </w:p>
        </w:tc>
        <w:tc>
          <w:tcPr>
            <w:tcW w:w="1329" w:type="dxa"/>
            <w:tcBorders/>
            <w:vAlign w:val="bottom"/>
          </w:tcPr>
          <w:p>
            <w:pPr>
              <w:pStyle w:val="TableContents"/>
              <w:bidi w:val="0"/>
              <w:spacing w:before="0" w:after="283"/>
              <w:jc w:val="left"/>
              <w:rPr/>
            </w:pPr>
            <w:r>
              <w:rPr/>
            </w:r>
          </w:p>
        </w:tc>
        <w:tc>
          <w:tcPr>
            <w:tcW w:w="119" w:type="dxa"/>
            <w:tcBorders/>
            <w:vAlign w:val="center"/>
          </w:tcPr>
          <w:p>
            <w:pPr>
              <w:pStyle w:val="TableContents"/>
              <w:bidi w:val="0"/>
              <w:spacing w:before="0" w:after="283"/>
              <w:jc w:val="left"/>
              <w:rPr>
                <w:sz w:val="4"/>
                <w:szCs w:val="4"/>
              </w:rPr>
            </w:pPr>
            <w:r>
              <w:rPr>
                <w:sz w:val="4"/>
                <w:szCs w:val="4"/>
              </w:rPr>
            </w:r>
          </w:p>
        </w:tc>
      </w:tr>
      <w:tr>
        <w:trPr/>
        <w:tc>
          <w:tcPr>
            <w:tcW w:w="3874" w:type="dxa"/>
            <w:tcBorders/>
            <w:shd w:fill="CCEEFF" w:val="clear"/>
            <w:vAlign w:val="bottom"/>
          </w:tcPr>
          <w:p>
            <w:pPr>
              <w:pStyle w:val="TableContents"/>
              <w:widowControl/>
              <w:bidi w:val="0"/>
              <w:spacing w:before="0" w:after="283"/>
              <w:ind w:left="0" w:right="0" w:hanging="0"/>
              <w:jc w:val="left"/>
              <w:rPr>
                <w:caps w:val="false"/>
                <w:smallCaps w:val="false"/>
                <w:color w:val="000000"/>
                <w:spacing w:val="0"/>
              </w:rPr>
            </w:pPr>
            <w:r>
              <w:rPr>
                <w:caps w:val="false"/>
                <w:smallCaps w:val="false"/>
                <w:color w:val="000000"/>
                <w:spacing w:val="0"/>
              </w:rPr>
              <w:t>   </w:t>
            </w:r>
            <w:r>
              <w:rPr>
                <w:rFonts w:ascii="times new roman" w:hAnsi="times new roman"/>
                <w:b w:val="false"/>
                <w:i w:val="false"/>
                <w:caps w:val="false"/>
                <w:smallCaps w:val="false"/>
                <w:color w:val="000000"/>
                <w:spacing w:val="0"/>
                <w:sz w:val="20"/>
              </w:rPr>
              <w:t>From continuing operations</w:t>
            </w:r>
          </w:p>
        </w:tc>
        <w:tc>
          <w:tcPr>
            <w:tcW w:w="104" w:type="dxa"/>
            <w:tcBorders/>
            <w:shd w:fill="CCEEFF" w:val="clear"/>
            <w:vAlign w:val="bottom"/>
          </w:tcPr>
          <w:p>
            <w:pPr>
              <w:pStyle w:val="TableContents"/>
              <w:bidi w:val="0"/>
              <w:spacing w:before="0" w:after="283"/>
              <w:jc w:val="left"/>
              <w:rPr/>
            </w:pPr>
            <w:r>
              <w:rPr/>
            </w:r>
          </w:p>
        </w:tc>
        <w:tc>
          <w:tcPr>
            <w:tcW w:w="199" w:type="dxa"/>
            <w:tcBorders/>
            <w:shd w:fill="CCEEFF" w:val="clear"/>
            <w:vAlign w:val="bottom"/>
          </w:tcPr>
          <w:p>
            <w:pPr>
              <w:pStyle w:val="TableContents"/>
              <w:bidi w:val="0"/>
              <w:spacing w:before="0" w:after="283"/>
              <w:jc w:val="left"/>
              <w:rPr/>
            </w:pPr>
            <w:r>
              <w:rPr/>
              <w:t>$</w:t>
            </w:r>
          </w:p>
        </w:tc>
        <w:tc>
          <w:tcPr>
            <w:tcW w:w="1077" w:type="dxa"/>
            <w:tcBorders/>
            <w:shd w:fill="CCEEFF" w:val="clear"/>
            <w:vAlign w:val="bottom"/>
          </w:tcPr>
          <w:p>
            <w:pPr>
              <w:pStyle w:val="TableContents"/>
              <w:bidi w:val="0"/>
              <w:spacing w:before="0" w:after="283"/>
              <w:jc w:val="right"/>
              <w:rPr/>
            </w:pPr>
            <w:r>
              <w:rPr/>
              <w:t>(0.50</w:t>
            </w:r>
          </w:p>
        </w:tc>
        <w:tc>
          <w:tcPr>
            <w:tcW w:w="139" w:type="dxa"/>
            <w:tcBorders/>
            <w:shd w:fill="CCEEFF" w:val="clear"/>
            <w:vAlign w:val="bottom"/>
          </w:tcPr>
          <w:p>
            <w:pPr>
              <w:pStyle w:val="TableContents"/>
              <w:bidi w:val="0"/>
              <w:spacing w:before="0" w:after="283"/>
              <w:jc w:val="left"/>
              <w:rPr/>
            </w:pPr>
            <w:r>
              <w:rPr/>
              <w:t>)</w:t>
            </w:r>
          </w:p>
        </w:tc>
        <w:tc>
          <w:tcPr>
            <w:tcW w:w="130" w:type="dxa"/>
            <w:tcBorders/>
            <w:shd w:fill="CCEEFF" w:val="clear"/>
            <w:vAlign w:val="bottom"/>
          </w:tcPr>
          <w:p>
            <w:pPr>
              <w:pStyle w:val="TableContents"/>
              <w:bidi w:val="0"/>
              <w:spacing w:before="0" w:after="283"/>
              <w:jc w:val="left"/>
              <w:rPr/>
            </w:pPr>
            <w:r>
              <w:rPr/>
            </w:r>
          </w:p>
        </w:tc>
        <w:tc>
          <w:tcPr>
            <w:tcW w:w="199" w:type="dxa"/>
            <w:tcBorders/>
            <w:shd w:fill="CCEEFF" w:val="clear"/>
            <w:vAlign w:val="bottom"/>
          </w:tcPr>
          <w:p>
            <w:pPr>
              <w:pStyle w:val="TableContents"/>
              <w:bidi w:val="0"/>
              <w:spacing w:before="0" w:after="283"/>
              <w:jc w:val="left"/>
              <w:rPr/>
            </w:pPr>
            <w:r>
              <w:rPr/>
              <w:t>$</w:t>
            </w:r>
          </w:p>
        </w:tc>
        <w:tc>
          <w:tcPr>
            <w:tcW w:w="1034" w:type="dxa"/>
            <w:tcBorders/>
            <w:shd w:fill="CCEEFF" w:val="clear"/>
            <w:vAlign w:val="bottom"/>
          </w:tcPr>
          <w:p>
            <w:pPr>
              <w:pStyle w:val="TableContents"/>
              <w:bidi w:val="0"/>
              <w:spacing w:before="0" w:after="283"/>
              <w:jc w:val="right"/>
              <w:rPr/>
            </w:pPr>
            <w:r>
              <w:rPr/>
              <w:t>(0.45</w:t>
            </w:r>
          </w:p>
        </w:tc>
        <w:tc>
          <w:tcPr>
            <w:tcW w:w="113" w:type="dxa"/>
            <w:tcBorders/>
            <w:shd w:fill="CCEEFF" w:val="clear"/>
            <w:vAlign w:val="bottom"/>
          </w:tcPr>
          <w:p>
            <w:pPr>
              <w:pStyle w:val="TableContents"/>
              <w:bidi w:val="0"/>
              <w:spacing w:before="0" w:after="283"/>
              <w:jc w:val="left"/>
              <w:rPr/>
            </w:pPr>
            <w:r>
              <w:rPr/>
              <w:t>)</w:t>
            </w:r>
          </w:p>
        </w:tc>
        <w:tc>
          <w:tcPr>
            <w:tcW w:w="22" w:type="dxa"/>
            <w:tcBorders/>
            <w:shd w:fill="CCEEFF" w:val="clear"/>
            <w:vAlign w:val="bottom"/>
          </w:tcPr>
          <w:p>
            <w:pPr>
              <w:pStyle w:val="TableContents"/>
              <w:bidi w:val="0"/>
              <w:spacing w:before="0" w:after="283"/>
              <w:jc w:val="left"/>
              <w:rPr/>
            </w:pPr>
            <w:r>
              <w:rPr/>
            </w:r>
          </w:p>
        </w:tc>
        <w:tc>
          <w:tcPr>
            <w:tcW w:w="189" w:type="dxa"/>
            <w:tcBorders/>
            <w:shd w:fill="CCEEFF" w:val="clear"/>
            <w:vAlign w:val="bottom"/>
          </w:tcPr>
          <w:p>
            <w:pPr>
              <w:pStyle w:val="TableContents"/>
              <w:bidi w:val="0"/>
              <w:spacing w:before="0" w:after="283"/>
              <w:jc w:val="left"/>
              <w:rPr/>
            </w:pPr>
            <w:r>
              <w:rPr/>
              <w:t>$</w:t>
            </w:r>
          </w:p>
        </w:tc>
        <w:tc>
          <w:tcPr>
            <w:tcW w:w="1329" w:type="dxa"/>
            <w:tcBorders/>
            <w:shd w:fill="CCEEFF" w:val="clear"/>
            <w:vAlign w:val="bottom"/>
          </w:tcPr>
          <w:p>
            <w:pPr>
              <w:pStyle w:val="TableContents"/>
              <w:bidi w:val="0"/>
              <w:spacing w:before="0" w:after="283"/>
              <w:jc w:val="right"/>
              <w:rPr/>
            </w:pPr>
            <w:r>
              <w:rPr/>
              <w:t>(1.92</w:t>
            </w:r>
          </w:p>
        </w:tc>
        <w:tc>
          <w:tcPr>
            <w:tcW w:w="128" w:type="dxa"/>
            <w:tcBorders/>
            <w:shd w:fill="CCEEFF" w:val="clear"/>
            <w:vAlign w:val="bottom"/>
          </w:tcPr>
          <w:p>
            <w:pPr>
              <w:pStyle w:val="TableContents"/>
              <w:bidi w:val="0"/>
              <w:spacing w:before="0" w:after="283"/>
              <w:jc w:val="left"/>
              <w:rPr/>
            </w:pPr>
            <w:r>
              <w:rPr/>
              <w:t>)</w:t>
            </w:r>
          </w:p>
        </w:tc>
        <w:tc>
          <w:tcPr>
            <w:tcW w:w="31" w:type="dxa"/>
            <w:tcBorders/>
            <w:shd w:fill="CCEEFF" w:val="clear"/>
            <w:vAlign w:val="bottom"/>
          </w:tcPr>
          <w:p>
            <w:pPr>
              <w:pStyle w:val="TableContents"/>
              <w:bidi w:val="0"/>
              <w:spacing w:before="0" w:after="283"/>
              <w:jc w:val="left"/>
              <w:rPr/>
            </w:pPr>
            <w:r>
              <w:rPr/>
            </w:r>
          </w:p>
        </w:tc>
        <w:tc>
          <w:tcPr>
            <w:tcW w:w="189" w:type="dxa"/>
            <w:tcBorders/>
            <w:shd w:fill="CCEEFF" w:val="clear"/>
            <w:vAlign w:val="bottom"/>
          </w:tcPr>
          <w:p>
            <w:pPr>
              <w:pStyle w:val="TableContents"/>
              <w:bidi w:val="0"/>
              <w:spacing w:before="0" w:after="283"/>
              <w:jc w:val="left"/>
              <w:rPr/>
            </w:pPr>
            <w:r>
              <w:rPr/>
              <w:t>$</w:t>
            </w:r>
          </w:p>
        </w:tc>
        <w:tc>
          <w:tcPr>
            <w:tcW w:w="1329" w:type="dxa"/>
            <w:tcBorders/>
            <w:shd w:fill="CCEEFF" w:val="clear"/>
            <w:vAlign w:val="bottom"/>
          </w:tcPr>
          <w:p>
            <w:pPr>
              <w:pStyle w:val="TableContents"/>
              <w:bidi w:val="0"/>
              <w:spacing w:before="0" w:after="283"/>
              <w:jc w:val="right"/>
              <w:rPr/>
            </w:pPr>
            <w:r>
              <w:rPr/>
              <w:t>(1.30</w:t>
            </w:r>
          </w:p>
        </w:tc>
        <w:tc>
          <w:tcPr>
            <w:tcW w:w="119" w:type="dxa"/>
            <w:tcBorders/>
            <w:shd w:fill="CCEEFF" w:val="clear"/>
            <w:vAlign w:val="center"/>
          </w:tcPr>
          <w:p>
            <w:pPr>
              <w:pStyle w:val="TableContents"/>
              <w:bidi w:val="0"/>
              <w:spacing w:before="0" w:after="283"/>
              <w:jc w:val="left"/>
              <w:rPr/>
            </w:pPr>
            <w:r>
              <w:rPr/>
              <w:t>)</w:t>
            </w:r>
          </w:p>
        </w:tc>
      </w:tr>
      <w:tr>
        <w:trPr/>
        <w:tc>
          <w:tcPr>
            <w:tcW w:w="3874" w:type="dxa"/>
            <w:tcBorders/>
            <w:vAlign w:val="bottom"/>
          </w:tcPr>
          <w:p>
            <w:pPr>
              <w:pStyle w:val="TableContents"/>
              <w:widowControl/>
              <w:bidi w:val="0"/>
              <w:spacing w:before="0" w:after="283"/>
              <w:ind w:left="0" w:right="0" w:hanging="0"/>
              <w:jc w:val="left"/>
              <w:rPr>
                <w:caps w:val="false"/>
                <w:smallCaps w:val="false"/>
                <w:color w:val="000000"/>
                <w:spacing w:val="0"/>
              </w:rPr>
            </w:pPr>
            <w:r>
              <w:rPr>
                <w:caps w:val="false"/>
                <w:smallCaps w:val="false"/>
                <w:color w:val="000000"/>
                <w:spacing w:val="0"/>
              </w:rPr>
              <w:t>   </w:t>
            </w:r>
            <w:r>
              <w:rPr>
                <w:rFonts w:ascii="times new roman" w:hAnsi="times new roman"/>
                <w:b w:val="false"/>
                <w:i w:val="false"/>
                <w:caps w:val="false"/>
                <w:smallCaps w:val="false"/>
                <w:color w:val="000000"/>
                <w:spacing w:val="0"/>
                <w:sz w:val="20"/>
              </w:rPr>
              <w:t>From discontinued operations</w:t>
            </w:r>
          </w:p>
        </w:tc>
        <w:tc>
          <w:tcPr>
            <w:tcW w:w="104" w:type="dxa"/>
            <w:tcBorders/>
            <w:vAlign w:val="bottom"/>
          </w:tcPr>
          <w:p>
            <w:pPr>
              <w:pStyle w:val="TableContents"/>
              <w:bidi w:val="0"/>
              <w:spacing w:before="0" w:after="283"/>
              <w:jc w:val="left"/>
              <w:rPr/>
            </w:pPr>
            <w:r>
              <w:rPr/>
            </w:r>
          </w:p>
        </w:tc>
        <w:tc>
          <w:tcPr>
            <w:tcW w:w="199" w:type="dxa"/>
            <w:tcBorders/>
            <w:vAlign w:val="bottom"/>
          </w:tcPr>
          <w:p>
            <w:pPr>
              <w:pStyle w:val="TableContents"/>
              <w:bidi w:val="0"/>
              <w:spacing w:before="0" w:after="283"/>
              <w:jc w:val="left"/>
              <w:rPr/>
            </w:pPr>
            <w:r>
              <w:rPr/>
            </w:r>
          </w:p>
        </w:tc>
        <w:tc>
          <w:tcPr>
            <w:tcW w:w="1077" w:type="dxa"/>
            <w:tcBorders/>
            <w:vAlign w:val="bottom"/>
          </w:tcPr>
          <w:p>
            <w:pPr>
              <w:pStyle w:val="TableContents"/>
              <w:bidi w:val="0"/>
              <w:spacing w:before="0" w:after="283"/>
              <w:jc w:val="right"/>
              <w:rPr/>
            </w:pPr>
            <w:r>
              <w:rPr/>
              <w:t>(7.42</w:t>
            </w:r>
          </w:p>
        </w:tc>
        <w:tc>
          <w:tcPr>
            <w:tcW w:w="139" w:type="dxa"/>
            <w:tcBorders/>
            <w:vAlign w:val="bottom"/>
          </w:tcPr>
          <w:p>
            <w:pPr>
              <w:pStyle w:val="TableContents"/>
              <w:bidi w:val="0"/>
              <w:spacing w:before="0" w:after="283"/>
              <w:jc w:val="left"/>
              <w:rPr/>
            </w:pPr>
            <w:r>
              <w:rPr/>
              <w:t>)</w:t>
            </w:r>
          </w:p>
        </w:tc>
        <w:tc>
          <w:tcPr>
            <w:tcW w:w="130" w:type="dxa"/>
            <w:tcBorders/>
            <w:vAlign w:val="bottom"/>
          </w:tcPr>
          <w:p>
            <w:pPr>
              <w:pStyle w:val="TableContents"/>
              <w:bidi w:val="0"/>
              <w:spacing w:before="0" w:after="283"/>
              <w:jc w:val="left"/>
              <w:rPr/>
            </w:pPr>
            <w:r>
              <w:rPr/>
            </w:r>
          </w:p>
        </w:tc>
        <w:tc>
          <w:tcPr>
            <w:tcW w:w="199" w:type="dxa"/>
            <w:tcBorders/>
            <w:vAlign w:val="bottom"/>
          </w:tcPr>
          <w:p>
            <w:pPr>
              <w:pStyle w:val="TableContents"/>
              <w:bidi w:val="0"/>
              <w:spacing w:before="0" w:after="283"/>
              <w:jc w:val="left"/>
              <w:rPr/>
            </w:pPr>
            <w:r>
              <w:rPr/>
            </w:r>
          </w:p>
        </w:tc>
        <w:tc>
          <w:tcPr>
            <w:tcW w:w="1034" w:type="dxa"/>
            <w:tcBorders/>
            <w:vAlign w:val="bottom"/>
          </w:tcPr>
          <w:p>
            <w:pPr>
              <w:pStyle w:val="TableContents"/>
              <w:bidi w:val="0"/>
              <w:spacing w:before="0" w:after="283"/>
              <w:jc w:val="right"/>
              <w:rPr/>
            </w:pPr>
            <w:r>
              <w:rPr/>
              <w:t>(0.84</w:t>
            </w:r>
          </w:p>
        </w:tc>
        <w:tc>
          <w:tcPr>
            <w:tcW w:w="113" w:type="dxa"/>
            <w:tcBorders/>
            <w:vAlign w:val="bottom"/>
          </w:tcPr>
          <w:p>
            <w:pPr>
              <w:pStyle w:val="TableContents"/>
              <w:bidi w:val="0"/>
              <w:spacing w:before="0" w:after="283"/>
              <w:jc w:val="left"/>
              <w:rPr/>
            </w:pPr>
            <w:r>
              <w:rPr/>
              <w:t>)</w:t>
            </w:r>
          </w:p>
        </w:tc>
        <w:tc>
          <w:tcPr>
            <w:tcW w:w="22" w:type="dxa"/>
            <w:tcBorders/>
            <w:vAlign w:val="bottom"/>
          </w:tcPr>
          <w:p>
            <w:pPr>
              <w:pStyle w:val="TableContents"/>
              <w:bidi w:val="0"/>
              <w:spacing w:before="0" w:after="283"/>
              <w:jc w:val="left"/>
              <w:rPr/>
            </w:pPr>
            <w:r>
              <w:rPr/>
            </w:r>
          </w:p>
        </w:tc>
        <w:tc>
          <w:tcPr>
            <w:tcW w:w="189" w:type="dxa"/>
            <w:tcBorders/>
            <w:vAlign w:val="bottom"/>
          </w:tcPr>
          <w:p>
            <w:pPr>
              <w:pStyle w:val="TableContents"/>
              <w:bidi w:val="0"/>
              <w:spacing w:before="0" w:after="283"/>
              <w:jc w:val="left"/>
              <w:rPr/>
            </w:pPr>
            <w:r>
              <w:rPr/>
            </w:r>
          </w:p>
        </w:tc>
        <w:tc>
          <w:tcPr>
            <w:tcW w:w="1329" w:type="dxa"/>
            <w:tcBorders/>
            <w:vAlign w:val="bottom"/>
          </w:tcPr>
          <w:p>
            <w:pPr>
              <w:pStyle w:val="TableContents"/>
              <w:bidi w:val="0"/>
              <w:spacing w:before="0" w:after="283"/>
              <w:jc w:val="right"/>
              <w:rPr/>
            </w:pPr>
            <w:r>
              <w:rPr/>
              <w:t>(10.47</w:t>
            </w:r>
          </w:p>
        </w:tc>
        <w:tc>
          <w:tcPr>
            <w:tcW w:w="128" w:type="dxa"/>
            <w:tcBorders/>
            <w:vAlign w:val="bottom"/>
          </w:tcPr>
          <w:p>
            <w:pPr>
              <w:pStyle w:val="TableContents"/>
              <w:bidi w:val="0"/>
              <w:spacing w:before="0" w:after="283"/>
              <w:jc w:val="left"/>
              <w:rPr/>
            </w:pPr>
            <w:r>
              <w:rPr/>
              <w:t>)</w:t>
            </w:r>
          </w:p>
        </w:tc>
        <w:tc>
          <w:tcPr>
            <w:tcW w:w="31" w:type="dxa"/>
            <w:tcBorders/>
            <w:vAlign w:val="bottom"/>
          </w:tcPr>
          <w:p>
            <w:pPr>
              <w:pStyle w:val="TableContents"/>
              <w:bidi w:val="0"/>
              <w:spacing w:before="0" w:after="283"/>
              <w:jc w:val="left"/>
              <w:rPr/>
            </w:pPr>
            <w:r>
              <w:rPr/>
            </w:r>
          </w:p>
        </w:tc>
        <w:tc>
          <w:tcPr>
            <w:tcW w:w="189" w:type="dxa"/>
            <w:tcBorders/>
            <w:vAlign w:val="bottom"/>
          </w:tcPr>
          <w:p>
            <w:pPr>
              <w:pStyle w:val="TableContents"/>
              <w:bidi w:val="0"/>
              <w:spacing w:before="0" w:after="283"/>
              <w:jc w:val="left"/>
              <w:rPr/>
            </w:pPr>
            <w:r>
              <w:rPr/>
            </w:r>
          </w:p>
        </w:tc>
        <w:tc>
          <w:tcPr>
            <w:tcW w:w="1329" w:type="dxa"/>
            <w:tcBorders/>
            <w:vAlign w:val="bottom"/>
          </w:tcPr>
          <w:p>
            <w:pPr>
              <w:pStyle w:val="TableContents"/>
              <w:bidi w:val="0"/>
              <w:spacing w:before="0" w:after="283"/>
              <w:jc w:val="right"/>
              <w:rPr/>
            </w:pPr>
            <w:r>
              <w:rPr/>
              <w:t>(2.94</w:t>
            </w:r>
          </w:p>
        </w:tc>
        <w:tc>
          <w:tcPr>
            <w:tcW w:w="119" w:type="dxa"/>
            <w:tcBorders/>
            <w:vAlign w:val="center"/>
          </w:tcPr>
          <w:p>
            <w:pPr>
              <w:pStyle w:val="TableContents"/>
              <w:bidi w:val="0"/>
              <w:spacing w:before="0" w:after="283"/>
              <w:jc w:val="left"/>
              <w:rPr/>
            </w:pPr>
            <w:r>
              <w:rPr/>
              <w:t>)</w:t>
            </w:r>
          </w:p>
        </w:tc>
      </w:tr>
      <w:tr>
        <w:trPr/>
        <w:tc>
          <w:tcPr>
            <w:tcW w:w="3874" w:type="dxa"/>
            <w:tcBorders/>
            <w:shd w:fill="CCEEFF" w:val="clear"/>
            <w:vAlign w:val="bottom"/>
          </w:tcPr>
          <w:p>
            <w:pPr>
              <w:pStyle w:val="TableContents"/>
              <w:bidi w:val="0"/>
              <w:spacing w:before="0" w:after="0"/>
              <w:ind w:left="0" w:right="0" w:hanging="0"/>
              <w:jc w:val="left"/>
              <w:rPr/>
            </w:pPr>
            <w:r>
              <w:rPr/>
              <w:t>Total</w:t>
            </w:r>
          </w:p>
        </w:tc>
        <w:tc>
          <w:tcPr>
            <w:tcW w:w="104" w:type="dxa"/>
            <w:tcBorders/>
            <w:shd w:fill="CCEEFF" w:val="clear"/>
            <w:vAlign w:val="bottom"/>
          </w:tcPr>
          <w:p>
            <w:pPr>
              <w:pStyle w:val="TableContents"/>
              <w:bidi w:val="0"/>
              <w:spacing w:before="0" w:after="0"/>
              <w:ind w:left="0" w:right="0" w:hanging="0"/>
              <w:jc w:val="left"/>
              <w:rPr/>
            </w:pPr>
            <w:r>
              <w:rPr/>
              <w:t xml:space="preserve">  </w:t>
            </w:r>
          </w:p>
        </w:tc>
        <w:tc>
          <w:tcPr>
            <w:tcW w:w="199" w:type="dxa"/>
            <w:tcBorders/>
            <w:shd w:fill="CCEEFF" w:val="clear"/>
            <w:vAlign w:val="bottom"/>
          </w:tcPr>
          <w:p>
            <w:pPr>
              <w:pStyle w:val="TableContents"/>
              <w:bidi w:val="0"/>
              <w:spacing w:before="0" w:after="0"/>
              <w:ind w:left="0" w:right="0" w:hanging="0"/>
              <w:jc w:val="left"/>
              <w:rPr/>
            </w:pPr>
            <w:r>
              <w:rPr/>
              <w:t xml:space="preserve">  </w:t>
            </w:r>
          </w:p>
        </w:tc>
        <w:tc>
          <w:tcPr>
            <w:tcW w:w="1077" w:type="dxa"/>
            <w:tcBorders/>
            <w:shd w:fill="CCEEFF" w:val="clear"/>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(7.92</w:t>
            </w:r>
          </w:p>
        </w:tc>
        <w:tc>
          <w:tcPr>
            <w:tcW w:w="139" w:type="dxa"/>
            <w:tcBorders/>
            <w:shd w:fill="CCEEFF" w:val="clear"/>
            <w:vAlign w:val="bottom"/>
          </w:tcPr>
          <w:p>
            <w:pPr>
              <w:pStyle w:val="TableContents"/>
              <w:bidi w:val="0"/>
              <w:spacing w:before="0" w:after="283"/>
              <w:jc w:val="left"/>
              <w:rPr/>
            </w:pPr>
            <w:r>
              <w:rPr/>
              <w:t>)</w:t>
            </w:r>
          </w:p>
        </w:tc>
        <w:tc>
          <w:tcPr>
            <w:tcW w:w="130" w:type="dxa"/>
            <w:tcBorders/>
            <w:shd w:fill="CCEEFF" w:val="clear"/>
            <w:vAlign w:val="bottom"/>
          </w:tcPr>
          <w:p>
            <w:pPr>
              <w:pStyle w:val="TableContents"/>
              <w:bidi w:val="0"/>
              <w:spacing w:before="0" w:after="0"/>
              <w:ind w:left="0" w:right="0" w:hanging="0"/>
              <w:jc w:val="left"/>
              <w:rPr/>
            </w:pPr>
            <w:r>
              <w:rPr/>
              <w:t xml:space="preserve">  </w:t>
            </w:r>
          </w:p>
        </w:tc>
        <w:tc>
          <w:tcPr>
            <w:tcW w:w="199" w:type="dxa"/>
            <w:tcBorders/>
            <w:shd w:fill="CCEEFF" w:val="clear"/>
            <w:vAlign w:val="bottom"/>
          </w:tcPr>
          <w:p>
            <w:pPr>
              <w:pStyle w:val="TableContents"/>
              <w:bidi w:val="0"/>
              <w:spacing w:before="0" w:after="0"/>
              <w:ind w:left="0" w:right="0" w:hanging="0"/>
              <w:jc w:val="left"/>
              <w:rPr/>
            </w:pPr>
            <w:r>
              <w:rPr/>
              <w:t xml:space="preserve">  </w:t>
            </w:r>
          </w:p>
        </w:tc>
        <w:tc>
          <w:tcPr>
            <w:tcW w:w="1034" w:type="dxa"/>
            <w:tcBorders/>
            <w:shd w:fill="CCEEFF" w:val="clear"/>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(1.29</w:t>
            </w:r>
          </w:p>
        </w:tc>
        <w:tc>
          <w:tcPr>
            <w:tcW w:w="113" w:type="dxa"/>
            <w:tcBorders/>
            <w:shd w:fill="CCEEFF" w:val="clear"/>
            <w:vAlign w:val="bottom"/>
          </w:tcPr>
          <w:p>
            <w:pPr>
              <w:pStyle w:val="TableContents"/>
              <w:bidi w:val="0"/>
              <w:spacing w:before="0" w:after="283"/>
              <w:jc w:val="left"/>
              <w:rPr/>
            </w:pPr>
            <w:r>
              <w:rPr/>
              <w:t>)</w:t>
            </w:r>
          </w:p>
        </w:tc>
        <w:tc>
          <w:tcPr>
            <w:tcW w:w="22" w:type="dxa"/>
            <w:tcBorders/>
            <w:shd w:fill="CCEEFF" w:val="clear"/>
            <w:vAlign w:val="bottom"/>
          </w:tcPr>
          <w:p>
            <w:pPr>
              <w:pStyle w:val="TableContents"/>
              <w:bidi w:val="0"/>
              <w:spacing w:before="0" w:after="283"/>
              <w:jc w:val="left"/>
              <w:rPr/>
            </w:pPr>
            <w:r>
              <w:rPr/>
            </w:r>
          </w:p>
        </w:tc>
        <w:tc>
          <w:tcPr>
            <w:tcW w:w="189" w:type="dxa"/>
            <w:tcBorders/>
            <w:shd w:fill="CCEEFF" w:val="clear"/>
            <w:vAlign w:val="bottom"/>
          </w:tcPr>
          <w:p>
            <w:pPr>
              <w:pStyle w:val="TableContents"/>
              <w:bidi w:val="0"/>
              <w:spacing w:before="0" w:after="283"/>
              <w:jc w:val="left"/>
              <w:rPr/>
            </w:pPr>
            <w:r>
              <w:rPr/>
            </w:r>
          </w:p>
        </w:tc>
        <w:tc>
          <w:tcPr>
            <w:tcW w:w="1329" w:type="dxa"/>
            <w:tcBorders/>
            <w:shd w:fill="CCEEFF" w:val="clear"/>
            <w:vAlign w:val="bottom"/>
          </w:tcPr>
          <w:p>
            <w:pPr>
              <w:pStyle w:val="TableContents"/>
              <w:bidi w:val="0"/>
              <w:spacing w:before="0" w:after="283"/>
              <w:jc w:val="right"/>
              <w:rPr/>
            </w:pPr>
            <w:r>
              <w:rPr/>
              <w:t>(12.39</w:t>
            </w:r>
          </w:p>
        </w:tc>
        <w:tc>
          <w:tcPr>
            <w:tcW w:w="128" w:type="dxa"/>
            <w:tcBorders/>
            <w:shd w:fill="CCEEFF" w:val="clear"/>
            <w:vAlign w:val="bottom"/>
          </w:tcPr>
          <w:p>
            <w:pPr>
              <w:pStyle w:val="TableContents"/>
              <w:bidi w:val="0"/>
              <w:spacing w:before="0" w:after="283"/>
              <w:jc w:val="left"/>
              <w:rPr/>
            </w:pPr>
            <w:r>
              <w:rPr/>
              <w:t>)</w:t>
            </w:r>
          </w:p>
        </w:tc>
        <w:tc>
          <w:tcPr>
            <w:tcW w:w="31" w:type="dxa"/>
            <w:tcBorders/>
            <w:shd w:fill="CCEEFF" w:val="clear"/>
            <w:vAlign w:val="bottom"/>
          </w:tcPr>
          <w:p>
            <w:pPr>
              <w:pStyle w:val="TableContents"/>
              <w:bidi w:val="0"/>
              <w:spacing w:before="0" w:after="283"/>
              <w:jc w:val="left"/>
              <w:rPr/>
            </w:pPr>
            <w:r>
              <w:rPr/>
            </w:r>
          </w:p>
        </w:tc>
        <w:tc>
          <w:tcPr>
            <w:tcW w:w="189" w:type="dxa"/>
            <w:tcBorders/>
            <w:shd w:fill="CCEEFF" w:val="clear"/>
            <w:vAlign w:val="bottom"/>
          </w:tcPr>
          <w:p>
            <w:pPr>
              <w:pStyle w:val="TableContents"/>
              <w:bidi w:val="0"/>
              <w:spacing w:before="0" w:after="283"/>
              <w:jc w:val="left"/>
              <w:rPr/>
            </w:pPr>
            <w:r>
              <w:rPr/>
            </w:r>
          </w:p>
        </w:tc>
        <w:tc>
          <w:tcPr>
            <w:tcW w:w="1329" w:type="dxa"/>
            <w:tcBorders/>
            <w:shd w:fill="CCEEFF" w:val="clear"/>
            <w:vAlign w:val="bottom"/>
          </w:tcPr>
          <w:p>
            <w:pPr>
              <w:pStyle w:val="TableContents"/>
              <w:bidi w:val="0"/>
              <w:spacing w:before="0" w:after="283"/>
              <w:jc w:val="right"/>
              <w:rPr/>
            </w:pPr>
            <w:r>
              <w:rPr/>
              <w:t>(4.24</w:t>
            </w:r>
          </w:p>
        </w:tc>
        <w:tc>
          <w:tcPr>
            <w:tcW w:w="119" w:type="dxa"/>
            <w:tcBorders/>
            <w:shd w:fill="CCEEFF" w:val="clear"/>
            <w:vAlign w:val="center"/>
          </w:tcPr>
          <w:p>
            <w:pPr>
              <w:pStyle w:val="TableContents"/>
              <w:bidi w:val="0"/>
              <w:spacing w:before="0" w:after="283"/>
              <w:jc w:val="left"/>
              <w:rPr/>
            </w:pPr>
            <w:r>
              <w:rPr/>
              <w:t>)</w:t>
            </w:r>
          </w:p>
        </w:tc>
      </w:tr>
      <w:tr>
        <w:trPr/>
        <w:tc>
          <w:tcPr>
            <w:tcW w:w="3874" w:type="dxa"/>
            <w:tcBorders/>
            <w:vAlign w:val="bottom"/>
          </w:tcPr>
          <w:p>
            <w:pPr>
              <w:pStyle w:val="TableContents"/>
              <w:bidi w:val="0"/>
              <w:spacing w:before="0" w:after="283"/>
              <w:jc w:val="left"/>
              <w:rPr/>
            </w:pPr>
            <w:r>
              <w:rPr/>
            </w:r>
          </w:p>
        </w:tc>
        <w:tc>
          <w:tcPr>
            <w:tcW w:w="104" w:type="dxa"/>
            <w:tcBorders/>
            <w:vAlign w:val="bottom"/>
          </w:tcPr>
          <w:p>
            <w:pPr>
              <w:pStyle w:val="TableContents"/>
              <w:bidi w:val="0"/>
              <w:spacing w:before="0" w:after="283"/>
              <w:jc w:val="left"/>
              <w:rPr/>
            </w:pPr>
            <w:r>
              <w:rPr/>
            </w:r>
          </w:p>
        </w:tc>
        <w:tc>
          <w:tcPr>
            <w:tcW w:w="199" w:type="dxa"/>
            <w:tcBorders/>
            <w:vAlign w:val="bottom"/>
          </w:tcPr>
          <w:p>
            <w:pPr>
              <w:pStyle w:val="TableContents"/>
              <w:bidi w:val="0"/>
              <w:spacing w:before="0" w:after="283"/>
              <w:jc w:val="left"/>
              <w:rPr/>
            </w:pPr>
            <w:r>
              <w:rPr/>
            </w:r>
          </w:p>
        </w:tc>
        <w:tc>
          <w:tcPr>
            <w:tcW w:w="1077" w:type="dxa"/>
            <w:tcBorders/>
            <w:vAlign w:val="bottom"/>
          </w:tcPr>
          <w:p>
            <w:pPr>
              <w:pStyle w:val="TableContents"/>
              <w:bidi w:val="0"/>
              <w:spacing w:before="0" w:after="283"/>
              <w:jc w:val="left"/>
              <w:rPr/>
            </w:pPr>
            <w:r>
              <w:rPr/>
            </w:r>
          </w:p>
        </w:tc>
        <w:tc>
          <w:tcPr>
            <w:tcW w:w="139" w:type="dxa"/>
            <w:tcBorders/>
            <w:vAlign w:val="bottom"/>
          </w:tcPr>
          <w:p>
            <w:pPr>
              <w:pStyle w:val="TableContents"/>
              <w:bidi w:val="0"/>
              <w:spacing w:before="0" w:after="283"/>
              <w:jc w:val="left"/>
              <w:rPr/>
            </w:pPr>
            <w:r>
              <w:rPr/>
            </w:r>
          </w:p>
        </w:tc>
        <w:tc>
          <w:tcPr>
            <w:tcW w:w="130" w:type="dxa"/>
            <w:tcBorders/>
            <w:vAlign w:val="bottom"/>
          </w:tcPr>
          <w:p>
            <w:pPr>
              <w:pStyle w:val="TableContents"/>
              <w:bidi w:val="0"/>
              <w:spacing w:before="0" w:after="283"/>
              <w:jc w:val="left"/>
              <w:rPr/>
            </w:pPr>
            <w:r>
              <w:rPr/>
            </w:r>
          </w:p>
        </w:tc>
        <w:tc>
          <w:tcPr>
            <w:tcW w:w="199" w:type="dxa"/>
            <w:tcBorders/>
            <w:vAlign w:val="bottom"/>
          </w:tcPr>
          <w:p>
            <w:pPr>
              <w:pStyle w:val="TableContents"/>
              <w:bidi w:val="0"/>
              <w:spacing w:before="0" w:after="283"/>
              <w:jc w:val="left"/>
              <w:rPr/>
            </w:pPr>
            <w:r>
              <w:rPr/>
            </w:r>
          </w:p>
        </w:tc>
        <w:tc>
          <w:tcPr>
            <w:tcW w:w="1034" w:type="dxa"/>
            <w:tcBorders/>
            <w:vAlign w:val="bottom"/>
          </w:tcPr>
          <w:p>
            <w:pPr>
              <w:pStyle w:val="TableContents"/>
              <w:bidi w:val="0"/>
              <w:spacing w:before="0" w:after="283"/>
              <w:jc w:val="left"/>
              <w:rPr/>
            </w:pPr>
            <w:r>
              <w:rPr/>
            </w:r>
          </w:p>
        </w:tc>
        <w:tc>
          <w:tcPr>
            <w:tcW w:w="113" w:type="dxa"/>
            <w:tcBorders/>
            <w:vAlign w:val="bottom"/>
          </w:tcPr>
          <w:p>
            <w:pPr>
              <w:pStyle w:val="TableContents"/>
              <w:bidi w:val="0"/>
              <w:spacing w:before="0" w:after="283"/>
              <w:jc w:val="left"/>
              <w:rPr/>
            </w:pPr>
            <w:r>
              <w:rPr/>
            </w:r>
          </w:p>
        </w:tc>
        <w:tc>
          <w:tcPr>
            <w:tcW w:w="22" w:type="dxa"/>
            <w:tcBorders/>
            <w:vAlign w:val="bottom"/>
          </w:tcPr>
          <w:p>
            <w:pPr>
              <w:pStyle w:val="TableContents"/>
              <w:bidi w:val="0"/>
              <w:spacing w:before="0" w:after="283"/>
              <w:jc w:val="left"/>
              <w:rPr/>
            </w:pPr>
            <w:r>
              <w:rPr/>
            </w:r>
          </w:p>
        </w:tc>
        <w:tc>
          <w:tcPr>
            <w:tcW w:w="189" w:type="dxa"/>
            <w:tcBorders/>
            <w:vAlign w:val="bottom"/>
          </w:tcPr>
          <w:p>
            <w:pPr>
              <w:pStyle w:val="TableContents"/>
              <w:bidi w:val="0"/>
              <w:spacing w:before="0" w:after="283"/>
              <w:jc w:val="left"/>
              <w:rPr/>
            </w:pPr>
            <w:r>
              <w:rPr/>
            </w:r>
          </w:p>
        </w:tc>
        <w:tc>
          <w:tcPr>
            <w:tcW w:w="1329" w:type="dxa"/>
            <w:tcBorders/>
            <w:vAlign w:val="bottom"/>
          </w:tcPr>
          <w:p>
            <w:pPr>
              <w:pStyle w:val="TableContents"/>
              <w:bidi w:val="0"/>
              <w:spacing w:before="0" w:after="283"/>
              <w:jc w:val="left"/>
              <w:rPr/>
            </w:pPr>
            <w:r>
              <w:rPr/>
            </w:r>
          </w:p>
        </w:tc>
        <w:tc>
          <w:tcPr>
            <w:tcW w:w="128" w:type="dxa"/>
            <w:tcBorders/>
            <w:vAlign w:val="bottom"/>
          </w:tcPr>
          <w:p>
            <w:pPr>
              <w:pStyle w:val="TableContents"/>
              <w:bidi w:val="0"/>
              <w:spacing w:before="0" w:after="283"/>
              <w:jc w:val="left"/>
              <w:rPr/>
            </w:pPr>
            <w:r>
              <w:rPr/>
            </w:r>
          </w:p>
        </w:tc>
        <w:tc>
          <w:tcPr>
            <w:tcW w:w="31" w:type="dxa"/>
            <w:tcBorders/>
            <w:vAlign w:val="bottom"/>
          </w:tcPr>
          <w:p>
            <w:pPr>
              <w:pStyle w:val="TableContents"/>
              <w:bidi w:val="0"/>
              <w:spacing w:before="0" w:after="283"/>
              <w:jc w:val="left"/>
              <w:rPr/>
            </w:pPr>
            <w:r>
              <w:rPr/>
            </w:r>
          </w:p>
        </w:tc>
        <w:tc>
          <w:tcPr>
            <w:tcW w:w="189" w:type="dxa"/>
            <w:tcBorders/>
            <w:vAlign w:val="bottom"/>
          </w:tcPr>
          <w:p>
            <w:pPr>
              <w:pStyle w:val="TableContents"/>
              <w:bidi w:val="0"/>
              <w:spacing w:before="0" w:after="283"/>
              <w:jc w:val="left"/>
              <w:rPr/>
            </w:pPr>
            <w:r>
              <w:rPr/>
            </w:r>
          </w:p>
        </w:tc>
        <w:tc>
          <w:tcPr>
            <w:tcW w:w="1329" w:type="dxa"/>
            <w:tcBorders/>
            <w:vAlign w:val="bottom"/>
          </w:tcPr>
          <w:p>
            <w:pPr>
              <w:pStyle w:val="TableContents"/>
              <w:bidi w:val="0"/>
              <w:spacing w:before="0" w:after="283"/>
              <w:jc w:val="left"/>
              <w:rPr/>
            </w:pPr>
            <w:r>
              <w:rPr/>
            </w:r>
          </w:p>
        </w:tc>
        <w:tc>
          <w:tcPr>
            <w:tcW w:w="119" w:type="dxa"/>
            <w:tcBorders/>
            <w:vAlign w:val="center"/>
          </w:tcPr>
          <w:p>
            <w:pPr>
              <w:pStyle w:val="TableContents"/>
              <w:bidi w:val="0"/>
              <w:spacing w:before="0" w:after="283"/>
              <w:jc w:val="left"/>
              <w:rPr/>
            </w:pPr>
            <w:r>
              <w:rPr/>
            </w:r>
          </w:p>
        </w:tc>
      </w:tr>
      <w:tr>
        <w:trPr/>
        <w:tc>
          <w:tcPr>
            <w:tcW w:w="3874"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Comprehensive loss: </w:t>
            </w:r>
          </w:p>
        </w:tc>
        <w:tc>
          <w:tcPr>
            <w:tcW w:w="104" w:type="dxa"/>
            <w:tcBorders/>
            <w:shd w:fill="CCEEFF" w:val="clear"/>
            <w:vAlign w:val="bottom"/>
          </w:tcPr>
          <w:p>
            <w:pPr>
              <w:pStyle w:val="TableContents"/>
              <w:bidi w:val="0"/>
              <w:spacing w:before="0" w:after="0"/>
              <w:ind w:left="0" w:right="0" w:hanging="0"/>
              <w:jc w:val="left"/>
              <w:rPr/>
            </w:pPr>
            <w:r>
              <w:rPr/>
              <w:t xml:space="preserve">  </w:t>
            </w:r>
          </w:p>
        </w:tc>
        <w:tc>
          <w:tcPr>
            <w:tcW w:w="199" w:type="dxa"/>
            <w:tcBorders/>
            <w:shd w:fill="CCEEFF" w:val="clear"/>
            <w:vAlign w:val="bottom"/>
          </w:tcPr>
          <w:p>
            <w:pPr>
              <w:pStyle w:val="TableContents"/>
              <w:bidi w:val="0"/>
              <w:spacing w:before="0" w:after="0"/>
              <w:ind w:left="0" w:right="0" w:hanging="0"/>
              <w:jc w:val="left"/>
              <w:rPr/>
            </w:pPr>
            <w:r>
              <w:rPr/>
              <w:t xml:space="preserve">  </w:t>
            </w:r>
          </w:p>
        </w:tc>
        <w:tc>
          <w:tcPr>
            <w:tcW w:w="1077" w:type="dxa"/>
            <w:tcBorders/>
            <w:shd w:fill="CCEEFF" w:val="clear"/>
            <w:vAlign w:val="bottom"/>
          </w:tcPr>
          <w:p>
            <w:pPr>
              <w:pStyle w:val="TableContents"/>
              <w:bidi w:val="0"/>
              <w:spacing w:before="0" w:after="0"/>
              <w:ind w:left="0" w:right="0" w:hanging="0"/>
              <w:jc w:val="left"/>
              <w:rPr/>
            </w:pPr>
            <w:r>
              <w:rPr/>
              <w:t xml:space="preserve">  </w:t>
            </w:r>
          </w:p>
        </w:tc>
        <w:tc>
          <w:tcPr>
            <w:tcW w:w="139" w:type="dxa"/>
            <w:tcBorders/>
            <w:shd w:fill="CCEEFF" w:val="clear"/>
            <w:vAlign w:val="bottom"/>
          </w:tcPr>
          <w:p>
            <w:pPr>
              <w:pStyle w:val="TableContents"/>
              <w:bidi w:val="0"/>
              <w:spacing w:before="0" w:after="0"/>
              <w:ind w:left="0" w:right="0" w:hanging="0"/>
              <w:jc w:val="left"/>
              <w:rPr/>
            </w:pPr>
            <w:r>
              <w:rPr/>
              <w:t xml:space="preserve">  </w:t>
            </w:r>
          </w:p>
        </w:tc>
        <w:tc>
          <w:tcPr>
            <w:tcW w:w="130" w:type="dxa"/>
            <w:tcBorders/>
            <w:shd w:fill="CCEEFF" w:val="clear"/>
            <w:vAlign w:val="bottom"/>
          </w:tcPr>
          <w:p>
            <w:pPr>
              <w:pStyle w:val="TableContents"/>
              <w:bidi w:val="0"/>
              <w:spacing w:before="0" w:after="0"/>
              <w:ind w:left="0" w:right="0" w:hanging="0"/>
              <w:jc w:val="left"/>
              <w:rPr/>
            </w:pPr>
            <w:r>
              <w:rPr/>
              <w:t xml:space="preserve">  </w:t>
            </w:r>
          </w:p>
        </w:tc>
        <w:tc>
          <w:tcPr>
            <w:tcW w:w="199" w:type="dxa"/>
            <w:tcBorders/>
            <w:shd w:fill="CCEEFF" w:val="clear"/>
            <w:vAlign w:val="bottom"/>
          </w:tcPr>
          <w:p>
            <w:pPr>
              <w:pStyle w:val="TableContents"/>
              <w:bidi w:val="0"/>
              <w:spacing w:before="0" w:after="0"/>
              <w:ind w:left="0" w:right="0" w:hanging="0"/>
              <w:jc w:val="left"/>
              <w:rPr/>
            </w:pPr>
            <w:r>
              <w:rPr/>
              <w:t xml:space="preserve">  </w:t>
            </w:r>
          </w:p>
        </w:tc>
        <w:tc>
          <w:tcPr>
            <w:tcW w:w="1034" w:type="dxa"/>
            <w:tcBorders/>
            <w:shd w:fill="CCEEFF" w:val="clear"/>
            <w:vAlign w:val="bottom"/>
          </w:tcPr>
          <w:p>
            <w:pPr>
              <w:pStyle w:val="TableContents"/>
              <w:bidi w:val="0"/>
              <w:spacing w:before="0" w:after="0"/>
              <w:ind w:left="0" w:right="0" w:hanging="0"/>
              <w:jc w:val="left"/>
              <w:rPr/>
            </w:pPr>
            <w:r>
              <w:rPr/>
              <w:t xml:space="preserve">  </w:t>
            </w:r>
          </w:p>
        </w:tc>
        <w:tc>
          <w:tcPr>
            <w:tcW w:w="113" w:type="dxa"/>
            <w:tcBorders/>
            <w:shd w:fill="CCEEFF" w:val="clear"/>
            <w:vAlign w:val="bottom"/>
          </w:tcPr>
          <w:p>
            <w:pPr>
              <w:pStyle w:val="TableContents"/>
              <w:bidi w:val="0"/>
              <w:spacing w:before="0" w:after="0"/>
              <w:ind w:left="0" w:right="0" w:hanging="0"/>
              <w:jc w:val="left"/>
              <w:rPr/>
            </w:pPr>
            <w:r>
              <w:rPr/>
              <w:t xml:space="preserve">  </w:t>
            </w:r>
          </w:p>
        </w:tc>
        <w:tc>
          <w:tcPr>
            <w:tcW w:w="22" w:type="dxa"/>
            <w:tcBorders/>
            <w:shd w:fill="CCEEFF" w:val="clear"/>
            <w:vAlign w:val="bottom"/>
          </w:tcPr>
          <w:p>
            <w:pPr>
              <w:pStyle w:val="TableContents"/>
              <w:bidi w:val="0"/>
              <w:spacing w:before="0" w:after="283"/>
              <w:jc w:val="left"/>
              <w:rPr/>
            </w:pPr>
            <w:r>
              <w:rPr/>
            </w:r>
          </w:p>
        </w:tc>
        <w:tc>
          <w:tcPr>
            <w:tcW w:w="189" w:type="dxa"/>
            <w:tcBorders/>
            <w:shd w:fill="CCEEFF" w:val="clear"/>
            <w:vAlign w:val="bottom"/>
          </w:tcPr>
          <w:p>
            <w:pPr>
              <w:pStyle w:val="TableContents"/>
              <w:bidi w:val="0"/>
              <w:spacing w:before="0" w:after="283"/>
              <w:jc w:val="left"/>
              <w:rPr/>
            </w:pPr>
            <w:r>
              <w:rPr/>
            </w:r>
          </w:p>
        </w:tc>
        <w:tc>
          <w:tcPr>
            <w:tcW w:w="1329" w:type="dxa"/>
            <w:tcBorders/>
            <w:shd w:fill="CCEEFF" w:val="clear"/>
            <w:vAlign w:val="bottom"/>
          </w:tcPr>
          <w:p>
            <w:pPr>
              <w:pStyle w:val="TableContents"/>
              <w:bidi w:val="0"/>
              <w:spacing w:before="0" w:after="283"/>
              <w:jc w:val="left"/>
              <w:rPr/>
            </w:pPr>
            <w:r>
              <w:rPr/>
            </w:r>
          </w:p>
        </w:tc>
        <w:tc>
          <w:tcPr>
            <w:tcW w:w="128" w:type="dxa"/>
            <w:tcBorders/>
            <w:shd w:fill="CCEEFF" w:val="clear"/>
            <w:vAlign w:val="bottom"/>
          </w:tcPr>
          <w:p>
            <w:pPr>
              <w:pStyle w:val="TableContents"/>
              <w:bidi w:val="0"/>
              <w:spacing w:before="0" w:after="283"/>
              <w:jc w:val="left"/>
              <w:rPr/>
            </w:pPr>
            <w:r>
              <w:rPr/>
            </w:r>
          </w:p>
        </w:tc>
        <w:tc>
          <w:tcPr>
            <w:tcW w:w="31" w:type="dxa"/>
            <w:tcBorders/>
            <w:shd w:fill="CCEEFF" w:val="clear"/>
            <w:vAlign w:val="bottom"/>
          </w:tcPr>
          <w:p>
            <w:pPr>
              <w:pStyle w:val="TableContents"/>
              <w:bidi w:val="0"/>
              <w:spacing w:before="0" w:after="283"/>
              <w:jc w:val="left"/>
              <w:rPr/>
            </w:pPr>
            <w:r>
              <w:rPr/>
            </w:r>
          </w:p>
        </w:tc>
        <w:tc>
          <w:tcPr>
            <w:tcW w:w="189" w:type="dxa"/>
            <w:tcBorders/>
            <w:shd w:fill="CCEEFF" w:val="clear"/>
            <w:vAlign w:val="bottom"/>
          </w:tcPr>
          <w:p>
            <w:pPr>
              <w:pStyle w:val="TableContents"/>
              <w:bidi w:val="0"/>
              <w:spacing w:before="0" w:after="283"/>
              <w:jc w:val="left"/>
              <w:rPr/>
            </w:pPr>
            <w:r>
              <w:rPr/>
            </w:r>
          </w:p>
        </w:tc>
        <w:tc>
          <w:tcPr>
            <w:tcW w:w="1329" w:type="dxa"/>
            <w:tcBorders/>
            <w:shd w:fill="CCEEFF" w:val="clear"/>
            <w:vAlign w:val="bottom"/>
          </w:tcPr>
          <w:p>
            <w:pPr>
              <w:pStyle w:val="TableContents"/>
              <w:bidi w:val="0"/>
              <w:spacing w:before="0" w:after="283"/>
              <w:jc w:val="left"/>
              <w:rPr/>
            </w:pPr>
            <w:r>
              <w:rPr/>
            </w:r>
          </w:p>
        </w:tc>
        <w:tc>
          <w:tcPr>
            <w:tcW w:w="119" w:type="dxa"/>
            <w:tcBorders/>
            <w:shd w:fill="CCEEFF" w:val="clear"/>
            <w:vAlign w:val="center"/>
          </w:tcPr>
          <w:p>
            <w:pPr>
              <w:pStyle w:val="TableContents"/>
              <w:bidi w:val="0"/>
              <w:spacing w:before="0" w:after="283"/>
              <w:jc w:val="left"/>
              <w:rPr/>
            </w:pPr>
            <w:r>
              <w:rPr/>
            </w:r>
          </w:p>
        </w:tc>
      </w:tr>
      <w:tr>
        <w:trPr/>
        <w:tc>
          <w:tcPr>
            <w:tcW w:w="3874"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 xml:space="preserve">Net loss </w:t>
            </w:r>
          </w:p>
        </w:tc>
        <w:tc>
          <w:tcPr>
            <w:tcW w:w="104" w:type="dxa"/>
            <w:tcBorders/>
            <w:vAlign w:val="bottom"/>
          </w:tcPr>
          <w:p>
            <w:pPr>
              <w:pStyle w:val="TableContents"/>
              <w:bidi w:val="0"/>
              <w:spacing w:before="0" w:after="0"/>
              <w:ind w:left="0" w:right="0" w:hanging="0"/>
              <w:jc w:val="left"/>
              <w:rPr/>
            </w:pPr>
            <w:r>
              <w:rPr/>
              <w:t xml:space="preserve">  </w:t>
            </w:r>
          </w:p>
        </w:tc>
        <w:tc>
          <w:tcPr>
            <w:tcW w:w="199"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077"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(13,736</w:t>
            </w:r>
          </w:p>
        </w:tc>
        <w:tc>
          <w:tcPr>
            <w:tcW w:w="139" w:type="dxa"/>
            <w:tcBorders/>
            <w:vAlign w:val="bottom"/>
          </w:tcPr>
          <w:p>
            <w:pPr>
              <w:pStyle w:val="TableContents"/>
              <w:bidi w:val="0"/>
              <w:spacing w:before="0" w:after="283"/>
              <w:jc w:val="left"/>
              <w:rPr/>
            </w:pPr>
            <w:r>
              <w:rPr/>
              <w:t>)</w:t>
            </w:r>
          </w:p>
        </w:tc>
        <w:tc>
          <w:tcPr>
            <w:tcW w:w="130" w:type="dxa"/>
            <w:tcBorders/>
            <w:vAlign w:val="bottom"/>
          </w:tcPr>
          <w:p>
            <w:pPr>
              <w:pStyle w:val="TableContents"/>
              <w:bidi w:val="0"/>
              <w:spacing w:before="0" w:after="0"/>
              <w:ind w:left="0" w:right="0" w:hanging="0"/>
              <w:jc w:val="left"/>
              <w:rPr/>
            </w:pPr>
            <w:r>
              <w:rPr/>
              <w:t xml:space="preserve">  </w:t>
            </w:r>
          </w:p>
        </w:tc>
        <w:tc>
          <w:tcPr>
            <w:tcW w:w="199"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034"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(2,062</w:t>
            </w:r>
          </w:p>
        </w:tc>
        <w:tc>
          <w:tcPr>
            <w:tcW w:w="113" w:type="dxa"/>
            <w:tcBorders/>
            <w:vAlign w:val="bottom"/>
          </w:tcPr>
          <w:p>
            <w:pPr>
              <w:pStyle w:val="TableContents"/>
              <w:bidi w:val="0"/>
              <w:spacing w:before="0" w:after="283"/>
              <w:jc w:val="left"/>
              <w:rPr/>
            </w:pPr>
            <w:r>
              <w:rPr/>
              <w:t>)</w:t>
            </w:r>
          </w:p>
        </w:tc>
        <w:tc>
          <w:tcPr>
            <w:tcW w:w="22" w:type="dxa"/>
            <w:tcBorders/>
            <w:vAlign w:val="bottom"/>
          </w:tcPr>
          <w:p>
            <w:pPr>
              <w:pStyle w:val="TableContents"/>
              <w:bidi w:val="0"/>
              <w:spacing w:before="0" w:after="283"/>
              <w:jc w:val="left"/>
              <w:rPr/>
            </w:pPr>
            <w:r>
              <w:rPr/>
            </w:r>
          </w:p>
        </w:tc>
        <w:tc>
          <w:tcPr>
            <w:tcW w:w="189" w:type="dxa"/>
            <w:tcBorders/>
            <w:vAlign w:val="bottom"/>
          </w:tcPr>
          <w:p>
            <w:pPr>
              <w:pStyle w:val="TableContents"/>
              <w:widowControl/>
              <w:bidi w:val="0"/>
              <w:spacing w:before="0" w:after="283"/>
              <w:ind w:left="0" w:right="0" w:hanging="0"/>
              <w:jc w:val="left"/>
              <w:rPr>
                <w:rFonts w:ascii="Times New Roman" w:hAnsi="Times New Roman"/>
                <w:b w:val="false"/>
                <w:color w:val="000000"/>
                <w:spacing w:val="0"/>
                <w:sz w:val="20"/>
              </w:rPr>
            </w:pPr>
            <w:r>
              <w:rPr>
                <w:rFonts w:ascii="Times New Roman" w:hAnsi="Times New Roman"/>
                <w:b w:val="false"/>
                <w:color w:val="000000"/>
                <w:spacing w:val="0"/>
                <w:sz w:val="20"/>
              </w:rPr>
              <w:t>$</w:t>
            </w:r>
          </w:p>
        </w:tc>
        <w:tc>
          <w:tcPr>
            <w:tcW w:w="1329" w:type="dxa"/>
            <w:tcBorders/>
            <w:vAlign w:val="bottom"/>
          </w:tcPr>
          <w:p>
            <w:pPr>
              <w:pStyle w:val="TableContents"/>
              <w:bidi w:val="0"/>
              <w:spacing w:before="0" w:after="283"/>
              <w:jc w:val="right"/>
              <w:rPr/>
            </w:pPr>
            <w:r>
              <w:rPr/>
              <w:t>(21,142</w:t>
            </w:r>
          </w:p>
        </w:tc>
        <w:tc>
          <w:tcPr>
            <w:tcW w:w="128" w:type="dxa"/>
            <w:tcBorders/>
            <w:vAlign w:val="bottom"/>
          </w:tcPr>
          <w:p>
            <w:pPr>
              <w:pStyle w:val="TableContents"/>
              <w:bidi w:val="0"/>
              <w:spacing w:before="0" w:after="283"/>
              <w:jc w:val="left"/>
              <w:rPr/>
            </w:pPr>
            <w:r>
              <w:rPr/>
              <w:t>)</w:t>
            </w:r>
          </w:p>
        </w:tc>
        <w:tc>
          <w:tcPr>
            <w:tcW w:w="31" w:type="dxa"/>
            <w:tcBorders/>
            <w:vAlign w:val="bottom"/>
          </w:tcPr>
          <w:p>
            <w:pPr>
              <w:pStyle w:val="TableContents"/>
              <w:bidi w:val="0"/>
              <w:spacing w:before="0" w:after="283"/>
              <w:jc w:val="left"/>
              <w:rPr/>
            </w:pPr>
            <w:r>
              <w:rPr/>
            </w:r>
          </w:p>
        </w:tc>
        <w:tc>
          <w:tcPr>
            <w:tcW w:w="189" w:type="dxa"/>
            <w:tcBorders/>
            <w:vAlign w:val="bottom"/>
          </w:tcPr>
          <w:p>
            <w:pPr>
              <w:pStyle w:val="TableContents"/>
              <w:widowControl/>
              <w:bidi w:val="0"/>
              <w:spacing w:before="0" w:after="283"/>
              <w:ind w:left="0" w:right="0" w:hanging="0"/>
              <w:jc w:val="left"/>
              <w:rPr>
                <w:rFonts w:ascii="Times New Roman" w:hAnsi="Times New Roman"/>
                <w:b w:val="false"/>
                <w:color w:val="000000"/>
                <w:spacing w:val="0"/>
                <w:sz w:val="20"/>
              </w:rPr>
            </w:pPr>
            <w:r>
              <w:rPr>
                <w:rFonts w:ascii="Times New Roman" w:hAnsi="Times New Roman"/>
                <w:b w:val="false"/>
                <w:color w:val="000000"/>
                <w:spacing w:val="0"/>
                <w:sz w:val="20"/>
              </w:rPr>
              <w:t>$</w:t>
            </w:r>
          </w:p>
        </w:tc>
        <w:tc>
          <w:tcPr>
            <w:tcW w:w="1329" w:type="dxa"/>
            <w:tcBorders/>
            <w:vAlign w:val="bottom"/>
          </w:tcPr>
          <w:p>
            <w:pPr>
              <w:pStyle w:val="TableContents"/>
              <w:bidi w:val="0"/>
              <w:spacing w:before="0" w:after="283"/>
              <w:jc w:val="right"/>
              <w:rPr/>
            </w:pPr>
            <w:r>
              <w:rPr/>
              <w:t>(6,780</w:t>
            </w:r>
          </w:p>
        </w:tc>
        <w:tc>
          <w:tcPr>
            <w:tcW w:w="119" w:type="dxa"/>
            <w:tcBorders/>
            <w:vAlign w:val="center"/>
          </w:tcPr>
          <w:p>
            <w:pPr>
              <w:pStyle w:val="TableContents"/>
              <w:bidi w:val="0"/>
              <w:spacing w:before="0" w:after="283"/>
              <w:jc w:val="left"/>
              <w:rPr/>
            </w:pPr>
            <w:r>
              <w:rPr/>
              <w:t>)</w:t>
            </w:r>
          </w:p>
        </w:tc>
      </w:tr>
      <w:tr>
        <w:trPr/>
        <w:tc>
          <w:tcPr>
            <w:tcW w:w="3874"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 xml:space="preserve">Unrealized gain on available-for-sale securities, net of tax </w:t>
            </w:r>
          </w:p>
        </w:tc>
        <w:tc>
          <w:tcPr>
            <w:tcW w:w="104" w:type="dxa"/>
            <w:tcBorders/>
            <w:shd w:fill="CCEEFF" w:val="clear"/>
            <w:vAlign w:val="bottom"/>
          </w:tcPr>
          <w:p>
            <w:pPr>
              <w:pStyle w:val="TableContents"/>
              <w:bidi w:val="0"/>
              <w:spacing w:before="0" w:after="0"/>
              <w:ind w:left="0" w:right="0" w:hanging="0"/>
              <w:jc w:val="left"/>
              <w:rPr/>
            </w:pPr>
            <w:r>
              <w:rPr/>
              <w:t xml:space="preserve">  </w:t>
            </w:r>
          </w:p>
        </w:tc>
        <w:tc>
          <w:tcPr>
            <w:tcW w:w="199" w:type="dxa"/>
            <w:tcBorders/>
            <w:shd w:fill="CCEEFF" w:val="clear"/>
            <w:vAlign w:val="bottom"/>
          </w:tcPr>
          <w:p>
            <w:pPr>
              <w:pStyle w:val="TableContents"/>
              <w:bidi w:val="0"/>
              <w:spacing w:before="0" w:after="0"/>
              <w:ind w:left="0" w:right="0" w:hanging="0"/>
              <w:jc w:val="left"/>
              <w:rPr/>
            </w:pPr>
            <w:r>
              <w:rPr/>
              <w:t xml:space="preserve">  </w:t>
            </w:r>
          </w:p>
        </w:tc>
        <w:tc>
          <w:tcPr>
            <w:tcW w:w="1077" w:type="dxa"/>
            <w:tcBorders/>
            <w:shd w:fill="CCEEFF" w:val="clear"/>
            <w:vAlign w:val="bottom"/>
          </w:tcPr>
          <w:p>
            <w:pPr>
              <w:pStyle w:val="TableContents"/>
              <w:bidi w:val="0"/>
              <w:spacing w:before="0" w:after="0"/>
              <w:ind w:left="0" w:right="0" w:hanging="0"/>
              <w:jc w:val="right"/>
              <w:rPr/>
            </w:pPr>
            <w:r>
              <w:rPr/>
              <w:t>—</w:t>
            </w:r>
          </w:p>
        </w:tc>
        <w:tc>
          <w:tcPr>
            <w:tcW w:w="139"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0"/>
              <w:ind w:left="0" w:right="0" w:hanging="0"/>
              <w:jc w:val="left"/>
              <w:rPr/>
            </w:pPr>
            <w:r>
              <w:rPr/>
              <w:t xml:space="preserve">  </w:t>
            </w:r>
          </w:p>
        </w:tc>
        <w:tc>
          <w:tcPr>
            <w:tcW w:w="199" w:type="dxa"/>
            <w:tcBorders/>
            <w:shd w:fill="CCEEFF" w:val="clear"/>
            <w:vAlign w:val="bottom"/>
          </w:tcPr>
          <w:p>
            <w:pPr>
              <w:pStyle w:val="TableContents"/>
              <w:bidi w:val="0"/>
              <w:spacing w:before="0" w:after="0"/>
              <w:ind w:left="0" w:right="0" w:hanging="0"/>
              <w:jc w:val="left"/>
              <w:rPr/>
            </w:pPr>
            <w:r>
              <w:rPr/>
              <w:t xml:space="preserve">  </w:t>
            </w:r>
          </w:p>
        </w:tc>
        <w:tc>
          <w:tcPr>
            <w:tcW w:w="1034" w:type="dxa"/>
            <w:tcBorders/>
            <w:shd w:fill="CCEEFF" w:val="clear"/>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w:t>
            </w:r>
          </w:p>
        </w:tc>
        <w:tc>
          <w:tcPr>
            <w:tcW w:w="113" w:type="dxa"/>
            <w:tcBorders/>
            <w:shd w:fill="CCEEFF" w:val="clear"/>
            <w:vAlign w:val="bottom"/>
          </w:tcPr>
          <w:p>
            <w:pPr>
              <w:pStyle w:val="TableContents"/>
              <w:bidi w:val="0"/>
              <w:spacing w:before="0" w:after="283"/>
              <w:jc w:val="left"/>
              <w:rPr/>
            </w:pPr>
            <w:r>
              <w:rPr/>
              <w:t>)</w:t>
            </w:r>
          </w:p>
        </w:tc>
        <w:tc>
          <w:tcPr>
            <w:tcW w:w="22" w:type="dxa"/>
            <w:tcBorders/>
            <w:shd w:fill="CCEEFF" w:val="clear"/>
            <w:vAlign w:val="bottom"/>
          </w:tcPr>
          <w:p>
            <w:pPr>
              <w:pStyle w:val="TableContents"/>
              <w:bidi w:val="0"/>
              <w:spacing w:before="0" w:after="283"/>
              <w:jc w:val="left"/>
              <w:rPr/>
            </w:pPr>
            <w:r>
              <w:rPr/>
            </w:r>
          </w:p>
        </w:tc>
        <w:tc>
          <w:tcPr>
            <w:tcW w:w="189" w:type="dxa"/>
            <w:tcBorders/>
            <w:shd w:fill="CCEEFF" w:val="clear"/>
            <w:vAlign w:val="bottom"/>
          </w:tcPr>
          <w:p>
            <w:pPr>
              <w:pStyle w:val="TableContents"/>
              <w:bidi w:val="0"/>
              <w:spacing w:before="0" w:after="283"/>
              <w:jc w:val="left"/>
              <w:rPr/>
            </w:pPr>
            <w:r>
              <w:rPr/>
            </w:r>
          </w:p>
        </w:tc>
        <w:tc>
          <w:tcPr>
            <w:tcW w:w="1329" w:type="dxa"/>
            <w:tcBorders/>
            <w:shd w:fill="CCEEFF" w:val="clear"/>
            <w:vAlign w:val="bottom"/>
          </w:tcPr>
          <w:p>
            <w:pPr>
              <w:pStyle w:val="TableContents"/>
              <w:bidi w:val="0"/>
              <w:spacing w:before="0" w:after="283"/>
              <w:jc w:val="right"/>
              <w:rPr/>
            </w:pPr>
            <w:r>
              <w:rPr/>
              <w:t>—</w:t>
            </w:r>
          </w:p>
        </w:tc>
        <w:tc>
          <w:tcPr>
            <w:tcW w:w="128" w:type="dxa"/>
            <w:tcBorders/>
            <w:shd w:fill="CCEEFF" w:val="clear"/>
            <w:vAlign w:val="bottom"/>
          </w:tcPr>
          <w:p>
            <w:pPr>
              <w:pStyle w:val="TableContents"/>
              <w:bidi w:val="0"/>
              <w:spacing w:before="0" w:after="283"/>
              <w:jc w:val="left"/>
              <w:rPr/>
            </w:pPr>
            <w:r>
              <w:rPr/>
            </w:r>
          </w:p>
        </w:tc>
        <w:tc>
          <w:tcPr>
            <w:tcW w:w="31" w:type="dxa"/>
            <w:tcBorders/>
            <w:shd w:fill="CCEEFF" w:val="clear"/>
            <w:vAlign w:val="bottom"/>
          </w:tcPr>
          <w:p>
            <w:pPr>
              <w:pStyle w:val="TableContents"/>
              <w:bidi w:val="0"/>
              <w:spacing w:before="0" w:after="283"/>
              <w:jc w:val="left"/>
              <w:rPr/>
            </w:pPr>
            <w:r>
              <w:rPr/>
            </w:r>
          </w:p>
        </w:tc>
        <w:tc>
          <w:tcPr>
            <w:tcW w:w="189" w:type="dxa"/>
            <w:tcBorders/>
            <w:shd w:fill="CCEEFF" w:val="clear"/>
            <w:vAlign w:val="bottom"/>
          </w:tcPr>
          <w:p>
            <w:pPr>
              <w:pStyle w:val="TableContents"/>
              <w:bidi w:val="0"/>
              <w:spacing w:before="0" w:after="283"/>
              <w:jc w:val="left"/>
              <w:rPr/>
            </w:pPr>
            <w:r>
              <w:rPr/>
            </w:r>
          </w:p>
        </w:tc>
        <w:tc>
          <w:tcPr>
            <w:tcW w:w="1329" w:type="dxa"/>
            <w:tcBorders/>
            <w:shd w:fill="CCEEFF" w:val="clear"/>
            <w:vAlign w:val="bottom"/>
          </w:tcPr>
          <w:p>
            <w:pPr>
              <w:pStyle w:val="TableContents"/>
              <w:bidi w:val="0"/>
              <w:spacing w:before="0" w:after="283"/>
              <w:jc w:val="right"/>
              <w:rPr/>
            </w:pPr>
            <w:r>
              <w:rPr/>
              <w:t>18</w:t>
            </w:r>
          </w:p>
        </w:tc>
        <w:tc>
          <w:tcPr>
            <w:tcW w:w="119" w:type="dxa"/>
            <w:tcBorders/>
            <w:shd w:fill="CCEEFF" w:val="clear"/>
            <w:vAlign w:val="center"/>
          </w:tcPr>
          <w:p>
            <w:pPr>
              <w:pStyle w:val="TableContents"/>
              <w:bidi w:val="0"/>
              <w:spacing w:before="0" w:after="283"/>
              <w:jc w:val="left"/>
              <w:rPr/>
            </w:pPr>
            <w:r>
              <w:rPr/>
            </w:r>
          </w:p>
        </w:tc>
      </w:tr>
      <w:tr>
        <w:trPr/>
        <w:tc>
          <w:tcPr>
            <w:tcW w:w="3874"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 xml:space="preserve">Change in foreign currency translation adjustment </w:t>
            </w:r>
          </w:p>
        </w:tc>
        <w:tc>
          <w:tcPr>
            <w:tcW w:w="104" w:type="dxa"/>
            <w:tcBorders/>
            <w:vAlign w:val="bottom"/>
          </w:tcPr>
          <w:p>
            <w:pPr>
              <w:pStyle w:val="TableContents"/>
              <w:bidi w:val="0"/>
              <w:spacing w:before="0" w:after="0"/>
              <w:ind w:left="0" w:right="0" w:hanging="0"/>
              <w:jc w:val="left"/>
              <w:rPr/>
            </w:pPr>
            <w:r>
              <w:rPr/>
              <w:t xml:space="preserve">  </w:t>
            </w:r>
          </w:p>
        </w:tc>
        <w:tc>
          <w:tcPr>
            <w:tcW w:w="199" w:type="dxa"/>
            <w:tcBorders/>
            <w:vAlign w:val="bottom"/>
          </w:tcPr>
          <w:p>
            <w:pPr>
              <w:pStyle w:val="TableContents"/>
              <w:bidi w:val="0"/>
              <w:spacing w:before="0" w:after="0"/>
              <w:ind w:left="0" w:right="0" w:hanging="0"/>
              <w:jc w:val="left"/>
              <w:rPr/>
            </w:pPr>
            <w:r>
              <w:rPr/>
              <w:t xml:space="preserve">  </w:t>
            </w:r>
          </w:p>
        </w:tc>
        <w:tc>
          <w:tcPr>
            <w:tcW w:w="1077" w:type="dxa"/>
            <w:tcBorders/>
            <w:vAlign w:val="bottom"/>
          </w:tcPr>
          <w:p>
            <w:pPr>
              <w:pStyle w:val="TableContents"/>
              <w:bidi w:val="0"/>
              <w:spacing w:before="0" w:after="0"/>
              <w:ind w:left="0" w:right="0" w:hanging="0"/>
              <w:jc w:val="right"/>
              <w:rPr>
                <w:rFonts w:ascii="Times New Roman" w:hAnsi="Times New Roman"/>
              </w:rPr>
            </w:pPr>
            <w:r>
              <w:rPr>
                <w:rFonts w:ascii="Times New Roman" w:hAnsi="Times New Roman"/>
              </w:rPr>
              <w:t>(6</w:t>
            </w:r>
          </w:p>
        </w:tc>
        <w:tc>
          <w:tcPr>
            <w:tcW w:w="139" w:type="dxa"/>
            <w:tcBorders/>
            <w:vAlign w:val="bottom"/>
          </w:tcPr>
          <w:p>
            <w:pPr>
              <w:pStyle w:val="TableContents"/>
              <w:bidi w:val="0"/>
              <w:spacing w:before="0" w:after="283"/>
              <w:jc w:val="left"/>
              <w:rPr/>
            </w:pPr>
            <w:r>
              <w:rPr/>
              <w:t>)</w:t>
            </w:r>
          </w:p>
        </w:tc>
        <w:tc>
          <w:tcPr>
            <w:tcW w:w="130" w:type="dxa"/>
            <w:tcBorders/>
            <w:vAlign w:val="bottom"/>
          </w:tcPr>
          <w:p>
            <w:pPr>
              <w:pStyle w:val="TableContents"/>
              <w:bidi w:val="0"/>
              <w:spacing w:before="0" w:after="0"/>
              <w:ind w:left="0" w:right="0" w:hanging="0"/>
              <w:jc w:val="left"/>
              <w:rPr/>
            </w:pPr>
            <w:r>
              <w:rPr/>
              <w:t xml:space="preserve">  </w:t>
            </w:r>
          </w:p>
        </w:tc>
        <w:tc>
          <w:tcPr>
            <w:tcW w:w="199" w:type="dxa"/>
            <w:tcBorders/>
            <w:vAlign w:val="bottom"/>
          </w:tcPr>
          <w:p>
            <w:pPr>
              <w:pStyle w:val="TableContents"/>
              <w:bidi w:val="0"/>
              <w:spacing w:before="0" w:after="0"/>
              <w:ind w:left="0" w:right="0" w:hanging="0"/>
              <w:jc w:val="left"/>
              <w:rPr/>
            </w:pPr>
            <w:r>
              <w:rPr/>
              <w:t xml:space="preserve">  </w:t>
            </w:r>
          </w:p>
        </w:tc>
        <w:tc>
          <w:tcPr>
            <w:tcW w:w="1034"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w:t>
            </w:r>
          </w:p>
        </w:tc>
        <w:tc>
          <w:tcPr>
            <w:tcW w:w="113" w:type="dxa"/>
            <w:tcBorders/>
            <w:vAlign w:val="bottom"/>
          </w:tcPr>
          <w:p>
            <w:pPr>
              <w:pStyle w:val="TableContents"/>
              <w:bidi w:val="0"/>
              <w:spacing w:before="0" w:after="283"/>
              <w:jc w:val="left"/>
              <w:rPr/>
            </w:pPr>
            <w:r>
              <w:rPr/>
              <w:t>)</w:t>
            </w:r>
          </w:p>
        </w:tc>
        <w:tc>
          <w:tcPr>
            <w:tcW w:w="22" w:type="dxa"/>
            <w:tcBorders/>
            <w:vAlign w:val="bottom"/>
          </w:tcPr>
          <w:p>
            <w:pPr>
              <w:pStyle w:val="TableContents"/>
              <w:bidi w:val="0"/>
              <w:spacing w:before="0" w:after="283"/>
              <w:jc w:val="left"/>
              <w:rPr/>
            </w:pPr>
            <w:r>
              <w:rPr/>
            </w:r>
          </w:p>
        </w:tc>
        <w:tc>
          <w:tcPr>
            <w:tcW w:w="189" w:type="dxa"/>
            <w:tcBorders/>
            <w:vAlign w:val="bottom"/>
          </w:tcPr>
          <w:p>
            <w:pPr>
              <w:pStyle w:val="TableContents"/>
              <w:bidi w:val="0"/>
              <w:spacing w:before="0" w:after="283"/>
              <w:jc w:val="left"/>
              <w:rPr/>
            </w:pPr>
            <w:r>
              <w:rPr/>
            </w:r>
          </w:p>
        </w:tc>
        <w:tc>
          <w:tcPr>
            <w:tcW w:w="1329"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w:t>
            </w:r>
          </w:p>
        </w:tc>
        <w:tc>
          <w:tcPr>
            <w:tcW w:w="128" w:type="dxa"/>
            <w:tcBorders/>
            <w:vAlign w:val="bottom"/>
          </w:tcPr>
          <w:p>
            <w:pPr>
              <w:pStyle w:val="TableContents"/>
              <w:bidi w:val="0"/>
              <w:spacing w:before="0" w:after="283"/>
              <w:jc w:val="left"/>
              <w:rPr/>
            </w:pPr>
            <w:r>
              <w:rPr/>
              <w:t>)</w:t>
            </w:r>
          </w:p>
        </w:tc>
        <w:tc>
          <w:tcPr>
            <w:tcW w:w="31" w:type="dxa"/>
            <w:tcBorders/>
            <w:vAlign w:val="bottom"/>
          </w:tcPr>
          <w:p>
            <w:pPr>
              <w:pStyle w:val="TableContents"/>
              <w:bidi w:val="0"/>
              <w:spacing w:before="0" w:after="283"/>
              <w:jc w:val="left"/>
              <w:rPr/>
            </w:pPr>
            <w:r>
              <w:rPr/>
            </w:r>
          </w:p>
        </w:tc>
        <w:tc>
          <w:tcPr>
            <w:tcW w:w="189" w:type="dxa"/>
            <w:tcBorders/>
            <w:vAlign w:val="bottom"/>
          </w:tcPr>
          <w:p>
            <w:pPr>
              <w:pStyle w:val="TableContents"/>
              <w:bidi w:val="0"/>
              <w:spacing w:before="0" w:after="283"/>
              <w:jc w:val="left"/>
              <w:rPr/>
            </w:pPr>
            <w:r>
              <w:rPr/>
            </w:r>
          </w:p>
        </w:tc>
        <w:tc>
          <w:tcPr>
            <w:tcW w:w="1329"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w:t>
            </w:r>
          </w:p>
        </w:tc>
        <w:tc>
          <w:tcPr>
            <w:tcW w:w="119" w:type="dxa"/>
            <w:tcBorders/>
            <w:vAlign w:val="center"/>
          </w:tcPr>
          <w:p>
            <w:pPr>
              <w:pStyle w:val="TableContents"/>
              <w:bidi w:val="0"/>
              <w:spacing w:before="0" w:after="283"/>
              <w:jc w:val="left"/>
              <w:rPr/>
            </w:pPr>
            <w:r>
              <w:rPr/>
              <w:t>)</w:t>
            </w:r>
          </w:p>
        </w:tc>
      </w:tr>
      <w:tr>
        <w:trPr/>
        <w:tc>
          <w:tcPr>
            <w:tcW w:w="3874"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Comprehensive loss </w:t>
            </w:r>
          </w:p>
        </w:tc>
        <w:tc>
          <w:tcPr>
            <w:tcW w:w="104" w:type="dxa"/>
            <w:tcBorders/>
            <w:shd w:fill="CCEEFF" w:val="clear"/>
            <w:vAlign w:val="bottom"/>
          </w:tcPr>
          <w:p>
            <w:pPr>
              <w:pStyle w:val="TableContents"/>
              <w:bidi w:val="0"/>
              <w:spacing w:lineRule="auto" w:line="288" w:before="0" w:after="0"/>
              <w:ind w:left="0" w:right="0" w:hanging="0"/>
              <w:jc w:val="left"/>
              <w:rPr/>
            </w:pPr>
            <w:r>
              <w:rPr/>
              <w:t xml:space="preserve">  </w:t>
            </w:r>
          </w:p>
        </w:tc>
        <w:tc>
          <w:tcPr>
            <w:tcW w:w="199"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077" w:type="dxa"/>
            <w:tcBorders/>
            <w:shd w:fill="CCEEFF" w:val="clear"/>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(13,742</w:t>
            </w:r>
          </w:p>
        </w:tc>
        <w:tc>
          <w:tcPr>
            <w:tcW w:w="139" w:type="dxa"/>
            <w:tcBorders/>
            <w:shd w:fill="CCEEFF" w:val="clear"/>
            <w:vAlign w:val="bottom"/>
          </w:tcPr>
          <w:p>
            <w:pPr>
              <w:pStyle w:val="TableContents"/>
              <w:bidi w:val="0"/>
              <w:spacing w:before="0" w:after="283"/>
              <w:jc w:val="left"/>
              <w:rPr/>
            </w:pPr>
            <w:r>
              <w:rPr/>
              <w:t>)</w:t>
            </w:r>
          </w:p>
        </w:tc>
        <w:tc>
          <w:tcPr>
            <w:tcW w:w="130" w:type="dxa"/>
            <w:tcBorders/>
            <w:shd w:fill="CCEEFF" w:val="clear"/>
            <w:vAlign w:val="bottom"/>
          </w:tcPr>
          <w:p>
            <w:pPr>
              <w:pStyle w:val="TableContents"/>
              <w:bidi w:val="0"/>
              <w:spacing w:before="0" w:after="0"/>
              <w:ind w:left="0" w:right="0" w:hanging="0"/>
              <w:jc w:val="left"/>
              <w:rPr/>
            </w:pPr>
            <w:r>
              <w:rPr/>
              <w:t xml:space="preserve">  </w:t>
            </w:r>
          </w:p>
        </w:tc>
        <w:tc>
          <w:tcPr>
            <w:tcW w:w="199"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034" w:type="dxa"/>
            <w:tcBorders/>
            <w:shd w:fill="CCEEFF" w:val="clear"/>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(2,075</w:t>
            </w:r>
          </w:p>
        </w:tc>
        <w:tc>
          <w:tcPr>
            <w:tcW w:w="113" w:type="dxa"/>
            <w:tcBorders/>
            <w:shd w:fill="CCEEFF" w:val="clear"/>
            <w:vAlign w:val="bottom"/>
          </w:tcPr>
          <w:p>
            <w:pPr>
              <w:pStyle w:val="TableContents"/>
              <w:bidi w:val="0"/>
              <w:spacing w:before="0" w:after="283"/>
              <w:jc w:val="left"/>
              <w:rPr/>
            </w:pPr>
            <w:r>
              <w:rPr/>
              <w:t>)</w:t>
            </w:r>
          </w:p>
        </w:tc>
        <w:tc>
          <w:tcPr>
            <w:tcW w:w="22" w:type="dxa"/>
            <w:tcBorders/>
            <w:shd w:fill="CCEEFF" w:val="clear"/>
            <w:vAlign w:val="bottom"/>
          </w:tcPr>
          <w:p>
            <w:pPr>
              <w:pStyle w:val="TableContents"/>
              <w:bidi w:val="0"/>
              <w:spacing w:before="0" w:after="283"/>
              <w:jc w:val="left"/>
              <w:rPr/>
            </w:pPr>
            <w:r>
              <w:rPr/>
            </w:r>
          </w:p>
        </w:tc>
        <w:tc>
          <w:tcPr>
            <w:tcW w:w="189"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329" w:type="dxa"/>
            <w:tcBorders>
              <w:bottom w:val="double" w:sz="7" w:space="0" w:color="000000"/>
            </w:tcBorders>
            <w:shd w:fill="CCEEFF" w:val="clear"/>
            <w:tcMar>
              <w:bottom w:w="28" w:type="dxa"/>
            </w:tcMar>
            <w:vAlign w:val="bottom"/>
          </w:tcPr>
          <w:p>
            <w:pPr>
              <w:pStyle w:val="TableContents"/>
              <w:bidi w:val="0"/>
              <w:spacing w:before="0" w:after="283"/>
              <w:jc w:val="right"/>
              <w:rPr/>
            </w:pPr>
            <w:r>
              <w:rPr/>
              <w:t>(21,171</w:t>
            </w:r>
          </w:p>
        </w:tc>
        <w:tc>
          <w:tcPr>
            <w:tcW w:w="128" w:type="dxa"/>
            <w:tcBorders/>
            <w:shd w:fill="CCEEFF" w:val="clear"/>
            <w:vAlign w:val="bottom"/>
          </w:tcPr>
          <w:p>
            <w:pPr>
              <w:pStyle w:val="TableContents"/>
              <w:bidi w:val="0"/>
              <w:spacing w:before="0" w:after="283"/>
              <w:jc w:val="left"/>
              <w:rPr/>
            </w:pPr>
            <w:r>
              <w:rPr/>
              <w:t>)</w:t>
            </w:r>
          </w:p>
        </w:tc>
        <w:tc>
          <w:tcPr>
            <w:tcW w:w="31" w:type="dxa"/>
            <w:tcBorders/>
            <w:shd w:fill="CCEEFF" w:val="clear"/>
            <w:vAlign w:val="bottom"/>
          </w:tcPr>
          <w:p>
            <w:pPr>
              <w:pStyle w:val="TableContents"/>
              <w:bidi w:val="0"/>
              <w:spacing w:before="0" w:after="283"/>
              <w:jc w:val="left"/>
              <w:rPr/>
            </w:pPr>
            <w:r>
              <w:rPr/>
            </w:r>
          </w:p>
        </w:tc>
        <w:tc>
          <w:tcPr>
            <w:tcW w:w="189"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329" w:type="dxa"/>
            <w:tcBorders>
              <w:bottom w:val="double" w:sz="7" w:space="0" w:color="000000"/>
            </w:tcBorders>
            <w:shd w:fill="CCEEFF" w:val="clear"/>
            <w:tcMar>
              <w:bottom w:w="28" w:type="dxa"/>
            </w:tcMar>
            <w:vAlign w:val="bottom"/>
          </w:tcPr>
          <w:p>
            <w:pPr>
              <w:pStyle w:val="TableContents"/>
              <w:bidi w:val="0"/>
              <w:spacing w:before="0" w:after="283"/>
              <w:jc w:val="right"/>
              <w:rPr/>
            </w:pPr>
            <w:r>
              <w:rPr/>
              <w:t>(6,777</w:t>
            </w:r>
          </w:p>
        </w:tc>
        <w:tc>
          <w:tcPr>
            <w:tcW w:w="119" w:type="dxa"/>
            <w:tcBorders/>
            <w:shd w:fill="CCEEFF" w:val="clear"/>
            <w:vAlign w:val="bottom"/>
          </w:tcPr>
          <w:p>
            <w:pPr>
              <w:pStyle w:val="TableContents"/>
              <w:bidi w:val="0"/>
              <w:spacing w:before="0" w:after="283"/>
              <w:jc w:val="left"/>
              <w:rPr/>
            </w:pPr>
            <w:r>
              <w:rPr/>
              <w:t>)</w:t>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144" w:right="144" w:hanging="0"/>
        <w:jc w:val="center"/>
        <w:rPr/>
      </w:pPr>
      <w:r>
        <w:rPr/>
        <w:t> </w:t>
      </w:r>
    </w:p>
    <w:p>
      <w:pPr>
        <w:pStyle w:val="TextBody"/>
        <w:bidi w:val="0"/>
        <w:spacing w:lineRule="auto" w:line="288" w:before="0" w:after="0"/>
        <w:ind w:left="144" w:right="144" w:hanging="0"/>
        <w:jc w:val="center"/>
        <w:rPr>
          <w:rFonts w:ascii="Times New Roman" w:hAnsi="Times New Roman"/>
          <w:i/>
          <w:sz w:val="20"/>
        </w:rPr>
      </w:pPr>
      <w:r>
        <w:rPr>
          <w:rFonts w:ascii="Times New Roman" w:hAnsi="Times New Roman"/>
          <w:i/>
          <w:sz w:val="20"/>
        </w:rPr>
        <w:t>See accompanying notes</w:t>
      </w:r>
    </w:p>
    <w:p>
      <w:pPr>
        <w:pStyle w:val="TextBody"/>
        <w:bidi w:val="0"/>
        <w:spacing w:lineRule="auto" w:line="288" w:before="0" w:after="0"/>
        <w:ind w:left="144" w:right="144" w:hanging="0"/>
        <w:jc w:val="center"/>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bookmarkStart w:id="68" w:name="PageBreakNo4"/>
            <w:bookmarkEnd w:id="68"/>
            <w:r>
              <w:rPr>
                <w:sz w:val="20"/>
              </w:rPr>
              <w:t>4</w:t>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jc w:val="left"/>
        <w:rPr/>
      </w:pPr>
      <w:r>
        <w:rPr/>
      </w:r>
    </w:p>
    <w:p>
      <w:pPr>
        <w:pStyle w:val="TextBody"/>
        <w:bidi w:val="0"/>
        <w:spacing w:lineRule="auto" w:line="288"/>
        <w:jc w:val="left"/>
        <w:rPr/>
      </w:pPr>
      <w:hyperlink w:anchor="TOC">
        <w:r>
          <w:rPr>
            <w:rStyle w:val="InternetLink"/>
            <w:rFonts w:ascii="times new roman;times" w:hAnsi="times new roman;times"/>
            <w:sz w:val="20"/>
          </w:rPr>
          <w:t>Table of Contents</w:t>
        </w:r>
      </w:hyperlink>
    </w:p>
    <w:p>
      <w:pPr>
        <w:pStyle w:val="TextBody"/>
        <w:bidi w:val="0"/>
        <w:spacing w:lineRule="auto" w:line="288" w:before="0" w:after="0"/>
        <w:ind w:left="0" w:right="0" w:hanging="0"/>
        <w:jc w:val="left"/>
        <w:rPr/>
      </w:pPr>
      <w:r>
        <w:rPr/>
      </w:r>
    </w:p>
    <w:p>
      <w:pPr>
        <w:pStyle w:val="TextBody"/>
        <w:bidi w:val="0"/>
        <w:spacing w:lineRule="auto" w:line="288" w:before="0" w:after="0"/>
        <w:ind w:left="240" w:right="0" w:hanging="0"/>
        <w:jc w:val="center"/>
        <w:rPr>
          <w:rFonts w:ascii="Times New Roman" w:hAnsi="Times New Roman"/>
          <w:b/>
          <w:sz w:val="20"/>
        </w:rPr>
      </w:pPr>
      <w:r>
        <w:rPr>
          <w:rFonts w:ascii="Times New Roman" w:hAnsi="Times New Roman"/>
          <w:b/>
          <w:sz w:val="20"/>
        </w:rPr>
        <w:t>CLEARONE, INC.</w:t>
      </w:r>
    </w:p>
    <w:p>
      <w:pPr>
        <w:pStyle w:val="TextBody"/>
        <w:bidi w:val="0"/>
        <w:spacing w:lineRule="auto" w:line="288"/>
        <w:ind w:left="144" w:right="144" w:hanging="0"/>
        <w:jc w:val="center"/>
        <w:rPr/>
      </w:pPr>
      <w:hyperlink r:id="rId8">
        <w:bookmarkStart w:id="69" w:name="BE_OCDKM4QLA800000000000000000000"/>
        <w:bookmarkEnd w:id="69"/>
        <w:r>
          <w:rPr>
            <w:rStyle w:val="InternetLink"/>
            <w:rFonts w:ascii="Times New Roman" w:hAnsi="Times New Roman"/>
            <w:b/>
            <w:strike w:val="false"/>
            <w:dstrike w:val="false"/>
            <w:color w:val="000000"/>
            <w:sz w:val="20"/>
            <w:u w:val="none"/>
            <w:effect w:val="none"/>
          </w:rPr>
          <w:t>UNAUDITED CONDENSED CONSOLIDATED STATEMENTS OF CASH FLOWS</w:t>
        </w:r>
      </w:hyperlink>
    </w:p>
    <w:p>
      <w:pPr>
        <w:pStyle w:val="TextBody"/>
        <w:bidi w:val="0"/>
        <w:spacing w:lineRule="auto" w:line="288" w:before="0" w:after="0"/>
        <w:ind w:left="144" w:right="144" w:hanging="0"/>
        <w:jc w:val="center"/>
        <w:rPr>
          <w:rFonts w:ascii="Times New Roman" w:hAnsi="Times New Roman"/>
          <w:sz w:val="20"/>
        </w:rPr>
      </w:pPr>
      <w:r>
        <w:rPr>
          <w:rFonts w:ascii="Times New Roman" w:hAnsi="Times New Roman"/>
          <w:sz w:val="20"/>
        </w:rPr>
        <w:t>(Dollars in thousands, except per share amounts)</w:t>
      </w:r>
    </w:p>
    <w:p>
      <w:pPr>
        <w:pStyle w:val="TextBody"/>
        <w:bidi w:val="0"/>
        <w:spacing w:lineRule="auto" w:line="288"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6788"/>
        <w:gridCol w:w="26"/>
        <w:gridCol w:w="310"/>
        <w:gridCol w:w="1243"/>
        <w:gridCol w:w="173"/>
        <w:gridCol w:w="42"/>
        <w:gridCol w:w="310"/>
        <w:gridCol w:w="1189"/>
        <w:gridCol w:w="124"/>
      </w:tblGrid>
      <w:tr>
        <w:trPr/>
        <w:tc>
          <w:tcPr>
            <w:tcW w:w="6788" w:type="dxa"/>
            <w:tcBorders/>
            <w:vAlign w:val="center"/>
          </w:tcPr>
          <w:p>
            <w:pPr>
              <w:pStyle w:val="TableContents"/>
              <w:bidi w:val="0"/>
              <w:spacing w:before="0" w:after="0"/>
              <w:ind w:left="0" w:right="0" w:hanging="0"/>
              <w:jc w:val="left"/>
              <w:rPr/>
            </w:pPr>
            <w:r>
              <w:rPr/>
            </w:r>
          </w:p>
        </w:tc>
        <w:tc>
          <w:tcPr>
            <w:tcW w:w="26" w:type="dxa"/>
            <w:tcBorders/>
            <w:vAlign w:val="center"/>
          </w:tcPr>
          <w:p>
            <w:pPr>
              <w:pStyle w:val="TableContents"/>
              <w:bidi w:val="0"/>
              <w:spacing w:before="0" w:after="0"/>
              <w:ind w:left="0" w:right="0" w:hanging="0"/>
              <w:jc w:val="left"/>
              <w:rPr/>
            </w:pPr>
            <w:r>
              <w:rPr/>
            </w:r>
          </w:p>
        </w:tc>
        <w:tc>
          <w:tcPr>
            <w:tcW w:w="3267" w:type="dxa"/>
            <w:gridSpan w:val="6"/>
            <w:tcBorders/>
            <w:vAlign w:val="center"/>
          </w:tcPr>
          <w:p>
            <w:pPr>
              <w:pStyle w:val="TableContents"/>
              <w:bidi w:val="0"/>
              <w:spacing w:before="0" w:after="0"/>
              <w:ind w:left="0" w:right="0" w:hanging="0"/>
              <w:jc w:val="center"/>
              <w:rPr>
                <w:rFonts w:ascii="Times New Roman" w:hAnsi="Times New Roman"/>
                <w:b/>
                <w:sz w:val="20"/>
              </w:rPr>
            </w:pPr>
            <w:bookmarkStart w:id="70" w:name="fs_M0PBW2JU4G00000000000000000000FM"/>
            <w:bookmarkStart w:id="71" w:name="fs_5SPG37G29C00000000000000000000FM"/>
            <w:bookmarkEnd w:id="70"/>
            <w:bookmarkEnd w:id="71"/>
            <w:r>
              <w:rPr>
                <w:rFonts w:ascii="Times New Roman" w:hAnsi="Times New Roman"/>
                <w:b/>
                <w:sz w:val="20"/>
              </w:rPr>
              <w:t>Nine months ended September 30,</w:t>
            </w:r>
            <w:r>
              <w:rPr>
                <w:rFonts w:ascii="Times New Roman" w:hAnsi="Times New Roman"/>
                <w:b/>
                <w:sz w:val="20"/>
              </w:rPr>
              <w:t xml:space="preserve"> </w:t>
            </w:r>
          </w:p>
        </w:tc>
        <w:tc>
          <w:tcPr>
            <w:tcW w:w="124" w:type="dxa"/>
            <w:tcBorders/>
            <w:vAlign w:val="center"/>
          </w:tcPr>
          <w:p>
            <w:pPr>
              <w:pStyle w:val="TableContents"/>
              <w:pBdr/>
              <w:bidi w:val="0"/>
              <w:spacing w:before="0" w:after="0"/>
              <w:ind w:left="0" w:right="0" w:hanging="0"/>
              <w:jc w:val="left"/>
              <w:rPr/>
            </w:pPr>
            <w:r>
              <w:rPr/>
            </w:r>
          </w:p>
        </w:tc>
      </w:tr>
      <w:tr>
        <w:trPr/>
        <w:tc>
          <w:tcPr>
            <w:tcW w:w="6788" w:type="dxa"/>
            <w:tcBorders/>
            <w:vAlign w:val="center"/>
          </w:tcPr>
          <w:p>
            <w:pPr>
              <w:pStyle w:val="TableContents"/>
              <w:bidi w:val="0"/>
              <w:spacing w:before="0" w:after="0"/>
              <w:ind w:left="0" w:right="0" w:hanging="0"/>
              <w:jc w:val="left"/>
              <w:rPr/>
            </w:pPr>
            <w:r>
              <w:rPr/>
            </w:r>
          </w:p>
        </w:tc>
        <w:tc>
          <w:tcPr>
            <w:tcW w:w="26" w:type="dxa"/>
            <w:tcBorders/>
            <w:vAlign w:val="center"/>
          </w:tcPr>
          <w:p>
            <w:pPr>
              <w:pStyle w:val="TableContents"/>
              <w:bidi w:val="0"/>
              <w:spacing w:before="0" w:after="0"/>
              <w:ind w:left="0" w:right="0" w:hanging="0"/>
              <w:jc w:val="left"/>
              <w:rPr/>
            </w:pPr>
            <w:r>
              <w:rPr/>
            </w:r>
          </w:p>
        </w:tc>
        <w:tc>
          <w:tcPr>
            <w:tcW w:w="1553" w:type="dxa"/>
            <w:gridSpan w:val="2"/>
            <w:tcBorders/>
            <w:vAlign w:val="center"/>
          </w:tcPr>
          <w:p>
            <w:pPr>
              <w:pStyle w:val="TableContents"/>
              <w:bidi w:val="0"/>
              <w:spacing w:before="0" w:after="0"/>
              <w:ind w:left="0" w:right="0" w:hanging="0"/>
              <w:jc w:val="center"/>
              <w:rPr>
                <w:rFonts w:ascii="Times New Roman" w:hAnsi="Times New Roman"/>
                <w:b/>
                <w:sz w:val="20"/>
              </w:rPr>
            </w:pPr>
            <w:bookmarkStart w:id="72" w:name="fs_TW459CF58W00000000000000000000fs"/>
            <w:bookmarkEnd w:id="72"/>
            <w:r>
              <w:rPr>
                <w:rFonts w:ascii="Times New Roman" w:hAnsi="Times New Roman"/>
                <w:b/>
                <w:sz w:val="20"/>
              </w:rPr>
              <w:t xml:space="preserve">2025 </w:t>
            </w:r>
          </w:p>
        </w:tc>
        <w:tc>
          <w:tcPr>
            <w:tcW w:w="173" w:type="dxa"/>
            <w:tcBorders/>
            <w:vAlign w:val="center"/>
          </w:tcPr>
          <w:p>
            <w:pPr>
              <w:pStyle w:val="TableContents"/>
              <w:pBdr/>
              <w:bidi w:val="0"/>
              <w:spacing w:before="0" w:after="0"/>
              <w:ind w:left="0" w:right="0" w:hanging="0"/>
              <w:jc w:val="left"/>
              <w:rPr/>
            </w:pPr>
            <w:r>
              <w:rPr/>
            </w:r>
          </w:p>
        </w:tc>
        <w:tc>
          <w:tcPr>
            <w:tcW w:w="42" w:type="dxa"/>
            <w:tcBorders/>
            <w:vAlign w:val="center"/>
          </w:tcPr>
          <w:p>
            <w:pPr>
              <w:pStyle w:val="TableContents"/>
              <w:pBdr/>
              <w:bidi w:val="0"/>
              <w:spacing w:before="0" w:after="0"/>
              <w:ind w:left="0" w:right="0" w:hanging="0"/>
              <w:jc w:val="left"/>
              <w:rPr/>
            </w:pPr>
            <w:r>
              <w:rPr/>
            </w:r>
          </w:p>
        </w:tc>
        <w:tc>
          <w:tcPr>
            <w:tcW w:w="1499" w:type="dxa"/>
            <w:gridSpan w:val="2"/>
            <w:tcBorders/>
            <w:vAlign w:val="center"/>
          </w:tcPr>
          <w:p>
            <w:pPr>
              <w:pStyle w:val="TableContents"/>
              <w:bidi w:val="0"/>
              <w:spacing w:before="0" w:after="0"/>
              <w:ind w:left="0" w:right="0" w:hanging="0"/>
              <w:jc w:val="center"/>
              <w:rPr>
                <w:rFonts w:ascii="Times New Roman" w:hAnsi="Times New Roman"/>
                <w:b/>
                <w:sz w:val="20"/>
              </w:rPr>
            </w:pPr>
            <w:bookmarkStart w:id="73" w:name="fs_0PNK0G9Q9S00000000000000000000fs"/>
            <w:bookmarkEnd w:id="73"/>
            <w:r>
              <w:rPr>
                <w:rFonts w:ascii="Times New Roman" w:hAnsi="Times New Roman"/>
                <w:b/>
                <w:sz w:val="20"/>
              </w:rPr>
              <w:t xml:space="preserve">2024 </w:t>
            </w:r>
          </w:p>
        </w:tc>
        <w:tc>
          <w:tcPr>
            <w:tcW w:w="124" w:type="dxa"/>
            <w:tcBorders/>
            <w:vAlign w:val="center"/>
          </w:tcPr>
          <w:p>
            <w:pPr>
              <w:pStyle w:val="TableContents"/>
              <w:pBdr/>
              <w:bidi w:val="0"/>
              <w:spacing w:before="0" w:after="0"/>
              <w:ind w:left="0" w:right="0" w:hanging="0"/>
              <w:jc w:val="left"/>
              <w:rPr/>
            </w:pPr>
            <w:r>
              <w:rPr/>
            </w:r>
          </w:p>
        </w:tc>
      </w:tr>
      <w:tr>
        <w:trPr/>
        <w:tc>
          <w:tcPr>
            <w:tcW w:w="678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Cash flows from operating activities: </w:t>
            </w:r>
          </w:p>
        </w:tc>
        <w:tc>
          <w:tcPr>
            <w:tcW w:w="26" w:type="dxa"/>
            <w:tcBorders/>
            <w:shd w:fill="CCEEFF" w:val="clear"/>
            <w:vAlign w:val="center"/>
          </w:tcPr>
          <w:p>
            <w:pPr>
              <w:pStyle w:val="TableContents"/>
              <w:pBdr/>
              <w:bidi w:val="0"/>
              <w:spacing w:before="0" w:after="0"/>
              <w:ind w:left="0" w:right="0" w:hanging="0"/>
              <w:jc w:val="left"/>
              <w:rPr/>
            </w:pPr>
            <w:r>
              <w:rPr/>
            </w:r>
          </w:p>
        </w:tc>
        <w:tc>
          <w:tcPr>
            <w:tcW w:w="310" w:type="dxa"/>
            <w:tcBorders/>
            <w:shd w:fill="CCEEFF" w:val="clear"/>
            <w:vAlign w:val="center"/>
          </w:tcPr>
          <w:p>
            <w:pPr>
              <w:pStyle w:val="TableContents"/>
              <w:pBdr/>
              <w:bidi w:val="0"/>
              <w:spacing w:before="0" w:after="0"/>
              <w:ind w:left="0" w:right="0" w:hanging="0"/>
              <w:jc w:val="left"/>
              <w:rPr/>
            </w:pPr>
            <w:r>
              <w:rPr/>
            </w:r>
          </w:p>
        </w:tc>
        <w:tc>
          <w:tcPr>
            <w:tcW w:w="1243" w:type="dxa"/>
            <w:tcBorders/>
            <w:shd w:fill="CCEEFF" w:val="clear"/>
            <w:vAlign w:val="center"/>
          </w:tcPr>
          <w:p>
            <w:pPr>
              <w:pStyle w:val="TableContents"/>
              <w:bidi w:val="0"/>
              <w:spacing w:before="0" w:after="0"/>
              <w:ind w:left="0" w:right="0" w:hanging="0"/>
              <w:jc w:val="left"/>
              <w:rPr/>
            </w:pPr>
            <w:r>
              <w:rPr/>
            </w:r>
          </w:p>
        </w:tc>
        <w:tc>
          <w:tcPr>
            <w:tcW w:w="173" w:type="dxa"/>
            <w:tcBorders/>
            <w:shd w:fill="CCEEFF" w:val="clear"/>
            <w:vAlign w:val="center"/>
          </w:tcPr>
          <w:p>
            <w:pPr>
              <w:pStyle w:val="TableContents"/>
              <w:pBdr/>
              <w:bidi w:val="0"/>
              <w:spacing w:before="0" w:after="0"/>
              <w:ind w:left="0" w:right="0" w:hanging="0"/>
              <w:jc w:val="left"/>
              <w:rPr/>
            </w:pPr>
            <w:r>
              <w:rPr/>
            </w:r>
          </w:p>
        </w:tc>
        <w:tc>
          <w:tcPr>
            <w:tcW w:w="42" w:type="dxa"/>
            <w:tcBorders/>
            <w:shd w:fill="CCEEFF" w:val="clear"/>
            <w:vAlign w:val="center"/>
          </w:tcPr>
          <w:p>
            <w:pPr>
              <w:pStyle w:val="TableContents"/>
              <w:pBdr/>
              <w:bidi w:val="0"/>
              <w:spacing w:before="0" w:after="0"/>
              <w:ind w:left="0" w:right="0" w:hanging="0"/>
              <w:jc w:val="left"/>
              <w:rPr/>
            </w:pPr>
            <w:r>
              <w:rPr/>
            </w:r>
          </w:p>
        </w:tc>
        <w:tc>
          <w:tcPr>
            <w:tcW w:w="310" w:type="dxa"/>
            <w:tcBorders/>
            <w:shd w:fill="CCEEFF" w:val="clear"/>
            <w:vAlign w:val="center"/>
          </w:tcPr>
          <w:p>
            <w:pPr>
              <w:pStyle w:val="TableContents"/>
              <w:bidi w:val="0"/>
              <w:spacing w:before="0" w:after="0"/>
              <w:ind w:left="0" w:right="0" w:hanging="0"/>
              <w:jc w:val="left"/>
              <w:rPr/>
            </w:pPr>
            <w:r>
              <w:rPr/>
            </w:r>
          </w:p>
        </w:tc>
        <w:tc>
          <w:tcPr>
            <w:tcW w:w="1189" w:type="dxa"/>
            <w:tcBorders/>
            <w:shd w:fill="CCEEFF" w:val="clear"/>
            <w:vAlign w:val="center"/>
          </w:tcPr>
          <w:p>
            <w:pPr>
              <w:pStyle w:val="TableContents"/>
              <w:bidi w:val="0"/>
              <w:spacing w:before="0" w:after="0"/>
              <w:ind w:left="0" w:right="0" w:hanging="0"/>
              <w:jc w:val="left"/>
              <w:rPr/>
            </w:pPr>
            <w:r>
              <w:rPr/>
            </w:r>
          </w:p>
        </w:tc>
        <w:tc>
          <w:tcPr>
            <w:tcW w:w="124" w:type="dxa"/>
            <w:tcBorders/>
            <w:shd w:fill="CCEEFF" w:val="clear"/>
            <w:vAlign w:val="center"/>
          </w:tcPr>
          <w:p>
            <w:pPr>
              <w:pStyle w:val="TableContents"/>
              <w:pBdr/>
              <w:bidi w:val="0"/>
              <w:spacing w:before="0" w:after="0"/>
              <w:ind w:left="0" w:right="0" w:hanging="0"/>
              <w:jc w:val="left"/>
              <w:rPr/>
            </w:pPr>
            <w:r>
              <w:rPr/>
            </w:r>
          </w:p>
        </w:tc>
      </w:tr>
      <w:tr>
        <w:trPr/>
        <w:tc>
          <w:tcPr>
            <w:tcW w:w="678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Net loss </w:t>
            </w:r>
          </w:p>
        </w:tc>
        <w:tc>
          <w:tcPr>
            <w:tcW w:w="26" w:type="dxa"/>
            <w:tcBorders/>
            <w:vAlign w:val="center"/>
          </w:tcPr>
          <w:p>
            <w:pPr>
              <w:pStyle w:val="TableContents"/>
              <w:pBdr/>
              <w:bidi w:val="0"/>
              <w:spacing w:before="0" w:after="0"/>
              <w:ind w:left="0" w:right="0" w:hanging="0"/>
              <w:jc w:val="left"/>
              <w:rPr/>
            </w:pPr>
            <w:r>
              <w:rPr/>
            </w:r>
          </w:p>
        </w:tc>
        <w:tc>
          <w:tcPr>
            <w:tcW w:w="310" w:type="dxa"/>
            <w:tcBorders/>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243"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(21,142</w:t>
            </w:r>
          </w:p>
        </w:tc>
        <w:tc>
          <w:tcPr>
            <w:tcW w:w="173" w:type="dxa"/>
            <w:tcBorders/>
            <w:vAlign w:val="center"/>
          </w:tcPr>
          <w:p>
            <w:pPr>
              <w:pStyle w:val="TableContents"/>
              <w:bidi w:val="0"/>
              <w:spacing w:before="0" w:after="0"/>
              <w:ind w:left="0" w:right="0" w:hanging="0"/>
              <w:jc w:val="left"/>
              <w:rPr/>
            </w:pPr>
            <w:r>
              <w:rPr/>
              <w:t>)</w:t>
            </w:r>
          </w:p>
        </w:tc>
        <w:tc>
          <w:tcPr>
            <w:tcW w:w="42" w:type="dxa"/>
            <w:tcBorders/>
            <w:vAlign w:val="center"/>
          </w:tcPr>
          <w:p>
            <w:pPr>
              <w:pStyle w:val="TableContents"/>
              <w:pBdr/>
              <w:bidi w:val="0"/>
              <w:spacing w:before="0" w:after="0"/>
              <w:ind w:left="0" w:right="0" w:hanging="0"/>
              <w:jc w:val="left"/>
              <w:rPr/>
            </w:pPr>
            <w:r>
              <w:rPr/>
            </w:r>
          </w:p>
        </w:tc>
        <w:tc>
          <w:tcPr>
            <w:tcW w:w="310" w:type="dxa"/>
            <w:tcBorders/>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189"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(6,780</w:t>
            </w:r>
          </w:p>
        </w:tc>
        <w:tc>
          <w:tcPr>
            <w:tcW w:w="124" w:type="dxa"/>
            <w:tcBorders/>
            <w:vAlign w:val="center"/>
          </w:tcPr>
          <w:p>
            <w:pPr>
              <w:pStyle w:val="TableContents"/>
              <w:bidi w:val="0"/>
              <w:spacing w:before="0" w:after="0"/>
              <w:jc w:val="left"/>
              <w:rPr/>
            </w:pPr>
            <w:r>
              <w:rPr/>
              <w:t>)</w:t>
            </w:r>
          </w:p>
        </w:tc>
      </w:tr>
      <w:tr>
        <w:trPr/>
        <w:tc>
          <w:tcPr>
            <w:tcW w:w="6788" w:type="dxa"/>
            <w:tcBorders/>
            <w:shd w:fill="CCEEFF" w:val="clear"/>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Adjustments to reconcile net loss to net cash used in operating activities:</w:t>
            </w:r>
          </w:p>
        </w:tc>
        <w:tc>
          <w:tcPr>
            <w:tcW w:w="26" w:type="dxa"/>
            <w:tcBorders/>
            <w:shd w:fill="CCEEFF" w:val="clear"/>
            <w:vAlign w:val="center"/>
          </w:tcPr>
          <w:p>
            <w:pPr>
              <w:pStyle w:val="TableContents"/>
              <w:bidi w:val="0"/>
              <w:spacing w:before="0" w:after="283"/>
              <w:ind w:left="0" w:right="0" w:hanging="0"/>
              <w:jc w:val="left"/>
              <w:rPr/>
            </w:pPr>
            <w:r>
              <w:rPr/>
            </w:r>
          </w:p>
        </w:tc>
        <w:tc>
          <w:tcPr>
            <w:tcW w:w="310" w:type="dxa"/>
            <w:tcBorders/>
            <w:shd w:fill="CCEEFF" w:val="clear"/>
            <w:vAlign w:val="center"/>
          </w:tcPr>
          <w:p>
            <w:pPr>
              <w:pStyle w:val="TableContents"/>
              <w:bidi w:val="0"/>
              <w:spacing w:before="0" w:after="283"/>
              <w:jc w:val="left"/>
              <w:rPr/>
            </w:pPr>
            <w:r>
              <w:rPr/>
            </w:r>
          </w:p>
        </w:tc>
        <w:tc>
          <w:tcPr>
            <w:tcW w:w="1243" w:type="dxa"/>
            <w:tcBorders/>
            <w:shd w:fill="CCEEFF" w:val="clear"/>
            <w:vAlign w:val="center"/>
          </w:tcPr>
          <w:p>
            <w:pPr>
              <w:pStyle w:val="TableContents"/>
              <w:bidi w:val="0"/>
              <w:spacing w:before="0" w:after="283"/>
              <w:ind w:left="0" w:right="0" w:hanging="0"/>
              <w:jc w:val="left"/>
              <w:rPr/>
            </w:pPr>
            <w:r>
              <w:rPr/>
            </w:r>
          </w:p>
        </w:tc>
        <w:tc>
          <w:tcPr>
            <w:tcW w:w="173" w:type="dxa"/>
            <w:tcBorders/>
            <w:shd w:fill="CCEEFF" w:val="clear"/>
            <w:vAlign w:val="center"/>
          </w:tcPr>
          <w:p>
            <w:pPr>
              <w:pStyle w:val="TableContents"/>
              <w:bidi w:val="0"/>
              <w:spacing w:before="0" w:after="283"/>
              <w:ind w:left="0" w:right="0" w:hanging="0"/>
              <w:jc w:val="left"/>
              <w:rPr/>
            </w:pPr>
            <w:r>
              <w:rPr/>
            </w:r>
          </w:p>
        </w:tc>
        <w:tc>
          <w:tcPr>
            <w:tcW w:w="42" w:type="dxa"/>
            <w:tcBorders/>
            <w:shd w:fill="CCEEFF" w:val="clear"/>
            <w:vAlign w:val="center"/>
          </w:tcPr>
          <w:p>
            <w:pPr>
              <w:pStyle w:val="TableContents"/>
              <w:bidi w:val="0"/>
              <w:spacing w:before="0" w:after="283"/>
              <w:ind w:left="0" w:right="0" w:hanging="0"/>
              <w:jc w:val="left"/>
              <w:rPr/>
            </w:pPr>
            <w:r>
              <w:rPr/>
            </w:r>
          </w:p>
        </w:tc>
        <w:tc>
          <w:tcPr>
            <w:tcW w:w="310" w:type="dxa"/>
            <w:tcBorders/>
            <w:shd w:fill="CCEEFF" w:val="clear"/>
            <w:vAlign w:val="center"/>
          </w:tcPr>
          <w:p>
            <w:pPr>
              <w:pStyle w:val="TableContents"/>
              <w:bidi w:val="0"/>
              <w:spacing w:before="0" w:after="283"/>
              <w:jc w:val="left"/>
              <w:rPr/>
            </w:pPr>
            <w:r>
              <w:rPr/>
            </w:r>
          </w:p>
        </w:tc>
        <w:tc>
          <w:tcPr>
            <w:tcW w:w="1189" w:type="dxa"/>
            <w:tcBorders/>
            <w:shd w:fill="CCEEFF" w:val="clear"/>
            <w:vAlign w:val="center"/>
          </w:tcPr>
          <w:p>
            <w:pPr>
              <w:pStyle w:val="TableContents"/>
              <w:bidi w:val="0"/>
              <w:spacing w:before="0" w:after="283"/>
              <w:ind w:left="0" w:right="0" w:hanging="0"/>
              <w:jc w:val="left"/>
              <w:rPr/>
            </w:pPr>
            <w:r>
              <w:rPr/>
            </w:r>
          </w:p>
        </w:tc>
        <w:tc>
          <w:tcPr>
            <w:tcW w:w="124" w:type="dxa"/>
            <w:tcBorders/>
            <w:shd w:fill="CCEEFF" w:val="clear"/>
            <w:vAlign w:val="center"/>
          </w:tcPr>
          <w:p>
            <w:pPr>
              <w:pStyle w:val="TableContents"/>
              <w:bidi w:val="0"/>
              <w:spacing w:before="0" w:after="283"/>
              <w:jc w:val="left"/>
              <w:rPr/>
            </w:pPr>
            <w:r>
              <w:rPr/>
            </w:r>
          </w:p>
        </w:tc>
      </w:tr>
      <w:tr>
        <w:trPr/>
        <w:tc>
          <w:tcPr>
            <w:tcW w:w="6788" w:type="dxa"/>
            <w:tcBorders/>
            <w:vAlign w:val="center"/>
          </w:tcPr>
          <w:p>
            <w:pPr>
              <w:pStyle w:val="TableContents"/>
              <w:bidi w:val="0"/>
              <w:spacing w:before="0" w:after="283"/>
              <w:ind w:left="0" w:right="0" w:hanging="0"/>
              <w:jc w:val="left"/>
              <w:rPr/>
            </w:pPr>
            <w:r>
              <w:rPr/>
              <w:t>Net loss from discontinued operations</w:t>
            </w:r>
          </w:p>
        </w:tc>
        <w:tc>
          <w:tcPr>
            <w:tcW w:w="26" w:type="dxa"/>
            <w:tcBorders/>
            <w:vAlign w:val="center"/>
          </w:tcPr>
          <w:p>
            <w:pPr>
              <w:pStyle w:val="TableContents"/>
              <w:bidi w:val="0"/>
              <w:spacing w:before="0" w:after="283"/>
              <w:ind w:left="0" w:right="0" w:hanging="0"/>
              <w:jc w:val="left"/>
              <w:rPr/>
            </w:pPr>
            <w:r>
              <w:rPr/>
            </w:r>
          </w:p>
        </w:tc>
        <w:tc>
          <w:tcPr>
            <w:tcW w:w="310" w:type="dxa"/>
            <w:tcBorders/>
            <w:vAlign w:val="center"/>
          </w:tcPr>
          <w:p>
            <w:pPr>
              <w:pStyle w:val="TableContents"/>
              <w:bidi w:val="0"/>
              <w:spacing w:before="0" w:after="283"/>
              <w:jc w:val="left"/>
              <w:rPr/>
            </w:pPr>
            <w:r>
              <w:rPr/>
            </w:r>
          </w:p>
        </w:tc>
        <w:tc>
          <w:tcPr>
            <w:tcW w:w="1243" w:type="dxa"/>
            <w:tcBorders/>
            <w:vAlign w:val="center"/>
          </w:tcPr>
          <w:p>
            <w:pPr>
              <w:pStyle w:val="TableContents"/>
              <w:bidi w:val="0"/>
              <w:spacing w:before="0" w:after="283"/>
              <w:ind w:left="0" w:right="0" w:hanging="0"/>
              <w:jc w:val="right"/>
              <w:rPr/>
            </w:pPr>
            <w:r>
              <w:rPr/>
              <w:t>17,864</w:t>
            </w:r>
          </w:p>
        </w:tc>
        <w:tc>
          <w:tcPr>
            <w:tcW w:w="173" w:type="dxa"/>
            <w:tcBorders/>
            <w:vAlign w:val="center"/>
          </w:tcPr>
          <w:p>
            <w:pPr>
              <w:pStyle w:val="TableContents"/>
              <w:bidi w:val="0"/>
              <w:spacing w:before="0" w:after="283"/>
              <w:ind w:left="0" w:right="0" w:hanging="0"/>
              <w:jc w:val="left"/>
              <w:rPr/>
            </w:pPr>
            <w:r>
              <w:rPr/>
            </w:r>
          </w:p>
        </w:tc>
        <w:tc>
          <w:tcPr>
            <w:tcW w:w="42" w:type="dxa"/>
            <w:tcBorders/>
            <w:vAlign w:val="center"/>
          </w:tcPr>
          <w:p>
            <w:pPr>
              <w:pStyle w:val="TableContents"/>
              <w:bidi w:val="0"/>
              <w:spacing w:before="0" w:after="283"/>
              <w:ind w:left="0" w:right="0" w:hanging="0"/>
              <w:jc w:val="left"/>
              <w:rPr/>
            </w:pPr>
            <w:r>
              <w:rPr/>
            </w:r>
          </w:p>
        </w:tc>
        <w:tc>
          <w:tcPr>
            <w:tcW w:w="310" w:type="dxa"/>
            <w:tcBorders/>
            <w:vAlign w:val="center"/>
          </w:tcPr>
          <w:p>
            <w:pPr>
              <w:pStyle w:val="TableContents"/>
              <w:bidi w:val="0"/>
              <w:spacing w:before="0" w:after="283"/>
              <w:jc w:val="left"/>
              <w:rPr/>
            </w:pPr>
            <w:r>
              <w:rPr/>
            </w:r>
          </w:p>
        </w:tc>
        <w:tc>
          <w:tcPr>
            <w:tcW w:w="1189" w:type="dxa"/>
            <w:tcBorders/>
            <w:vAlign w:val="center"/>
          </w:tcPr>
          <w:p>
            <w:pPr>
              <w:pStyle w:val="TableContents"/>
              <w:bidi w:val="0"/>
              <w:spacing w:before="0" w:after="283"/>
              <w:ind w:left="0" w:right="0" w:hanging="0"/>
              <w:jc w:val="right"/>
              <w:rPr/>
            </w:pPr>
            <w:r>
              <w:rPr/>
              <w:t>4,694</w:t>
            </w:r>
          </w:p>
        </w:tc>
        <w:tc>
          <w:tcPr>
            <w:tcW w:w="124" w:type="dxa"/>
            <w:tcBorders/>
            <w:vAlign w:val="center"/>
          </w:tcPr>
          <w:p>
            <w:pPr>
              <w:pStyle w:val="TableContents"/>
              <w:bidi w:val="0"/>
              <w:spacing w:before="0" w:after="283"/>
              <w:jc w:val="left"/>
              <w:rPr/>
            </w:pPr>
            <w:r>
              <w:rPr/>
            </w:r>
          </w:p>
        </w:tc>
      </w:tr>
      <w:tr>
        <w:trPr/>
        <w:tc>
          <w:tcPr>
            <w:tcW w:w="678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Amortization of right-of-use assets </w:t>
            </w:r>
          </w:p>
        </w:tc>
        <w:tc>
          <w:tcPr>
            <w:tcW w:w="26" w:type="dxa"/>
            <w:tcBorders/>
            <w:shd w:fill="CCEEFF" w:val="clear"/>
            <w:vAlign w:val="center"/>
          </w:tcPr>
          <w:p>
            <w:pPr>
              <w:pStyle w:val="TableContents"/>
              <w:pBdr/>
              <w:bidi w:val="0"/>
              <w:spacing w:before="0" w:after="0"/>
              <w:ind w:left="0" w:right="0" w:hanging="0"/>
              <w:jc w:val="left"/>
              <w:rPr/>
            </w:pPr>
            <w:r>
              <w:rPr/>
            </w:r>
          </w:p>
        </w:tc>
        <w:tc>
          <w:tcPr>
            <w:tcW w:w="310" w:type="dxa"/>
            <w:tcBorders/>
            <w:shd w:fill="CCEEFF" w:val="clear"/>
            <w:vAlign w:val="center"/>
          </w:tcPr>
          <w:p>
            <w:pPr>
              <w:pStyle w:val="TableContents"/>
              <w:pBdr/>
              <w:bidi w:val="0"/>
              <w:spacing w:before="0" w:after="0"/>
              <w:ind w:left="0" w:right="0" w:hanging="0"/>
              <w:jc w:val="left"/>
              <w:rPr/>
            </w:pPr>
            <w:r>
              <w:rPr/>
            </w:r>
          </w:p>
        </w:tc>
        <w:tc>
          <w:tcPr>
            <w:tcW w:w="124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204</w:t>
            </w:r>
          </w:p>
        </w:tc>
        <w:tc>
          <w:tcPr>
            <w:tcW w:w="173" w:type="dxa"/>
            <w:tcBorders/>
            <w:shd w:fill="CCEEFF" w:val="clear"/>
            <w:vAlign w:val="center"/>
          </w:tcPr>
          <w:p>
            <w:pPr>
              <w:pStyle w:val="TableContents"/>
              <w:pBdr/>
              <w:bidi w:val="0"/>
              <w:spacing w:before="0" w:after="0"/>
              <w:ind w:left="0" w:right="0" w:hanging="0"/>
              <w:jc w:val="left"/>
              <w:rPr/>
            </w:pPr>
            <w:r>
              <w:rPr/>
            </w:r>
          </w:p>
        </w:tc>
        <w:tc>
          <w:tcPr>
            <w:tcW w:w="42" w:type="dxa"/>
            <w:tcBorders/>
            <w:shd w:fill="CCEEFF" w:val="clear"/>
            <w:vAlign w:val="center"/>
          </w:tcPr>
          <w:p>
            <w:pPr>
              <w:pStyle w:val="TableContents"/>
              <w:pBdr/>
              <w:bidi w:val="0"/>
              <w:spacing w:before="0" w:after="0"/>
              <w:ind w:left="0" w:right="0" w:hanging="0"/>
              <w:jc w:val="left"/>
              <w:rPr/>
            </w:pPr>
            <w:r>
              <w:rPr/>
            </w:r>
          </w:p>
        </w:tc>
        <w:tc>
          <w:tcPr>
            <w:tcW w:w="310" w:type="dxa"/>
            <w:tcBorders/>
            <w:shd w:fill="CCEEFF" w:val="clear"/>
            <w:vAlign w:val="center"/>
          </w:tcPr>
          <w:p>
            <w:pPr>
              <w:pStyle w:val="TableContents"/>
              <w:pBdr/>
              <w:bidi w:val="0"/>
              <w:spacing w:before="0" w:after="0"/>
              <w:ind w:left="0" w:right="0" w:hanging="0"/>
              <w:jc w:val="left"/>
              <w:rPr/>
            </w:pPr>
            <w:r>
              <w:rPr/>
            </w:r>
          </w:p>
        </w:tc>
        <w:tc>
          <w:tcPr>
            <w:tcW w:w="118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272</w:t>
            </w:r>
          </w:p>
        </w:tc>
        <w:tc>
          <w:tcPr>
            <w:tcW w:w="124" w:type="dxa"/>
            <w:tcBorders/>
            <w:shd w:fill="CCEEFF" w:val="clear"/>
            <w:vAlign w:val="center"/>
          </w:tcPr>
          <w:p>
            <w:pPr>
              <w:pStyle w:val="TableContents"/>
              <w:pBdr/>
              <w:bidi w:val="0"/>
              <w:spacing w:before="0" w:after="0"/>
              <w:ind w:left="0" w:right="0" w:hanging="0"/>
              <w:jc w:val="left"/>
              <w:rPr/>
            </w:pPr>
            <w:r>
              <w:rPr/>
            </w:r>
          </w:p>
        </w:tc>
      </w:tr>
      <w:tr>
        <w:trPr/>
        <w:tc>
          <w:tcPr>
            <w:tcW w:w="678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Share-based compensation expense </w:t>
            </w:r>
          </w:p>
        </w:tc>
        <w:tc>
          <w:tcPr>
            <w:tcW w:w="26" w:type="dxa"/>
            <w:tcBorders/>
            <w:vAlign w:val="center"/>
          </w:tcPr>
          <w:p>
            <w:pPr>
              <w:pStyle w:val="TableContents"/>
              <w:pBdr/>
              <w:bidi w:val="0"/>
              <w:spacing w:before="0" w:after="0"/>
              <w:ind w:left="0" w:right="0" w:hanging="0"/>
              <w:jc w:val="left"/>
              <w:rPr/>
            </w:pPr>
            <w:r>
              <w:rPr/>
            </w:r>
          </w:p>
        </w:tc>
        <w:tc>
          <w:tcPr>
            <w:tcW w:w="310" w:type="dxa"/>
            <w:tcBorders/>
            <w:vAlign w:val="center"/>
          </w:tcPr>
          <w:p>
            <w:pPr>
              <w:pStyle w:val="TableContents"/>
              <w:pBdr/>
              <w:bidi w:val="0"/>
              <w:spacing w:before="0" w:after="0"/>
              <w:ind w:left="0" w:right="0" w:hanging="0"/>
              <w:jc w:val="left"/>
              <w:rPr/>
            </w:pPr>
            <w:r>
              <w:rPr/>
            </w:r>
          </w:p>
        </w:tc>
        <w:tc>
          <w:tcPr>
            <w:tcW w:w="1243"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66 </w:t>
            </w:r>
          </w:p>
        </w:tc>
        <w:tc>
          <w:tcPr>
            <w:tcW w:w="173" w:type="dxa"/>
            <w:tcBorders/>
            <w:vAlign w:val="center"/>
          </w:tcPr>
          <w:p>
            <w:pPr>
              <w:pStyle w:val="TableContents"/>
              <w:pBdr/>
              <w:bidi w:val="0"/>
              <w:spacing w:before="0" w:after="0"/>
              <w:ind w:left="0" w:right="0" w:hanging="0"/>
              <w:jc w:val="left"/>
              <w:rPr/>
            </w:pPr>
            <w:r>
              <w:rPr/>
            </w:r>
          </w:p>
        </w:tc>
        <w:tc>
          <w:tcPr>
            <w:tcW w:w="42" w:type="dxa"/>
            <w:tcBorders/>
            <w:vAlign w:val="center"/>
          </w:tcPr>
          <w:p>
            <w:pPr>
              <w:pStyle w:val="TableContents"/>
              <w:pBdr/>
              <w:bidi w:val="0"/>
              <w:spacing w:before="0" w:after="0"/>
              <w:ind w:left="0" w:right="0" w:hanging="0"/>
              <w:jc w:val="left"/>
              <w:rPr/>
            </w:pPr>
            <w:r>
              <w:rPr/>
            </w:r>
          </w:p>
        </w:tc>
        <w:tc>
          <w:tcPr>
            <w:tcW w:w="310" w:type="dxa"/>
            <w:tcBorders/>
            <w:vAlign w:val="center"/>
          </w:tcPr>
          <w:p>
            <w:pPr>
              <w:pStyle w:val="TableContents"/>
              <w:pBdr/>
              <w:bidi w:val="0"/>
              <w:spacing w:before="0" w:after="0"/>
              <w:ind w:left="0" w:right="0" w:hanging="0"/>
              <w:jc w:val="left"/>
              <w:rPr/>
            </w:pPr>
            <w:r>
              <w:rPr/>
            </w:r>
          </w:p>
        </w:tc>
        <w:tc>
          <w:tcPr>
            <w:tcW w:w="1189"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73 </w:t>
            </w:r>
          </w:p>
        </w:tc>
        <w:tc>
          <w:tcPr>
            <w:tcW w:w="124" w:type="dxa"/>
            <w:tcBorders/>
            <w:vAlign w:val="center"/>
          </w:tcPr>
          <w:p>
            <w:pPr>
              <w:pStyle w:val="TableContents"/>
              <w:pBdr/>
              <w:bidi w:val="0"/>
              <w:spacing w:before="0" w:after="0"/>
              <w:ind w:left="0" w:right="0" w:hanging="0"/>
              <w:jc w:val="left"/>
              <w:rPr/>
            </w:pPr>
            <w:r>
              <w:rPr/>
            </w:r>
          </w:p>
        </w:tc>
      </w:tr>
      <w:tr>
        <w:trPr/>
        <w:tc>
          <w:tcPr>
            <w:tcW w:w="6788" w:type="dxa"/>
            <w:tcBorders/>
            <w:shd w:fill="CCEEFF" w:val="clear"/>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Non-cash interest expense</w:t>
            </w:r>
          </w:p>
        </w:tc>
        <w:tc>
          <w:tcPr>
            <w:tcW w:w="26" w:type="dxa"/>
            <w:tcBorders/>
            <w:shd w:fill="CCEEFF" w:val="clear"/>
            <w:vAlign w:val="center"/>
          </w:tcPr>
          <w:p>
            <w:pPr>
              <w:pStyle w:val="TableContents"/>
              <w:bidi w:val="0"/>
              <w:spacing w:before="0" w:after="283"/>
              <w:ind w:left="0" w:right="0" w:hanging="0"/>
              <w:jc w:val="left"/>
              <w:rPr/>
            </w:pPr>
            <w:r>
              <w:rPr/>
            </w:r>
          </w:p>
        </w:tc>
        <w:tc>
          <w:tcPr>
            <w:tcW w:w="310" w:type="dxa"/>
            <w:tcBorders/>
            <w:shd w:fill="CCEEFF" w:val="clear"/>
            <w:vAlign w:val="center"/>
          </w:tcPr>
          <w:p>
            <w:pPr>
              <w:pStyle w:val="TableContents"/>
              <w:bidi w:val="0"/>
              <w:spacing w:before="0" w:after="283"/>
              <w:jc w:val="left"/>
              <w:rPr/>
            </w:pPr>
            <w:r>
              <w:rPr/>
            </w:r>
          </w:p>
        </w:tc>
        <w:tc>
          <w:tcPr>
            <w:tcW w:w="1243" w:type="dxa"/>
            <w:tcBorders/>
            <w:shd w:fill="CCEEFF" w:val="clear"/>
            <w:vAlign w:val="center"/>
          </w:tcPr>
          <w:p>
            <w:pPr>
              <w:pStyle w:val="TableContents"/>
              <w:bidi w:val="0"/>
              <w:spacing w:before="0" w:after="283"/>
              <w:ind w:left="0" w:right="0" w:hanging="0"/>
              <w:jc w:val="right"/>
              <w:rPr/>
            </w:pPr>
            <w:r>
              <w:rPr/>
              <w:t>28</w:t>
            </w:r>
          </w:p>
        </w:tc>
        <w:tc>
          <w:tcPr>
            <w:tcW w:w="173"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42" w:type="dxa"/>
            <w:tcBorders/>
            <w:shd w:fill="CCEEFF" w:val="clear"/>
            <w:vAlign w:val="center"/>
          </w:tcPr>
          <w:p>
            <w:pPr>
              <w:pStyle w:val="TableContents"/>
              <w:bidi w:val="0"/>
              <w:spacing w:before="0" w:after="283"/>
              <w:ind w:left="0" w:right="0" w:hanging="0"/>
              <w:jc w:val="left"/>
              <w:rPr/>
            </w:pPr>
            <w:r>
              <w:rPr/>
            </w:r>
          </w:p>
        </w:tc>
        <w:tc>
          <w:tcPr>
            <w:tcW w:w="310" w:type="dxa"/>
            <w:tcBorders/>
            <w:shd w:fill="CCEEFF" w:val="clear"/>
            <w:vAlign w:val="center"/>
          </w:tcPr>
          <w:p>
            <w:pPr>
              <w:pStyle w:val="TableContents"/>
              <w:bidi w:val="0"/>
              <w:spacing w:before="0" w:after="283"/>
              <w:jc w:val="left"/>
              <w:rPr/>
            </w:pPr>
            <w:r>
              <w:rPr/>
            </w:r>
          </w:p>
        </w:tc>
        <w:tc>
          <w:tcPr>
            <w:tcW w:w="1189" w:type="dxa"/>
            <w:tcBorders/>
            <w:shd w:fill="CCEEFF" w:val="clear"/>
            <w:vAlign w:val="center"/>
          </w:tcPr>
          <w:p>
            <w:pPr>
              <w:pStyle w:val="TableContents"/>
              <w:bidi w:val="0"/>
              <w:spacing w:before="0" w:after="283"/>
              <w:ind w:left="0" w:right="0" w:hanging="0"/>
              <w:jc w:val="right"/>
              <w:rPr/>
            </w:pPr>
            <w:r>
              <w:rPr/>
              <w:t>—</w:t>
            </w:r>
          </w:p>
        </w:tc>
        <w:tc>
          <w:tcPr>
            <w:tcW w:w="124" w:type="dxa"/>
            <w:tcBorders/>
            <w:shd w:fill="CCEEFF" w:val="clear"/>
            <w:vAlign w:val="center"/>
          </w:tcPr>
          <w:p>
            <w:pPr>
              <w:pStyle w:val="TableContents"/>
              <w:bidi w:val="0"/>
              <w:spacing w:before="0" w:after="283"/>
              <w:jc w:val="left"/>
              <w:rPr/>
            </w:pPr>
            <w:r>
              <w:rPr/>
            </w:r>
          </w:p>
        </w:tc>
      </w:tr>
      <w:tr>
        <w:trPr/>
        <w:tc>
          <w:tcPr>
            <w:tcW w:w="6788" w:type="dxa"/>
            <w:tcBorders/>
            <w:vAlign w:val="center"/>
          </w:tcPr>
          <w:p>
            <w:pPr>
              <w:pStyle w:val="TableContents"/>
              <w:bidi w:val="0"/>
              <w:spacing w:before="0" w:after="0"/>
              <w:ind w:left="0" w:right="0" w:hanging="0"/>
              <w:jc w:val="left"/>
              <w:rPr>
                <w:rFonts w:ascii="Times New Roman" w:hAnsi="Times New Roman"/>
              </w:rPr>
            </w:pPr>
            <w:r>
              <w:rPr>
                <w:rFonts w:ascii="Times New Roman" w:hAnsi="Times New Roman"/>
              </w:rPr>
              <w:t>Gain on sale of marketable securities</w:t>
            </w:r>
          </w:p>
        </w:tc>
        <w:tc>
          <w:tcPr>
            <w:tcW w:w="26" w:type="dxa"/>
            <w:tcBorders/>
            <w:vAlign w:val="center"/>
          </w:tcPr>
          <w:p>
            <w:pPr>
              <w:pStyle w:val="TableContents"/>
              <w:pBdr/>
              <w:bidi w:val="0"/>
              <w:spacing w:before="0" w:after="0"/>
              <w:ind w:left="0" w:right="0" w:hanging="0"/>
              <w:jc w:val="left"/>
              <w:rPr/>
            </w:pPr>
            <w:r>
              <w:rPr/>
            </w:r>
          </w:p>
        </w:tc>
        <w:tc>
          <w:tcPr>
            <w:tcW w:w="310" w:type="dxa"/>
            <w:tcBorders/>
            <w:vAlign w:val="center"/>
          </w:tcPr>
          <w:p>
            <w:pPr>
              <w:pStyle w:val="TableContents"/>
              <w:pBdr/>
              <w:bidi w:val="0"/>
              <w:spacing w:before="0" w:after="0"/>
              <w:ind w:left="0" w:right="0" w:hanging="0"/>
              <w:jc w:val="left"/>
              <w:rPr/>
            </w:pPr>
            <w:r>
              <w:rPr/>
            </w:r>
          </w:p>
        </w:tc>
        <w:tc>
          <w:tcPr>
            <w:tcW w:w="1243" w:type="dxa"/>
            <w:tcBorders/>
            <w:vAlign w:val="center"/>
          </w:tcPr>
          <w:p>
            <w:pPr>
              <w:pStyle w:val="TableContents"/>
              <w:bidi w:val="0"/>
              <w:spacing w:before="0" w:after="0"/>
              <w:ind w:left="0" w:right="0" w:hanging="0"/>
              <w:jc w:val="right"/>
              <w:rPr/>
            </w:pPr>
            <w:r>
              <w:rPr/>
              <w:t>—</w:t>
            </w:r>
          </w:p>
        </w:tc>
        <w:tc>
          <w:tcPr>
            <w:tcW w:w="173" w:type="dxa"/>
            <w:tcBorders/>
            <w:vAlign w:val="center"/>
          </w:tcPr>
          <w:p>
            <w:pPr>
              <w:pStyle w:val="TableContents"/>
              <w:bidi w:val="0"/>
              <w:spacing w:before="0" w:after="283"/>
              <w:ind w:left="0" w:right="0" w:hanging="0"/>
              <w:jc w:val="left"/>
              <w:rPr>
                <w:sz w:val="4"/>
                <w:szCs w:val="4"/>
              </w:rPr>
            </w:pPr>
            <w:r>
              <w:rPr>
                <w:sz w:val="4"/>
                <w:szCs w:val="4"/>
              </w:rPr>
            </w:r>
          </w:p>
        </w:tc>
        <w:tc>
          <w:tcPr>
            <w:tcW w:w="42" w:type="dxa"/>
            <w:tcBorders/>
            <w:vAlign w:val="center"/>
          </w:tcPr>
          <w:p>
            <w:pPr>
              <w:pStyle w:val="TableContents"/>
              <w:pBdr/>
              <w:bidi w:val="0"/>
              <w:spacing w:before="0" w:after="0"/>
              <w:ind w:left="0" w:right="0" w:hanging="0"/>
              <w:jc w:val="left"/>
              <w:rPr/>
            </w:pPr>
            <w:r>
              <w:rPr/>
            </w:r>
          </w:p>
        </w:tc>
        <w:tc>
          <w:tcPr>
            <w:tcW w:w="310" w:type="dxa"/>
            <w:tcBorders/>
            <w:vAlign w:val="center"/>
          </w:tcPr>
          <w:p>
            <w:pPr>
              <w:pStyle w:val="TableContents"/>
              <w:pBdr/>
              <w:bidi w:val="0"/>
              <w:spacing w:before="0" w:after="0"/>
              <w:ind w:left="0" w:right="0" w:hanging="0"/>
              <w:jc w:val="left"/>
              <w:rPr/>
            </w:pPr>
            <w:r>
              <w:rPr/>
            </w:r>
          </w:p>
        </w:tc>
        <w:tc>
          <w:tcPr>
            <w:tcW w:w="1189"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(102</w:t>
            </w:r>
          </w:p>
        </w:tc>
        <w:tc>
          <w:tcPr>
            <w:tcW w:w="124" w:type="dxa"/>
            <w:tcBorders/>
            <w:vAlign w:val="center"/>
          </w:tcPr>
          <w:p>
            <w:pPr>
              <w:pStyle w:val="TableContents"/>
              <w:bidi w:val="0"/>
              <w:spacing w:before="0" w:after="0"/>
              <w:jc w:val="left"/>
              <w:rPr/>
            </w:pPr>
            <w:r>
              <w:rPr/>
              <w:t>)</w:t>
            </w:r>
          </w:p>
        </w:tc>
      </w:tr>
      <w:tr>
        <w:trPr/>
        <w:tc>
          <w:tcPr>
            <w:tcW w:w="678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Changes in operating assets and liabilities: </w:t>
            </w:r>
          </w:p>
        </w:tc>
        <w:tc>
          <w:tcPr>
            <w:tcW w:w="26" w:type="dxa"/>
            <w:tcBorders/>
            <w:shd w:fill="CCEEFF" w:val="clear"/>
            <w:vAlign w:val="center"/>
          </w:tcPr>
          <w:p>
            <w:pPr>
              <w:pStyle w:val="TableContents"/>
              <w:pBdr/>
              <w:bidi w:val="0"/>
              <w:spacing w:before="0" w:after="0"/>
              <w:ind w:left="0" w:right="0" w:hanging="0"/>
              <w:jc w:val="left"/>
              <w:rPr/>
            </w:pPr>
            <w:r>
              <w:rPr/>
            </w:r>
          </w:p>
        </w:tc>
        <w:tc>
          <w:tcPr>
            <w:tcW w:w="310" w:type="dxa"/>
            <w:tcBorders/>
            <w:shd w:fill="CCEEFF" w:val="clear"/>
            <w:vAlign w:val="center"/>
          </w:tcPr>
          <w:p>
            <w:pPr>
              <w:pStyle w:val="TableContents"/>
              <w:pBdr/>
              <w:bidi w:val="0"/>
              <w:spacing w:before="0" w:after="0"/>
              <w:ind w:left="0" w:right="0" w:hanging="0"/>
              <w:jc w:val="left"/>
              <w:rPr/>
            </w:pPr>
            <w:r>
              <w:rPr/>
            </w:r>
          </w:p>
        </w:tc>
        <w:tc>
          <w:tcPr>
            <w:tcW w:w="1243" w:type="dxa"/>
            <w:tcBorders/>
            <w:shd w:fill="CCEEFF" w:val="clear"/>
            <w:vAlign w:val="center"/>
          </w:tcPr>
          <w:p>
            <w:pPr>
              <w:pStyle w:val="TableContents"/>
              <w:bidi w:val="0"/>
              <w:spacing w:before="0" w:after="0"/>
              <w:ind w:left="0" w:right="0" w:hanging="0"/>
              <w:jc w:val="left"/>
              <w:rPr/>
            </w:pPr>
            <w:r>
              <w:rPr/>
            </w:r>
          </w:p>
        </w:tc>
        <w:tc>
          <w:tcPr>
            <w:tcW w:w="173" w:type="dxa"/>
            <w:tcBorders/>
            <w:shd w:fill="CCEEFF" w:val="clear"/>
            <w:vAlign w:val="center"/>
          </w:tcPr>
          <w:p>
            <w:pPr>
              <w:pStyle w:val="TableContents"/>
              <w:pBdr/>
              <w:bidi w:val="0"/>
              <w:spacing w:before="0" w:after="0"/>
              <w:ind w:left="0" w:right="0" w:hanging="0"/>
              <w:jc w:val="left"/>
              <w:rPr/>
            </w:pPr>
            <w:r>
              <w:rPr/>
            </w:r>
          </w:p>
        </w:tc>
        <w:tc>
          <w:tcPr>
            <w:tcW w:w="42" w:type="dxa"/>
            <w:tcBorders/>
            <w:shd w:fill="CCEEFF" w:val="clear"/>
            <w:vAlign w:val="center"/>
          </w:tcPr>
          <w:p>
            <w:pPr>
              <w:pStyle w:val="TableContents"/>
              <w:pBdr/>
              <w:bidi w:val="0"/>
              <w:spacing w:before="0" w:after="0"/>
              <w:ind w:left="0" w:right="0" w:hanging="0"/>
              <w:jc w:val="left"/>
              <w:rPr/>
            </w:pPr>
            <w:r>
              <w:rPr/>
            </w:r>
          </w:p>
        </w:tc>
        <w:tc>
          <w:tcPr>
            <w:tcW w:w="310" w:type="dxa"/>
            <w:tcBorders/>
            <w:shd w:fill="CCEEFF" w:val="clear"/>
            <w:vAlign w:val="center"/>
          </w:tcPr>
          <w:p>
            <w:pPr>
              <w:pStyle w:val="TableContents"/>
              <w:pBdr/>
              <w:bidi w:val="0"/>
              <w:spacing w:before="0" w:after="0"/>
              <w:ind w:left="0" w:right="0" w:hanging="0"/>
              <w:jc w:val="left"/>
              <w:rPr/>
            </w:pPr>
            <w:r>
              <w:rPr/>
            </w:r>
          </w:p>
        </w:tc>
        <w:tc>
          <w:tcPr>
            <w:tcW w:w="1189" w:type="dxa"/>
            <w:tcBorders/>
            <w:shd w:fill="CCEEFF" w:val="clear"/>
            <w:vAlign w:val="center"/>
          </w:tcPr>
          <w:p>
            <w:pPr>
              <w:pStyle w:val="TableContents"/>
              <w:bidi w:val="0"/>
              <w:spacing w:before="0" w:after="0"/>
              <w:ind w:left="0" w:right="0" w:hanging="0"/>
              <w:jc w:val="left"/>
              <w:rPr/>
            </w:pPr>
            <w:r>
              <w:rPr/>
            </w:r>
          </w:p>
        </w:tc>
        <w:tc>
          <w:tcPr>
            <w:tcW w:w="124" w:type="dxa"/>
            <w:tcBorders/>
            <w:shd w:fill="CCEEFF" w:val="clear"/>
            <w:vAlign w:val="center"/>
          </w:tcPr>
          <w:p>
            <w:pPr>
              <w:pStyle w:val="TableContents"/>
              <w:pBdr/>
              <w:bidi w:val="0"/>
              <w:spacing w:before="0" w:after="0"/>
              <w:ind w:left="0" w:right="0" w:hanging="0"/>
              <w:jc w:val="left"/>
              <w:rPr/>
            </w:pPr>
            <w:r>
              <w:rPr/>
            </w:r>
          </w:p>
        </w:tc>
      </w:tr>
      <w:tr>
        <w:trPr/>
        <w:tc>
          <w:tcPr>
            <w:tcW w:w="678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Accounts payable </w:t>
            </w:r>
          </w:p>
        </w:tc>
        <w:tc>
          <w:tcPr>
            <w:tcW w:w="26" w:type="dxa"/>
            <w:tcBorders/>
            <w:vAlign w:val="center"/>
          </w:tcPr>
          <w:p>
            <w:pPr>
              <w:pStyle w:val="TableContents"/>
              <w:pBdr/>
              <w:bidi w:val="0"/>
              <w:spacing w:before="0" w:after="0"/>
              <w:ind w:left="0" w:right="0" w:hanging="0"/>
              <w:jc w:val="left"/>
              <w:rPr/>
            </w:pPr>
            <w:r>
              <w:rPr/>
            </w:r>
          </w:p>
        </w:tc>
        <w:tc>
          <w:tcPr>
            <w:tcW w:w="310" w:type="dxa"/>
            <w:tcBorders/>
            <w:vAlign w:val="center"/>
          </w:tcPr>
          <w:p>
            <w:pPr>
              <w:pStyle w:val="TableContents"/>
              <w:pBdr/>
              <w:bidi w:val="0"/>
              <w:spacing w:before="0" w:after="0"/>
              <w:ind w:left="0" w:right="0" w:hanging="0"/>
              <w:jc w:val="left"/>
              <w:rPr/>
            </w:pPr>
            <w:r>
              <w:rPr/>
            </w:r>
          </w:p>
        </w:tc>
        <w:tc>
          <w:tcPr>
            <w:tcW w:w="1243"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w:t>
            </w:r>
          </w:p>
        </w:tc>
        <w:tc>
          <w:tcPr>
            <w:tcW w:w="173" w:type="dxa"/>
            <w:tcBorders/>
            <w:vAlign w:val="center"/>
          </w:tcPr>
          <w:p>
            <w:pPr>
              <w:pStyle w:val="TableContents"/>
              <w:bidi w:val="0"/>
              <w:spacing w:before="0" w:after="283"/>
              <w:ind w:left="0" w:right="0" w:hanging="0"/>
              <w:jc w:val="left"/>
              <w:rPr>
                <w:sz w:val="4"/>
                <w:szCs w:val="4"/>
              </w:rPr>
            </w:pPr>
            <w:r>
              <w:rPr>
                <w:sz w:val="4"/>
                <w:szCs w:val="4"/>
              </w:rPr>
            </w:r>
          </w:p>
        </w:tc>
        <w:tc>
          <w:tcPr>
            <w:tcW w:w="42" w:type="dxa"/>
            <w:tcBorders/>
            <w:vAlign w:val="center"/>
          </w:tcPr>
          <w:p>
            <w:pPr>
              <w:pStyle w:val="TableContents"/>
              <w:pBdr/>
              <w:bidi w:val="0"/>
              <w:spacing w:before="0" w:after="0"/>
              <w:ind w:left="0" w:right="0" w:hanging="0"/>
              <w:jc w:val="left"/>
              <w:rPr/>
            </w:pPr>
            <w:r>
              <w:rPr/>
            </w:r>
          </w:p>
        </w:tc>
        <w:tc>
          <w:tcPr>
            <w:tcW w:w="310" w:type="dxa"/>
            <w:tcBorders/>
            <w:vAlign w:val="center"/>
          </w:tcPr>
          <w:p>
            <w:pPr>
              <w:pStyle w:val="TableContents"/>
              <w:pBdr/>
              <w:bidi w:val="0"/>
              <w:spacing w:before="0" w:after="0"/>
              <w:ind w:left="0" w:right="0" w:hanging="0"/>
              <w:jc w:val="left"/>
              <w:rPr/>
            </w:pPr>
            <w:r>
              <w:rPr/>
            </w:r>
          </w:p>
        </w:tc>
        <w:tc>
          <w:tcPr>
            <w:tcW w:w="1189"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w:t>
            </w:r>
          </w:p>
        </w:tc>
        <w:tc>
          <w:tcPr>
            <w:tcW w:w="124" w:type="dxa"/>
            <w:tcBorders/>
            <w:vAlign w:val="center"/>
          </w:tcPr>
          <w:p>
            <w:pPr>
              <w:pStyle w:val="TableContents"/>
              <w:bidi w:val="0"/>
              <w:spacing w:before="0" w:after="283"/>
              <w:jc w:val="left"/>
              <w:rPr>
                <w:sz w:val="4"/>
                <w:szCs w:val="4"/>
              </w:rPr>
            </w:pPr>
            <w:r>
              <w:rPr>
                <w:sz w:val="4"/>
                <w:szCs w:val="4"/>
              </w:rPr>
            </w:r>
          </w:p>
        </w:tc>
      </w:tr>
      <w:tr>
        <w:trPr/>
        <w:tc>
          <w:tcPr>
            <w:tcW w:w="678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Accrued liabilities </w:t>
            </w:r>
          </w:p>
        </w:tc>
        <w:tc>
          <w:tcPr>
            <w:tcW w:w="26" w:type="dxa"/>
            <w:tcBorders/>
            <w:shd w:fill="CCEEFF" w:val="clear"/>
            <w:vAlign w:val="center"/>
          </w:tcPr>
          <w:p>
            <w:pPr>
              <w:pStyle w:val="TableContents"/>
              <w:pBdr/>
              <w:bidi w:val="0"/>
              <w:spacing w:before="0" w:after="0"/>
              <w:ind w:left="0" w:right="0" w:hanging="0"/>
              <w:jc w:val="left"/>
              <w:rPr/>
            </w:pPr>
            <w:r>
              <w:rPr/>
            </w:r>
          </w:p>
        </w:tc>
        <w:tc>
          <w:tcPr>
            <w:tcW w:w="310" w:type="dxa"/>
            <w:tcBorders/>
            <w:shd w:fill="CCEEFF" w:val="clear"/>
            <w:vAlign w:val="center"/>
          </w:tcPr>
          <w:p>
            <w:pPr>
              <w:pStyle w:val="TableContents"/>
              <w:pBdr/>
              <w:bidi w:val="0"/>
              <w:spacing w:before="0" w:after="0"/>
              <w:ind w:left="0" w:right="0" w:hanging="0"/>
              <w:jc w:val="left"/>
              <w:rPr/>
            </w:pPr>
            <w:r>
              <w:rPr/>
            </w:r>
          </w:p>
        </w:tc>
        <w:tc>
          <w:tcPr>
            <w:tcW w:w="124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(179</w:t>
            </w:r>
          </w:p>
        </w:tc>
        <w:tc>
          <w:tcPr>
            <w:tcW w:w="173" w:type="dxa"/>
            <w:tcBorders/>
            <w:shd w:fill="CCEEFF" w:val="clear"/>
            <w:vAlign w:val="center"/>
          </w:tcPr>
          <w:p>
            <w:pPr>
              <w:pStyle w:val="TableContents"/>
              <w:bidi w:val="0"/>
              <w:spacing w:before="0" w:after="0"/>
              <w:ind w:left="0" w:right="0" w:hanging="0"/>
              <w:jc w:val="left"/>
              <w:rPr/>
            </w:pPr>
            <w:r>
              <w:rPr/>
              <w:t>)</w:t>
            </w:r>
          </w:p>
        </w:tc>
        <w:tc>
          <w:tcPr>
            <w:tcW w:w="42" w:type="dxa"/>
            <w:tcBorders/>
            <w:shd w:fill="CCEEFF" w:val="clear"/>
            <w:vAlign w:val="center"/>
          </w:tcPr>
          <w:p>
            <w:pPr>
              <w:pStyle w:val="TableContents"/>
              <w:pBdr/>
              <w:bidi w:val="0"/>
              <w:spacing w:before="0" w:after="0"/>
              <w:ind w:left="0" w:right="0" w:hanging="0"/>
              <w:jc w:val="left"/>
              <w:rPr/>
            </w:pPr>
            <w:r>
              <w:rPr/>
            </w:r>
          </w:p>
        </w:tc>
        <w:tc>
          <w:tcPr>
            <w:tcW w:w="310" w:type="dxa"/>
            <w:tcBorders/>
            <w:shd w:fill="CCEEFF" w:val="clear"/>
            <w:vAlign w:val="center"/>
          </w:tcPr>
          <w:p>
            <w:pPr>
              <w:pStyle w:val="TableContents"/>
              <w:pBdr/>
              <w:bidi w:val="0"/>
              <w:spacing w:before="0" w:after="0"/>
              <w:ind w:left="0" w:right="0" w:hanging="0"/>
              <w:jc w:val="left"/>
              <w:rPr/>
            </w:pPr>
            <w:r>
              <w:rPr/>
            </w:r>
          </w:p>
        </w:tc>
        <w:tc>
          <w:tcPr>
            <w:tcW w:w="118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w:t>
            </w:r>
          </w:p>
        </w:tc>
        <w:tc>
          <w:tcPr>
            <w:tcW w:w="124" w:type="dxa"/>
            <w:tcBorders/>
            <w:shd w:fill="CCEEFF" w:val="clear"/>
            <w:vAlign w:val="center"/>
          </w:tcPr>
          <w:p>
            <w:pPr>
              <w:pStyle w:val="TableContents"/>
              <w:bidi w:val="0"/>
              <w:spacing w:before="0" w:after="0"/>
              <w:jc w:val="left"/>
              <w:rPr/>
            </w:pPr>
            <w:r>
              <w:rPr/>
              <w:t>)</w:t>
            </w:r>
          </w:p>
        </w:tc>
      </w:tr>
      <w:tr>
        <w:trPr/>
        <w:tc>
          <w:tcPr>
            <w:tcW w:w="678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Operating lease liabilities </w:t>
            </w:r>
          </w:p>
        </w:tc>
        <w:tc>
          <w:tcPr>
            <w:tcW w:w="26" w:type="dxa"/>
            <w:tcBorders/>
            <w:vAlign w:val="center"/>
          </w:tcPr>
          <w:p>
            <w:pPr>
              <w:pStyle w:val="TableContents"/>
              <w:pBdr/>
              <w:bidi w:val="0"/>
              <w:spacing w:before="0" w:after="0"/>
              <w:ind w:left="0" w:right="0" w:hanging="0"/>
              <w:jc w:val="left"/>
              <w:rPr/>
            </w:pPr>
            <w:r>
              <w:rPr/>
            </w:r>
          </w:p>
        </w:tc>
        <w:tc>
          <w:tcPr>
            <w:tcW w:w="310" w:type="dxa"/>
            <w:tcBorders/>
            <w:vAlign w:val="center"/>
          </w:tcPr>
          <w:p>
            <w:pPr>
              <w:pStyle w:val="TableContents"/>
              <w:pBdr/>
              <w:bidi w:val="0"/>
              <w:spacing w:before="0" w:after="0"/>
              <w:ind w:left="0" w:right="0" w:hanging="0"/>
              <w:jc w:val="left"/>
              <w:rPr/>
            </w:pPr>
            <w:r>
              <w:rPr/>
            </w:r>
          </w:p>
        </w:tc>
        <w:tc>
          <w:tcPr>
            <w:tcW w:w="1243"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(205</w:t>
            </w:r>
          </w:p>
        </w:tc>
        <w:tc>
          <w:tcPr>
            <w:tcW w:w="173" w:type="dxa"/>
            <w:tcBorders/>
            <w:vAlign w:val="center"/>
          </w:tcPr>
          <w:p>
            <w:pPr>
              <w:pStyle w:val="TableContents"/>
              <w:bidi w:val="0"/>
              <w:spacing w:before="0" w:after="0"/>
              <w:ind w:left="0" w:right="0" w:hanging="0"/>
              <w:jc w:val="left"/>
              <w:rPr/>
            </w:pPr>
            <w:r>
              <w:rPr/>
              <w:t>)</w:t>
            </w:r>
          </w:p>
        </w:tc>
        <w:tc>
          <w:tcPr>
            <w:tcW w:w="42" w:type="dxa"/>
            <w:tcBorders/>
            <w:vAlign w:val="center"/>
          </w:tcPr>
          <w:p>
            <w:pPr>
              <w:pStyle w:val="TableContents"/>
              <w:pBdr/>
              <w:bidi w:val="0"/>
              <w:spacing w:before="0" w:after="0"/>
              <w:ind w:left="0" w:right="0" w:hanging="0"/>
              <w:jc w:val="left"/>
              <w:rPr/>
            </w:pPr>
            <w:r>
              <w:rPr/>
            </w:r>
          </w:p>
        </w:tc>
        <w:tc>
          <w:tcPr>
            <w:tcW w:w="310" w:type="dxa"/>
            <w:tcBorders/>
            <w:vAlign w:val="center"/>
          </w:tcPr>
          <w:p>
            <w:pPr>
              <w:pStyle w:val="TableContents"/>
              <w:pBdr/>
              <w:bidi w:val="0"/>
              <w:spacing w:before="0" w:after="0"/>
              <w:ind w:left="0" w:right="0" w:hanging="0"/>
              <w:jc w:val="left"/>
              <w:rPr/>
            </w:pPr>
            <w:r>
              <w:rPr/>
            </w:r>
          </w:p>
        </w:tc>
        <w:tc>
          <w:tcPr>
            <w:tcW w:w="1189"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(294</w:t>
            </w:r>
          </w:p>
        </w:tc>
        <w:tc>
          <w:tcPr>
            <w:tcW w:w="124" w:type="dxa"/>
            <w:tcBorders/>
            <w:vAlign w:val="center"/>
          </w:tcPr>
          <w:p>
            <w:pPr>
              <w:pStyle w:val="TableContents"/>
              <w:bidi w:val="0"/>
              <w:spacing w:before="0" w:after="0"/>
              <w:jc w:val="left"/>
              <w:rPr>
                <w:sz w:val="20"/>
              </w:rPr>
            </w:pPr>
            <w:r>
              <w:rPr>
                <w:sz w:val="20"/>
              </w:rPr>
              <w:t>)</w:t>
            </w:r>
          </w:p>
        </w:tc>
      </w:tr>
      <w:tr>
        <w:trPr/>
        <w:tc>
          <w:tcPr>
            <w:tcW w:w="6788" w:type="dxa"/>
            <w:tcBorders/>
            <w:shd w:fill="CCEEFF" w:val="clear"/>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Net cash used in operating activities, continuing operations</w:t>
            </w:r>
          </w:p>
        </w:tc>
        <w:tc>
          <w:tcPr>
            <w:tcW w:w="26" w:type="dxa"/>
            <w:tcBorders/>
            <w:shd w:fill="CCEEFF" w:val="clear"/>
            <w:vAlign w:val="center"/>
          </w:tcPr>
          <w:p>
            <w:pPr>
              <w:pStyle w:val="TableContents"/>
              <w:pBdr/>
              <w:bidi w:val="0"/>
              <w:spacing w:before="0" w:after="0"/>
              <w:ind w:left="0" w:right="0" w:hanging="0"/>
              <w:jc w:val="left"/>
              <w:rPr/>
            </w:pPr>
            <w:r>
              <w:rPr/>
            </w:r>
          </w:p>
        </w:tc>
        <w:tc>
          <w:tcPr>
            <w:tcW w:w="310" w:type="dxa"/>
            <w:tcBorders>
              <w:top w:val="single" w:sz="8" w:space="0" w:color="000000"/>
            </w:tcBorders>
            <w:shd w:fill="CCEEFF" w:val="clear"/>
            <w:tcMar>
              <w:top w:w="28" w:type="dxa"/>
            </w:tcMar>
            <w:vAlign w:val="center"/>
          </w:tcPr>
          <w:p>
            <w:pPr>
              <w:pStyle w:val="TableContents"/>
              <w:pBdr/>
              <w:bidi w:val="0"/>
              <w:spacing w:before="0" w:after="0"/>
              <w:ind w:left="0" w:right="0" w:hanging="0"/>
              <w:jc w:val="left"/>
              <w:rPr/>
            </w:pPr>
            <w:r>
              <w:rPr/>
            </w:r>
          </w:p>
        </w:tc>
        <w:tc>
          <w:tcPr>
            <w:tcW w:w="1243" w:type="dxa"/>
            <w:tcBorders>
              <w:top w:val="single" w:sz="8" w:space="0" w:color="000000"/>
            </w:tcBorders>
            <w:shd w:fill="CCEEFF" w:val="clear"/>
            <w:tcMar>
              <w:top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(3,322</w:t>
            </w:r>
          </w:p>
        </w:tc>
        <w:tc>
          <w:tcPr>
            <w:tcW w:w="173" w:type="dxa"/>
            <w:tcBorders/>
            <w:shd w:fill="CCEEFF" w:val="clear"/>
            <w:vAlign w:val="center"/>
          </w:tcPr>
          <w:p>
            <w:pPr>
              <w:pStyle w:val="TableContents"/>
              <w:bidi w:val="0"/>
              <w:spacing w:before="0" w:after="0"/>
              <w:ind w:left="0" w:right="0" w:hanging="0"/>
              <w:jc w:val="left"/>
              <w:rPr/>
            </w:pPr>
            <w:r>
              <w:rPr/>
              <w:t>)</w:t>
            </w:r>
          </w:p>
        </w:tc>
        <w:tc>
          <w:tcPr>
            <w:tcW w:w="42" w:type="dxa"/>
            <w:tcBorders/>
            <w:shd w:fill="CCEEFF" w:val="clear"/>
            <w:vAlign w:val="center"/>
          </w:tcPr>
          <w:p>
            <w:pPr>
              <w:pStyle w:val="TableContents"/>
              <w:pBdr/>
              <w:bidi w:val="0"/>
              <w:spacing w:before="0" w:after="0"/>
              <w:ind w:left="0" w:right="0" w:hanging="0"/>
              <w:jc w:val="left"/>
              <w:rPr/>
            </w:pPr>
            <w:r>
              <w:rPr/>
            </w:r>
          </w:p>
        </w:tc>
        <w:tc>
          <w:tcPr>
            <w:tcW w:w="310" w:type="dxa"/>
            <w:tcBorders>
              <w:top w:val="single" w:sz="8" w:space="0" w:color="000000"/>
            </w:tcBorders>
            <w:shd w:fill="CCEEFF" w:val="clear"/>
            <w:tcMar>
              <w:top w:w="28" w:type="dxa"/>
            </w:tcMar>
            <w:vAlign w:val="center"/>
          </w:tcPr>
          <w:p>
            <w:pPr>
              <w:pStyle w:val="TableContents"/>
              <w:pBdr/>
              <w:bidi w:val="0"/>
              <w:spacing w:before="0" w:after="0"/>
              <w:ind w:left="0" w:right="0" w:hanging="0"/>
              <w:jc w:val="left"/>
              <w:rPr/>
            </w:pPr>
            <w:r>
              <w:rPr/>
            </w:r>
          </w:p>
        </w:tc>
        <w:tc>
          <w:tcPr>
            <w:tcW w:w="1189" w:type="dxa"/>
            <w:tcBorders>
              <w:top w:val="single" w:sz="8" w:space="0" w:color="000000"/>
            </w:tcBorders>
            <w:shd w:fill="CCEEFF" w:val="clear"/>
            <w:tcMar>
              <w:top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(2,134</w:t>
            </w:r>
          </w:p>
        </w:tc>
        <w:tc>
          <w:tcPr>
            <w:tcW w:w="124" w:type="dxa"/>
            <w:tcBorders/>
            <w:shd w:fill="CCEEFF" w:val="clear"/>
            <w:vAlign w:val="center"/>
          </w:tcPr>
          <w:p>
            <w:pPr>
              <w:pStyle w:val="TableContents"/>
              <w:bidi w:val="0"/>
              <w:spacing w:before="0" w:after="0"/>
              <w:jc w:val="left"/>
              <w:rPr/>
            </w:pPr>
            <w:r>
              <w:rPr/>
              <w:t>)</w:t>
            </w:r>
          </w:p>
        </w:tc>
      </w:tr>
      <w:tr>
        <w:trPr/>
        <w:tc>
          <w:tcPr>
            <w:tcW w:w="6788"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Cash used in operating activities, discontinued operations</w:t>
            </w:r>
          </w:p>
        </w:tc>
        <w:tc>
          <w:tcPr>
            <w:tcW w:w="26" w:type="dxa"/>
            <w:tcBorders/>
            <w:vAlign w:val="center"/>
          </w:tcPr>
          <w:p>
            <w:pPr>
              <w:pStyle w:val="TableContents"/>
              <w:bidi w:val="0"/>
              <w:spacing w:before="0" w:after="283"/>
              <w:ind w:left="0" w:right="0" w:hanging="0"/>
              <w:jc w:val="left"/>
              <w:rPr/>
            </w:pPr>
            <w:r>
              <w:rPr/>
            </w:r>
          </w:p>
        </w:tc>
        <w:tc>
          <w:tcPr>
            <w:tcW w:w="310" w:type="dxa"/>
            <w:tcBorders/>
            <w:vAlign w:val="center"/>
          </w:tcPr>
          <w:p>
            <w:pPr>
              <w:pStyle w:val="TableContents"/>
              <w:bidi w:val="0"/>
              <w:spacing w:before="0" w:after="283"/>
              <w:jc w:val="left"/>
              <w:rPr/>
            </w:pPr>
            <w:r>
              <w:rPr/>
            </w:r>
          </w:p>
        </w:tc>
        <w:tc>
          <w:tcPr>
            <w:tcW w:w="1243" w:type="dxa"/>
            <w:tcBorders/>
            <w:vAlign w:val="center"/>
          </w:tcPr>
          <w:p>
            <w:pPr>
              <w:pStyle w:val="TableContents"/>
              <w:bidi w:val="0"/>
              <w:spacing w:before="0" w:after="283"/>
              <w:ind w:left="0" w:right="0" w:hanging="0"/>
              <w:jc w:val="right"/>
              <w:rPr/>
            </w:pPr>
            <w:r>
              <w:rPr/>
              <w:t>(1,247</w:t>
            </w:r>
          </w:p>
        </w:tc>
        <w:tc>
          <w:tcPr>
            <w:tcW w:w="173" w:type="dxa"/>
            <w:tcBorders/>
            <w:vAlign w:val="center"/>
          </w:tcPr>
          <w:p>
            <w:pPr>
              <w:pStyle w:val="TableContents"/>
              <w:bidi w:val="0"/>
              <w:spacing w:before="0" w:after="0"/>
              <w:ind w:left="0" w:right="0" w:hanging="0"/>
              <w:jc w:val="left"/>
              <w:rPr/>
            </w:pPr>
            <w:r>
              <w:rPr/>
              <w:t>)</w:t>
            </w:r>
          </w:p>
        </w:tc>
        <w:tc>
          <w:tcPr>
            <w:tcW w:w="42" w:type="dxa"/>
            <w:tcBorders/>
            <w:vAlign w:val="center"/>
          </w:tcPr>
          <w:p>
            <w:pPr>
              <w:pStyle w:val="TableContents"/>
              <w:bidi w:val="0"/>
              <w:spacing w:before="0" w:after="283"/>
              <w:ind w:left="0" w:right="0" w:hanging="0"/>
              <w:jc w:val="left"/>
              <w:rPr/>
            </w:pPr>
            <w:r>
              <w:rPr/>
            </w:r>
          </w:p>
        </w:tc>
        <w:tc>
          <w:tcPr>
            <w:tcW w:w="310" w:type="dxa"/>
            <w:tcBorders/>
            <w:vAlign w:val="center"/>
          </w:tcPr>
          <w:p>
            <w:pPr>
              <w:pStyle w:val="TableContents"/>
              <w:bidi w:val="0"/>
              <w:spacing w:before="0" w:after="283"/>
              <w:jc w:val="left"/>
              <w:rPr/>
            </w:pPr>
            <w:r>
              <w:rPr/>
            </w:r>
          </w:p>
        </w:tc>
        <w:tc>
          <w:tcPr>
            <w:tcW w:w="1189" w:type="dxa"/>
            <w:tcBorders/>
            <w:vAlign w:val="center"/>
          </w:tcPr>
          <w:p>
            <w:pPr>
              <w:pStyle w:val="TableContents"/>
              <w:bidi w:val="0"/>
              <w:spacing w:before="0" w:after="283"/>
              <w:ind w:left="0" w:right="0" w:hanging="0"/>
              <w:jc w:val="right"/>
              <w:rPr/>
            </w:pPr>
            <w:r>
              <w:rPr/>
              <w:t>(2,441</w:t>
            </w:r>
          </w:p>
        </w:tc>
        <w:tc>
          <w:tcPr>
            <w:tcW w:w="124" w:type="dxa"/>
            <w:tcBorders/>
            <w:vAlign w:val="center"/>
          </w:tcPr>
          <w:p>
            <w:pPr>
              <w:pStyle w:val="TableContents"/>
              <w:bidi w:val="0"/>
              <w:spacing w:before="0" w:after="0"/>
              <w:jc w:val="left"/>
              <w:rPr/>
            </w:pPr>
            <w:r>
              <w:rPr/>
              <w:t>)</w:t>
            </w:r>
          </w:p>
        </w:tc>
      </w:tr>
      <w:tr>
        <w:trPr/>
        <w:tc>
          <w:tcPr>
            <w:tcW w:w="6788" w:type="dxa"/>
            <w:tcBorders/>
            <w:shd w:fill="CCEEFF" w:val="clear"/>
            <w:vAlign w:val="center"/>
          </w:tcPr>
          <w:p>
            <w:pPr>
              <w:pStyle w:val="TableContents"/>
              <w:bidi w:val="0"/>
              <w:spacing w:before="0" w:after="283"/>
              <w:ind w:left="0" w:right="0" w:hanging="0"/>
              <w:jc w:val="left"/>
              <w:rPr/>
            </w:pPr>
            <w:r>
              <w:rPr/>
            </w:r>
          </w:p>
        </w:tc>
        <w:tc>
          <w:tcPr>
            <w:tcW w:w="26" w:type="dxa"/>
            <w:tcBorders/>
            <w:shd w:fill="CCEEFF" w:val="clear"/>
            <w:vAlign w:val="center"/>
          </w:tcPr>
          <w:p>
            <w:pPr>
              <w:pStyle w:val="TableContents"/>
              <w:bidi w:val="0"/>
              <w:spacing w:before="0" w:after="283"/>
              <w:ind w:left="0" w:right="0" w:hanging="0"/>
              <w:jc w:val="left"/>
              <w:rPr/>
            </w:pPr>
            <w:r>
              <w:rPr/>
            </w:r>
          </w:p>
        </w:tc>
        <w:tc>
          <w:tcPr>
            <w:tcW w:w="310" w:type="dxa"/>
            <w:tcBorders/>
            <w:shd w:fill="CCEEFF" w:val="clear"/>
            <w:vAlign w:val="center"/>
          </w:tcPr>
          <w:p>
            <w:pPr>
              <w:pStyle w:val="TableContents"/>
              <w:bidi w:val="0"/>
              <w:spacing w:before="0" w:after="283"/>
              <w:jc w:val="left"/>
              <w:rPr/>
            </w:pPr>
            <w:r>
              <w:rPr/>
            </w:r>
          </w:p>
        </w:tc>
        <w:tc>
          <w:tcPr>
            <w:tcW w:w="1243" w:type="dxa"/>
            <w:tcBorders/>
            <w:shd w:fill="CCEEFF" w:val="clear"/>
            <w:vAlign w:val="center"/>
          </w:tcPr>
          <w:p>
            <w:pPr>
              <w:pStyle w:val="TableContents"/>
              <w:bidi w:val="0"/>
              <w:spacing w:before="0" w:after="283"/>
              <w:ind w:left="0" w:right="0" w:hanging="0"/>
              <w:jc w:val="left"/>
              <w:rPr/>
            </w:pPr>
            <w:r>
              <w:rPr/>
            </w:r>
          </w:p>
        </w:tc>
        <w:tc>
          <w:tcPr>
            <w:tcW w:w="173" w:type="dxa"/>
            <w:tcBorders/>
            <w:shd w:fill="CCEEFF" w:val="clear"/>
            <w:vAlign w:val="center"/>
          </w:tcPr>
          <w:p>
            <w:pPr>
              <w:pStyle w:val="TableContents"/>
              <w:bidi w:val="0"/>
              <w:spacing w:before="0" w:after="283"/>
              <w:ind w:left="0" w:right="0" w:hanging="0"/>
              <w:jc w:val="left"/>
              <w:rPr/>
            </w:pPr>
            <w:r>
              <w:rPr/>
            </w:r>
          </w:p>
        </w:tc>
        <w:tc>
          <w:tcPr>
            <w:tcW w:w="42" w:type="dxa"/>
            <w:tcBorders/>
            <w:shd w:fill="CCEEFF" w:val="clear"/>
            <w:vAlign w:val="center"/>
          </w:tcPr>
          <w:p>
            <w:pPr>
              <w:pStyle w:val="TableContents"/>
              <w:bidi w:val="0"/>
              <w:spacing w:before="0" w:after="283"/>
              <w:ind w:left="0" w:right="0" w:hanging="0"/>
              <w:jc w:val="left"/>
              <w:rPr/>
            </w:pPr>
            <w:r>
              <w:rPr/>
            </w:r>
          </w:p>
        </w:tc>
        <w:tc>
          <w:tcPr>
            <w:tcW w:w="310" w:type="dxa"/>
            <w:tcBorders/>
            <w:shd w:fill="CCEEFF" w:val="clear"/>
            <w:vAlign w:val="center"/>
          </w:tcPr>
          <w:p>
            <w:pPr>
              <w:pStyle w:val="TableContents"/>
              <w:bidi w:val="0"/>
              <w:spacing w:before="0" w:after="283"/>
              <w:jc w:val="left"/>
              <w:rPr/>
            </w:pPr>
            <w:r>
              <w:rPr/>
            </w:r>
          </w:p>
        </w:tc>
        <w:tc>
          <w:tcPr>
            <w:tcW w:w="1189" w:type="dxa"/>
            <w:tcBorders/>
            <w:shd w:fill="CCEEFF" w:val="clear"/>
            <w:vAlign w:val="center"/>
          </w:tcPr>
          <w:p>
            <w:pPr>
              <w:pStyle w:val="TableContents"/>
              <w:bidi w:val="0"/>
              <w:spacing w:before="0" w:after="283"/>
              <w:ind w:left="0" w:right="0" w:hanging="0"/>
              <w:jc w:val="left"/>
              <w:rPr/>
            </w:pPr>
            <w:r>
              <w:rPr/>
            </w:r>
          </w:p>
        </w:tc>
        <w:tc>
          <w:tcPr>
            <w:tcW w:w="124" w:type="dxa"/>
            <w:tcBorders/>
            <w:shd w:fill="CCEEFF" w:val="clear"/>
            <w:vAlign w:val="center"/>
          </w:tcPr>
          <w:p>
            <w:pPr>
              <w:pStyle w:val="TableContents"/>
              <w:bidi w:val="0"/>
              <w:spacing w:before="0" w:after="283"/>
              <w:jc w:val="left"/>
              <w:rPr/>
            </w:pPr>
            <w:r>
              <w:rPr/>
            </w:r>
          </w:p>
        </w:tc>
      </w:tr>
      <w:tr>
        <w:trPr/>
        <w:tc>
          <w:tcPr>
            <w:tcW w:w="6788" w:type="dxa"/>
            <w:tcBorders/>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Cash flows from investing activities:</w:t>
            </w:r>
          </w:p>
        </w:tc>
        <w:tc>
          <w:tcPr>
            <w:tcW w:w="26" w:type="dxa"/>
            <w:tcBorders/>
            <w:vAlign w:val="center"/>
          </w:tcPr>
          <w:p>
            <w:pPr>
              <w:pStyle w:val="TableContents"/>
              <w:bidi w:val="0"/>
              <w:spacing w:before="0" w:after="283"/>
              <w:ind w:left="0" w:right="0" w:hanging="0"/>
              <w:jc w:val="left"/>
              <w:rPr/>
            </w:pPr>
            <w:r>
              <w:rPr/>
            </w:r>
          </w:p>
        </w:tc>
        <w:tc>
          <w:tcPr>
            <w:tcW w:w="310" w:type="dxa"/>
            <w:tcBorders/>
            <w:vAlign w:val="center"/>
          </w:tcPr>
          <w:p>
            <w:pPr>
              <w:pStyle w:val="TableContents"/>
              <w:bidi w:val="0"/>
              <w:spacing w:before="0" w:after="283"/>
              <w:jc w:val="left"/>
              <w:rPr/>
            </w:pPr>
            <w:r>
              <w:rPr/>
            </w:r>
          </w:p>
        </w:tc>
        <w:tc>
          <w:tcPr>
            <w:tcW w:w="1243" w:type="dxa"/>
            <w:tcBorders/>
            <w:vAlign w:val="center"/>
          </w:tcPr>
          <w:p>
            <w:pPr>
              <w:pStyle w:val="TableContents"/>
              <w:bidi w:val="0"/>
              <w:spacing w:before="0" w:after="283"/>
              <w:ind w:left="0" w:right="0" w:hanging="0"/>
              <w:jc w:val="left"/>
              <w:rPr/>
            </w:pPr>
            <w:r>
              <w:rPr/>
            </w:r>
          </w:p>
        </w:tc>
        <w:tc>
          <w:tcPr>
            <w:tcW w:w="173" w:type="dxa"/>
            <w:tcBorders/>
            <w:vAlign w:val="center"/>
          </w:tcPr>
          <w:p>
            <w:pPr>
              <w:pStyle w:val="TableContents"/>
              <w:bidi w:val="0"/>
              <w:spacing w:before="0" w:after="283"/>
              <w:ind w:left="0" w:right="0" w:hanging="0"/>
              <w:jc w:val="left"/>
              <w:rPr/>
            </w:pPr>
            <w:r>
              <w:rPr/>
            </w:r>
          </w:p>
        </w:tc>
        <w:tc>
          <w:tcPr>
            <w:tcW w:w="42" w:type="dxa"/>
            <w:tcBorders/>
            <w:vAlign w:val="center"/>
          </w:tcPr>
          <w:p>
            <w:pPr>
              <w:pStyle w:val="TableContents"/>
              <w:bidi w:val="0"/>
              <w:spacing w:before="0" w:after="283"/>
              <w:ind w:left="0" w:right="0" w:hanging="0"/>
              <w:jc w:val="left"/>
              <w:rPr/>
            </w:pPr>
            <w:r>
              <w:rPr/>
            </w:r>
          </w:p>
        </w:tc>
        <w:tc>
          <w:tcPr>
            <w:tcW w:w="310" w:type="dxa"/>
            <w:tcBorders/>
            <w:vAlign w:val="center"/>
          </w:tcPr>
          <w:p>
            <w:pPr>
              <w:pStyle w:val="TableContents"/>
              <w:bidi w:val="0"/>
              <w:spacing w:before="0" w:after="283"/>
              <w:jc w:val="left"/>
              <w:rPr/>
            </w:pPr>
            <w:r>
              <w:rPr/>
            </w:r>
          </w:p>
        </w:tc>
        <w:tc>
          <w:tcPr>
            <w:tcW w:w="1189" w:type="dxa"/>
            <w:tcBorders/>
            <w:vAlign w:val="center"/>
          </w:tcPr>
          <w:p>
            <w:pPr>
              <w:pStyle w:val="TableContents"/>
              <w:bidi w:val="0"/>
              <w:spacing w:before="0" w:after="283"/>
              <w:ind w:left="0" w:right="0" w:hanging="0"/>
              <w:jc w:val="left"/>
              <w:rPr/>
            </w:pPr>
            <w:r>
              <w:rPr/>
            </w:r>
          </w:p>
        </w:tc>
        <w:tc>
          <w:tcPr>
            <w:tcW w:w="124" w:type="dxa"/>
            <w:tcBorders/>
            <w:vAlign w:val="center"/>
          </w:tcPr>
          <w:p>
            <w:pPr>
              <w:pStyle w:val="TableContents"/>
              <w:bidi w:val="0"/>
              <w:spacing w:before="0" w:after="283"/>
              <w:jc w:val="left"/>
              <w:rPr/>
            </w:pPr>
            <w:r>
              <w:rPr/>
            </w:r>
          </w:p>
        </w:tc>
      </w:tr>
      <w:tr>
        <w:trPr/>
        <w:tc>
          <w:tcPr>
            <w:tcW w:w="6788" w:type="dxa"/>
            <w:tcBorders/>
            <w:shd w:fill="CCEEFF" w:val="clear"/>
            <w:vAlign w:val="center"/>
          </w:tcPr>
          <w:p>
            <w:pPr>
              <w:pStyle w:val="TableContents"/>
              <w:bidi w:val="0"/>
              <w:spacing w:before="0" w:after="283"/>
              <w:ind w:left="0" w:right="0" w:hanging="0"/>
              <w:jc w:val="left"/>
              <w:rPr/>
            </w:pPr>
            <w:r>
              <w:rPr/>
              <w:t>Purchase of property and equipment</w:t>
            </w:r>
          </w:p>
        </w:tc>
        <w:tc>
          <w:tcPr>
            <w:tcW w:w="26" w:type="dxa"/>
            <w:tcBorders/>
            <w:shd w:fill="CCEEFF" w:val="clear"/>
            <w:vAlign w:val="center"/>
          </w:tcPr>
          <w:p>
            <w:pPr>
              <w:pStyle w:val="TableContents"/>
              <w:bidi w:val="0"/>
              <w:spacing w:before="0" w:after="283"/>
              <w:ind w:left="0" w:right="0" w:hanging="0"/>
              <w:jc w:val="left"/>
              <w:rPr/>
            </w:pPr>
            <w:r>
              <w:rPr/>
            </w:r>
          </w:p>
        </w:tc>
        <w:tc>
          <w:tcPr>
            <w:tcW w:w="310" w:type="dxa"/>
            <w:tcBorders/>
            <w:shd w:fill="CCEEFF" w:val="clear"/>
            <w:vAlign w:val="center"/>
          </w:tcPr>
          <w:p>
            <w:pPr>
              <w:pStyle w:val="TableContents"/>
              <w:bidi w:val="0"/>
              <w:spacing w:before="0" w:after="283"/>
              <w:jc w:val="left"/>
              <w:rPr/>
            </w:pPr>
            <w:r>
              <w:rPr/>
            </w:r>
          </w:p>
        </w:tc>
        <w:tc>
          <w:tcPr>
            <w:tcW w:w="1243" w:type="dxa"/>
            <w:tcBorders/>
            <w:shd w:fill="CCEEFF" w:val="clear"/>
            <w:vAlign w:val="center"/>
          </w:tcPr>
          <w:p>
            <w:pPr>
              <w:pStyle w:val="TableContents"/>
              <w:bidi w:val="0"/>
              <w:spacing w:before="0" w:after="283"/>
              <w:ind w:left="0" w:right="0" w:hanging="0"/>
              <w:jc w:val="right"/>
              <w:rPr/>
            </w:pPr>
            <w:r>
              <w:rPr/>
              <w:t>(17</w:t>
            </w:r>
          </w:p>
        </w:tc>
        <w:tc>
          <w:tcPr>
            <w:tcW w:w="173" w:type="dxa"/>
            <w:tcBorders/>
            <w:shd w:fill="CCEEFF" w:val="clear"/>
            <w:vAlign w:val="center"/>
          </w:tcPr>
          <w:p>
            <w:pPr>
              <w:pStyle w:val="TableContents"/>
              <w:bidi w:val="0"/>
              <w:spacing w:before="0" w:after="0"/>
              <w:ind w:left="0" w:right="0" w:hanging="0"/>
              <w:jc w:val="left"/>
              <w:rPr/>
            </w:pPr>
            <w:r>
              <w:rPr/>
              <w:t>)</w:t>
            </w:r>
          </w:p>
        </w:tc>
        <w:tc>
          <w:tcPr>
            <w:tcW w:w="42" w:type="dxa"/>
            <w:tcBorders/>
            <w:shd w:fill="CCEEFF" w:val="clear"/>
            <w:vAlign w:val="center"/>
          </w:tcPr>
          <w:p>
            <w:pPr>
              <w:pStyle w:val="TableContents"/>
              <w:bidi w:val="0"/>
              <w:spacing w:before="0" w:after="283"/>
              <w:ind w:left="0" w:right="0" w:hanging="0"/>
              <w:jc w:val="left"/>
              <w:rPr/>
            </w:pPr>
            <w:r>
              <w:rPr/>
            </w:r>
          </w:p>
        </w:tc>
        <w:tc>
          <w:tcPr>
            <w:tcW w:w="310" w:type="dxa"/>
            <w:tcBorders/>
            <w:shd w:fill="CCEEFF" w:val="clear"/>
            <w:vAlign w:val="center"/>
          </w:tcPr>
          <w:p>
            <w:pPr>
              <w:pStyle w:val="TableContents"/>
              <w:bidi w:val="0"/>
              <w:spacing w:before="0" w:after="283"/>
              <w:jc w:val="left"/>
              <w:rPr/>
            </w:pPr>
            <w:r>
              <w:rPr/>
            </w:r>
          </w:p>
        </w:tc>
        <w:tc>
          <w:tcPr>
            <w:tcW w:w="1189" w:type="dxa"/>
            <w:tcBorders/>
            <w:shd w:fill="CCEEFF" w:val="clear"/>
            <w:vAlign w:val="center"/>
          </w:tcPr>
          <w:p>
            <w:pPr>
              <w:pStyle w:val="TableContents"/>
              <w:bidi w:val="0"/>
              <w:spacing w:before="0" w:after="283"/>
              <w:ind w:left="0" w:right="0" w:hanging="0"/>
              <w:jc w:val="right"/>
              <w:rPr/>
            </w:pPr>
            <w:r>
              <w:rPr/>
              <w:t>(155</w:t>
            </w:r>
          </w:p>
        </w:tc>
        <w:tc>
          <w:tcPr>
            <w:tcW w:w="124" w:type="dxa"/>
            <w:tcBorders/>
            <w:shd w:fill="CCEEFF" w:val="clear"/>
            <w:vAlign w:val="center"/>
          </w:tcPr>
          <w:p>
            <w:pPr>
              <w:pStyle w:val="TableContents"/>
              <w:bidi w:val="0"/>
              <w:spacing w:before="0" w:after="0"/>
              <w:jc w:val="left"/>
              <w:rPr/>
            </w:pPr>
            <w:r>
              <w:rPr/>
              <w:t>)</w:t>
            </w:r>
          </w:p>
        </w:tc>
      </w:tr>
      <w:tr>
        <w:trPr/>
        <w:tc>
          <w:tcPr>
            <w:tcW w:w="6788" w:type="dxa"/>
            <w:tcBorders/>
            <w:vAlign w:val="center"/>
          </w:tcPr>
          <w:p>
            <w:pPr>
              <w:pStyle w:val="TableContents"/>
              <w:bidi w:val="0"/>
              <w:spacing w:before="0" w:after="283"/>
              <w:ind w:left="0" w:right="0" w:hanging="0"/>
              <w:jc w:val="left"/>
              <w:rPr/>
            </w:pPr>
            <w:r>
              <w:rPr/>
              <w:t>Purchase of intangibles</w:t>
            </w:r>
          </w:p>
        </w:tc>
        <w:tc>
          <w:tcPr>
            <w:tcW w:w="26" w:type="dxa"/>
            <w:tcBorders/>
            <w:vAlign w:val="center"/>
          </w:tcPr>
          <w:p>
            <w:pPr>
              <w:pStyle w:val="TableContents"/>
              <w:bidi w:val="0"/>
              <w:spacing w:before="0" w:after="283"/>
              <w:ind w:left="0" w:right="0" w:hanging="0"/>
              <w:jc w:val="left"/>
              <w:rPr/>
            </w:pPr>
            <w:r>
              <w:rPr/>
            </w:r>
          </w:p>
        </w:tc>
        <w:tc>
          <w:tcPr>
            <w:tcW w:w="310" w:type="dxa"/>
            <w:tcBorders/>
            <w:vAlign w:val="center"/>
          </w:tcPr>
          <w:p>
            <w:pPr>
              <w:pStyle w:val="TableContents"/>
              <w:bidi w:val="0"/>
              <w:spacing w:before="0" w:after="283"/>
              <w:jc w:val="left"/>
              <w:rPr/>
            </w:pPr>
            <w:r>
              <w:rPr/>
            </w:r>
          </w:p>
        </w:tc>
        <w:tc>
          <w:tcPr>
            <w:tcW w:w="1243" w:type="dxa"/>
            <w:tcBorders/>
            <w:vAlign w:val="center"/>
          </w:tcPr>
          <w:p>
            <w:pPr>
              <w:pStyle w:val="TableContents"/>
              <w:bidi w:val="0"/>
              <w:spacing w:before="0" w:after="283"/>
              <w:ind w:left="0" w:right="0" w:hanging="0"/>
              <w:jc w:val="right"/>
              <w:rPr/>
            </w:pPr>
            <w:r>
              <w:rPr/>
              <w:t>(16</w:t>
            </w:r>
          </w:p>
        </w:tc>
        <w:tc>
          <w:tcPr>
            <w:tcW w:w="173" w:type="dxa"/>
            <w:tcBorders/>
            <w:vAlign w:val="center"/>
          </w:tcPr>
          <w:p>
            <w:pPr>
              <w:pStyle w:val="TableContents"/>
              <w:bidi w:val="0"/>
              <w:spacing w:before="0" w:after="0"/>
              <w:ind w:left="0" w:right="0" w:hanging="0"/>
              <w:jc w:val="left"/>
              <w:rPr/>
            </w:pPr>
            <w:r>
              <w:rPr/>
              <w:t>)</w:t>
            </w:r>
          </w:p>
        </w:tc>
        <w:tc>
          <w:tcPr>
            <w:tcW w:w="42" w:type="dxa"/>
            <w:tcBorders/>
            <w:vAlign w:val="center"/>
          </w:tcPr>
          <w:p>
            <w:pPr>
              <w:pStyle w:val="TableContents"/>
              <w:bidi w:val="0"/>
              <w:spacing w:before="0" w:after="283"/>
              <w:ind w:left="0" w:right="0" w:hanging="0"/>
              <w:jc w:val="left"/>
              <w:rPr/>
            </w:pPr>
            <w:r>
              <w:rPr/>
            </w:r>
          </w:p>
        </w:tc>
        <w:tc>
          <w:tcPr>
            <w:tcW w:w="310" w:type="dxa"/>
            <w:tcBorders/>
            <w:vAlign w:val="center"/>
          </w:tcPr>
          <w:p>
            <w:pPr>
              <w:pStyle w:val="TableContents"/>
              <w:bidi w:val="0"/>
              <w:spacing w:before="0" w:after="283"/>
              <w:jc w:val="left"/>
              <w:rPr/>
            </w:pPr>
            <w:r>
              <w:rPr/>
            </w:r>
          </w:p>
        </w:tc>
        <w:tc>
          <w:tcPr>
            <w:tcW w:w="1189" w:type="dxa"/>
            <w:tcBorders/>
            <w:vAlign w:val="center"/>
          </w:tcPr>
          <w:p>
            <w:pPr>
              <w:pStyle w:val="TableContents"/>
              <w:bidi w:val="0"/>
              <w:spacing w:before="0" w:after="283"/>
              <w:ind w:left="0" w:right="0" w:hanging="0"/>
              <w:jc w:val="right"/>
              <w:rPr/>
            </w:pPr>
            <w:r>
              <w:rPr/>
              <w:t>(88</w:t>
            </w:r>
          </w:p>
        </w:tc>
        <w:tc>
          <w:tcPr>
            <w:tcW w:w="124" w:type="dxa"/>
            <w:tcBorders/>
            <w:vAlign w:val="center"/>
          </w:tcPr>
          <w:p>
            <w:pPr>
              <w:pStyle w:val="TableContents"/>
              <w:bidi w:val="0"/>
              <w:spacing w:before="0" w:after="0"/>
              <w:jc w:val="left"/>
              <w:rPr/>
            </w:pPr>
            <w:r>
              <w:rPr/>
              <w:t>)</w:t>
            </w:r>
          </w:p>
        </w:tc>
      </w:tr>
      <w:tr>
        <w:trPr/>
        <w:tc>
          <w:tcPr>
            <w:tcW w:w="6788" w:type="dxa"/>
            <w:tcBorders/>
            <w:shd w:fill="CCEEFF" w:val="clear"/>
            <w:vAlign w:val="center"/>
          </w:tcPr>
          <w:p>
            <w:pPr>
              <w:pStyle w:val="TableContents"/>
              <w:bidi w:val="0"/>
              <w:spacing w:before="0" w:after="283"/>
              <w:ind w:left="0" w:right="0" w:hanging="0"/>
              <w:jc w:val="left"/>
              <w:rPr/>
            </w:pPr>
            <w:r>
              <w:rPr/>
              <w:t>Proceeds from sale of capitalized assets</w:t>
            </w:r>
          </w:p>
        </w:tc>
        <w:tc>
          <w:tcPr>
            <w:tcW w:w="26" w:type="dxa"/>
            <w:tcBorders/>
            <w:shd w:fill="CCEEFF" w:val="clear"/>
            <w:vAlign w:val="center"/>
          </w:tcPr>
          <w:p>
            <w:pPr>
              <w:pStyle w:val="TableContents"/>
              <w:bidi w:val="0"/>
              <w:spacing w:before="0" w:after="283"/>
              <w:ind w:left="0" w:right="0" w:hanging="0"/>
              <w:jc w:val="left"/>
              <w:rPr/>
            </w:pPr>
            <w:r>
              <w:rPr/>
            </w:r>
          </w:p>
        </w:tc>
        <w:tc>
          <w:tcPr>
            <w:tcW w:w="310" w:type="dxa"/>
            <w:tcBorders/>
            <w:shd w:fill="CCEEFF" w:val="clear"/>
            <w:vAlign w:val="center"/>
          </w:tcPr>
          <w:p>
            <w:pPr>
              <w:pStyle w:val="TableContents"/>
              <w:bidi w:val="0"/>
              <w:spacing w:before="0" w:after="283"/>
              <w:jc w:val="left"/>
              <w:rPr/>
            </w:pPr>
            <w:r>
              <w:rPr/>
            </w:r>
          </w:p>
        </w:tc>
        <w:tc>
          <w:tcPr>
            <w:tcW w:w="1243" w:type="dxa"/>
            <w:tcBorders/>
            <w:shd w:fill="CCEEFF" w:val="clear"/>
            <w:vAlign w:val="center"/>
          </w:tcPr>
          <w:p>
            <w:pPr>
              <w:pStyle w:val="TableContents"/>
              <w:bidi w:val="0"/>
              <w:spacing w:before="0" w:after="283"/>
              <w:ind w:left="0" w:right="0" w:hanging="0"/>
              <w:jc w:val="right"/>
              <w:rPr/>
            </w:pPr>
            <w:r>
              <w:rPr/>
              <w:t>12</w:t>
            </w:r>
          </w:p>
        </w:tc>
        <w:tc>
          <w:tcPr>
            <w:tcW w:w="173" w:type="dxa"/>
            <w:tcBorders/>
            <w:shd w:fill="CCEEFF" w:val="clear"/>
            <w:vAlign w:val="center"/>
          </w:tcPr>
          <w:p>
            <w:pPr>
              <w:pStyle w:val="TableContents"/>
              <w:bidi w:val="0"/>
              <w:spacing w:before="0" w:after="283"/>
              <w:ind w:left="0" w:right="0" w:hanging="0"/>
              <w:jc w:val="left"/>
              <w:rPr/>
            </w:pPr>
            <w:r>
              <w:rPr/>
            </w:r>
          </w:p>
        </w:tc>
        <w:tc>
          <w:tcPr>
            <w:tcW w:w="42" w:type="dxa"/>
            <w:tcBorders/>
            <w:shd w:fill="CCEEFF" w:val="clear"/>
            <w:vAlign w:val="center"/>
          </w:tcPr>
          <w:p>
            <w:pPr>
              <w:pStyle w:val="TableContents"/>
              <w:bidi w:val="0"/>
              <w:spacing w:before="0" w:after="283"/>
              <w:ind w:left="0" w:right="0" w:hanging="0"/>
              <w:jc w:val="left"/>
              <w:rPr/>
            </w:pPr>
            <w:r>
              <w:rPr/>
            </w:r>
          </w:p>
        </w:tc>
        <w:tc>
          <w:tcPr>
            <w:tcW w:w="310" w:type="dxa"/>
            <w:tcBorders/>
            <w:shd w:fill="CCEEFF" w:val="clear"/>
            <w:vAlign w:val="center"/>
          </w:tcPr>
          <w:p>
            <w:pPr>
              <w:pStyle w:val="TableContents"/>
              <w:bidi w:val="0"/>
              <w:spacing w:before="0" w:after="283"/>
              <w:jc w:val="left"/>
              <w:rPr/>
            </w:pPr>
            <w:r>
              <w:rPr/>
            </w:r>
          </w:p>
        </w:tc>
        <w:tc>
          <w:tcPr>
            <w:tcW w:w="1189" w:type="dxa"/>
            <w:tcBorders/>
            <w:shd w:fill="CCEEFF" w:val="clear"/>
            <w:vAlign w:val="center"/>
          </w:tcPr>
          <w:p>
            <w:pPr>
              <w:pStyle w:val="TableContents"/>
              <w:bidi w:val="0"/>
              <w:spacing w:before="0" w:after="283"/>
              <w:ind w:left="0" w:right="0" w:hanging="0"/>
              <w:jc w:val="right"/>
              <w:rPr/>
            </w:pPr>
            <w:r>
              <w:rPr/>
              <w:t>—</w:t>
            </w:r>
          </w:p>
        </w:tc>
        <w:tc>
          <w:tcPr>
            <w:tcW w:w="124" w:type="dxa"/>
            <w:tcBorders/>
            <w:shd w:fill="CCEEFF" w:val="clear"/>
            <w:vAlign w:val="center"/>
          </w:tcPr>
          <w:p>
            <w:pPr>
              <w:pStyle w:val="TableContents"/>
              <w:bidi w:val="0"/>
              <w:spacing w:before="0" w:after="283"/>
              <w:jc w:val="left"/>
              <w:rPr/>
            </w:pPr>
            <w:r>
              <w:rPr/>
            </w:r>
          </w:p>
        </w:tc>
      </w:tr>
      <w:tr>
        <w:trPr/>
        <w:tc>
          <w:tcPr>
            <w:tcW w:w="6788" w:type="dxa"/>
            <w:tcBorders/>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Proceeds from maturities and sales of marketable securities</w:t>
            </w:r>
          </w:p>
        </w:tc>
        <w:tc>
          <w:tcPr>
            <w:tcW w:w="26" w:type="dxa"/>
            <w:tcBorders/>
            <w:vAlign w:val="center"/>
          </w:tcPr>
          <w:p>
            <w:pPr>
              <w:pStyle w:val="TableContents"/>
              <w:bidi w:val="0"/>
              <w:spacing w:before="0" w:after="283"/>
              <w:ind w:left="0" w:right="0" w:hanging="0"/>
              <w:jc w:val="left"/>
              <w:rPr/>
            </w:pPr>
            <w:r>
              <w:rPr/>
            </w:r>
          </w:p>
        </w:tc>
        <w:tc>
          <w:tcPr>
            <w:tcW w:w="310" w:type="dxa"/>
            <w:tcBorders/>
            <w:vAlign w:val="center"/>
          </w:tcPr>
          <w:p>
            <w:pPr>
              <w:pStyle w:val="TableContents"/>
              <w:bidi w:val="0"/>
              <w:spacing w:before="0" w:after="283"/>
              <w:jc w:val="left"/>
              <w:rPr/>
            </w:pPr>
            <w:r>
              <w:rPr/>
            </w:r>
          </w:p>
        </w:tc>
        <w:tc>
          <w:tcPr>
            <w:tcW w:w="1243" w:type="dxa"/>
            <w:tcBorders/>
            <w:vAlign w:val="center"/>
          </w:tcPr>
          <w:p>
            <w:pPr>
              <w:pStyle w:val="TableContents"/>
              <w:bidi w:val="0"/>
              <w:spacing w:before="0" w:after="283"/>
              <w:ind w:left="0" w:right="0" w:hanging="0"/>
              <w:jc w:val="right"/>
              <w:rPr/>
            </w:pPr>
            <w:r>
              <w:rPr/>
              <w:t>—</w:t>
            </w:r>
          </w:p>
        </w:tc>
        <w:tc>
          <w:tcPr>
            <w:tcW w:w="173" w:type="dxa"/>
            <w:tcBorders/>
            <w:vAlign w:val="center"/>
          </w:tcPr>
          <w:p>
            <w:pPr>
              <w:pStyle w:val="TableContents"/>
              <w:bidi w:val="0"/>
              <w:spacing w:before="0" w:after="283"/>
              <w:ind w:left="0" w:right="0" w:hanging="0"/>
              <w:jc w:val="left"/>
              <w:rPr/>
            </w:pPr>
            <w:r>
              <w:rPr/>
            </w:r>
          </w:p>
        </w:tc>
        <w:tc>
          <w:tcPr>
            <w:tcW w:w="42" w:type="dxa"/>
            <w:tcBorders/>
            <w:vAlign w:val="center"/>
          </w:tcPr>
          <w:p>
            <w:pPr>
              <w:pStyle w:val="TableContents"/>
              <w:bidi w:val="0"/>
              <w:spacing w:before="0" w:after="283"/>
              <w:ind w:left="0" w:right="0" w:hanging="0"/>
              <w:jc w:val="left"/>
              <w:rPr/>
            </w:pPr>
            <w:r>
              <w:rPr/>
            </w:r>
          </w:p>
        </w:tc>
        <w:tc>
          <w:tcPr>
            <w:tcW w:w="310" w:type="dxa"/>
            <w:tcBorders/>
            <w:vAlign w:val="center"/>
          </w:tcPr>
          <w:p>
            <w:pPr>
              <w:pStyle w:val="TableContents"/>
              <w:bidi w:val="0"/>
              <w:spacing w:before="0" w:after="283"/>
              <w:jc w:val="left"/>
              <w:rPr/>
            </w:pPr>
            <w:r>
              <w:rPr/>
            </w:r>
          </w:p>
        </w:tc>
        <w:tc>
          <w:tcPr>
            <w:tcW w:w="1189" w:type="dxa"/>
            <w:tcBorders/>
            <w:vAlign w:val="center"/>
          </w:tcPr>
          <w:p>
            <w:pPr>
              <w:pStyle w:val="TableContents"/>
              <w:bidi w:val="0"/>
              <w:spacing w:before="0" w:after="283"/>
              <w:ind w:left="0" w:right="0" w:hanging="0"/>
              <w:jc w:val="right"/>
              <w:rPr/>
            </w:pPr>
            <w:r>
              <w:rPr/>
              <w:t>7,852</w:t>
            </w:r>
          </w:p>
        </w:tc>
        <w:tc>
          <w:tcPr>
            <w:tcW w:w="124" w:type="dxa"/>
            <w:tcBorders/>
            <w:vAlign w:val="center"/>
          </w:tcPr>
          <w:p>
            <w:pPr>
              <w:pStyle w:val="TableContents"/>
              <w:bidi w:val="0"/>
              <w:spacing w:before="0" w:after="283"/>
              <w:jc w:val="left"/>
              <w:rPr/>
            </w:pPr>
            <w:r>
              <w:rPr/>
            </w:r>
          </w:p>
        </w:tc>
      </w:tr>
      <w:tr>
        <w:trPr/>
        <w:tc>
          <w:tcPr>
            <w:tcW w:w="6788" w:type="dxa"/>
            <w:tcBorders/>
            <w:shd w:fill="CCEEFF" w:val="clear"/>
            <w:vAlign w:val="center"/>
          </w:tcPr>
          <w:p>
            <w:pPr>
              <w:pStyle w:val="TableContents"/>
              <w:bidi w:val="0"/>
              <w:spacing w:before="0" w:after="283"/>
              <w:ind w:left="0" w:right="0" w:hanging="0"/>
              <w:jc w:val="left"/>
              <w:rPr/>
            </w:pPr>
            <w:r>
              <w:rPr/>
              <w:t>Purchases of marketable securities</w:t>
            </w:r>
          </w:p>
        </w:tc>
        <w:tc>
          <w:tcPr>
            <w:tcW w:w="26" w:type="dxa"/>
            <w:tcBorders/>
            <w:shd w:fill="CCEEFF" w:val="clear"/>
            <w:vAlign w:val="center"/>
          </w:tcPr>
          <w:p>
            <w:pPr>
              <w:pStyle w:val="TableContents"/>
              <w:bidi w:val="0"/>
              <w:spacing w:before="0" w:after="283"/>
              <w:ind w:left="0" w:right="0" w:hanging="0"/>
              <w:jc w:val="left"/>
              <w:rPr/>
            </w:pPr>
            <w:r>
              <w:rPr/>
            </w:r>
          </w:p>
        </w:tc>
        <w:tc>
          <w:tcPr>
            <w:tcW w:w="310" w:type="dxa"/>
            <w:tcBorders/>
            <w:shd w:fill="CCEEFF" w:val="clear"/>
            <w:vAlign w:val="center"/>
          </w:tcPr>
          <w:p>
            <w:pPr>
              <w:pStyle w:val="TableContents"/>
              <w:bidi w:val="0"/>
              <w:spacing w:before="0" w:after="283"/>
              <w:jc w:val="left"/>
              <w:rPr/>
            </w:pPr>
            <w:r>
              <w:rPr/>
            </w:r>
          </w:p>
        </w:tc>
        <w:tc>
          <w:tcPr>
            <w:tcW w:w="1243" w:type="dxa"/>
            <w:tcBorders/>
            <w:shd w:fill="CCEEFF" w:val="clear"/>
            <w:vAlign w:val="center"/>
          </w:tcPr>
          <w:p>
            <w:pPr>
              <w:pStyle w:val="TableContents"/>
              <w:bidi w:val="0"/>
              <w:spacing w:before="0" w:after="283"/>
              <w:ind w:left="0" w:right="0" w:hanging="0"/>
              <w:jc w:val="right"/>
              <w:rPr/>
            </w:pPr>
            <w:r>
              <w:rPr/>
              <w:t>—</w:t>
            </w:r>
          </w:p>
        </w:tc>
        <w:tc>
          <w:tcPr>
            <w:tcW w:w="173" w:type="dxa"/>
            <w:tcBorders/>
            <w:shd w:fill="CCEEFF" w:val="clear"/>
            <w:vAlign w:val="center"/>
          </w:tcPr>
          <w:p>
            <w:pPr>
              <w:pStyle w:val="TableContents"/>
              <w:bidi w:val="0"/>
              <w:spacing w:before="0" w:after="283"/>
              <w:ind w:left="0" w:right="0" w:hanging="0"/>
              <w:jc w:val="left"/>
              <w:rPr/>
            </w:pPr>
            <w:r>
              <w:rPr/>
            </w:r>
          </w:p>
        </w:tc>
        <w:tc>
          <w:tcPr>
            <w:tcW w:w="42" w:type="dxa"/>
            <w:tcBorders/>
            <w:shd w:fill="CCEEFF" w:val="clear"/>
            <w:vAlign w:val="center"/>
          </w:tcPr>
          <w:p>
            <w:pPr>
              <w:pStyle w:val="TableContents"/>
              <w:bidi w:val="0"/>
              <w:spacing w:before="0" w:after="283"/>
              <w:ind w:left="0" w:right="0" w:hanging="0"/>
              <w:jc w:val="left"/>
              <w:rPr/>
            </w:pPr>
            <w:r>
              <w:rPr/>
            </w:r>
          </w:p>
        </w:tc>
        <w:tc>
          <w:tcPr>
            <w:tcW w:w="310" w:type="dxa"/>
            <w:tcBorders/>
            <w:shd w:fill="CCEEFF" w:val="clear"/>
            <w:vAlign w:val="center"/>
          </w:tcPr>
          <w:p>
            <w:pPr>
              <w:pStyle w:val="TableContents"/>
              <w:bidi w:val="0"/>
              <w:spacing w:before="0" w:after="283"/>
              <w:jc w:val="left"/>
              <w:rPr/>
            </w:pPr>
            <w:r>
              <w:rPr/>
            </w:r>
          </w:p>
        </w:tc>
        <w:tc>
          <w:tcPr>
            <w:tcW w:w="1189" w:type="dxa"/>
            <w:tcBorders/>
            <w:shd w:fill="CCEEFF" w:val="clear"/>
            <w:vAlign w:val="center"/>
          </w:tcPr>
          <w:p>
            <w:pPr>
              <w:pStyle w:val="TableContents"/>
              <w:bidi w:val="0"/>
              <w:spacing w:before="0" w:after="283"/>
              <w:ind w:left="0" w:right="0" w:hanging="0"/>
              <w:jc w:val="right"/>
              <w:rPr/>
            </w:pPr>
            <w:r>
              <w:rPr/>
              <w:t>(4,695</w:t>
            </w:r>
          </w:p>
        </w:tc>
        <w:tc>
          <w:tcPr>
            <w:tcW w:w="124" w:type="dxa"/>
            <w:tcBorders/>
            <w:shd w:fill="CCEEFF" w:val="clear"/>
            <w:vAlign w:val="center"/>
          </w:tcPr>
          <w:p>
            <w:pPr>
              <w:pStyle w:val="TableContents"/>
              <w:bidi w:val="0"/>
              <w:spacing w:before="0" w:after="0"/>
              <w:jc w:val="left"/>
              <w:rPr/>
            </w:pPr>
            <w:r>
              <w:rPr/>
              <w:t>)</w:t>
            </w:r>
          </w:p>
        </w:tc>
      </w:tr>
      <w:tr>
        <w:trPr/>
        <w:tc>
          <w:tcPr>
            <w:tcW w:w="6788"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Net cash provided by (used in) investing activities, continuing operations</w:t>
            </w:r>
          </w:p>
        </w:tc>
        <w:tc>
          <w:tcPr>
            <w:tcW w:w="26" w:type="dxa"/>
            <w:tcBorders/>
            <w:vAlign w:val="center"/>
          </w:tcPr>
          <w:p>
            <w:pPr>
              <w:pStyle w:val="TableContents"/>
              <w:bidi w:val="0"/>
              <w:spacing w:before="0" w:after="283"/>
              <w:ind w:left="0" w:right="0" w:hanging="0"/>
              <w:jc w:val="left"/>
              <w:rPr/>
            </w:pPr>
            <w:r>
              <w:rPr/>
            </w:r>
          </w:p>
        </w:tc>
        <w:tc>
          <w:tcPr>
            <w:tcW w:w="310" w:type="dxa"/>
            <w:tcBorders>
              <w:top w:val="single" w:sz="8" w:space="0" w:color="000000"/>
            </w:tcBorders>
            <w:tcMar>
              <w:top w:w="28" w:type="dxa"/>
            </w:tcMar>
            <w:vAlign w:val="center"/>
          </w:tcPr>
          <w:p>
            <w:pPr>
              <w:pStyle w:val="TableContents"/>
              <w:bidi w:val="0"/>
              <w:spacing w:before="0" w:after="283"/>
              <w:jc w:val="left"/>
              <w:rPr/>
            </w:pPr>
            <w:r>
              <w:rPr/>
            </w:r>
          </w:p>
        </w:tc>
        <w:tc>
          <w:tcPr>
            <w:tcW w:w="1243" w:type="dxa"/>
            <w:tcBorders>
              <w:top w:val="single" w:sz="8" w:space="0" w:color="000000"/>
            </w:tcBorders>
            <w:tcMar>
              <w:top w:w="28" w:type="dxa"/>
            </w:tcMar>
            <w:vAlign w:val="center"/>
          </w:tcPr>
          <w:p>
            <w:pPr>
              <w:pStyle w:val="TableContents"/>
              <w:bidi w:val="0"/>
              <w:spacing w:before="0" w:after="283"/>
              <w:ind w:left="0" w:right="0" w:hanging="0"/>
              <w:jc w:val="right"/>
              <w:rPr/>
            </w:pPr>
            <w:r>
              <w:rPr/>
              <w:t>(21</w:t>
            </w:r>
          </w:p>
        </w:tc>
        <w:tc>
          <w:tcPr>
            <w:tcW w:w="173" w:type="dxa"/>
            <w:tcBorders/>
            <w:vAlign w:val="center"/>
          </w:tcPr>
          <w:p>
            <w:pPr>
              <w:pStyle w:val="TableContents"/>
              <w:bidi w:val="0"/>
              <w:spacing w:before="0" w:after="0"/>
              <w:ind w:left="0" w:right="0" w:hanging="0"/>
              <w:jc w:val="left"/>
              <w:rPr/>
            </w:pPr>
            <w:r>
              <w:rPr/>
              <w:t>)</w:t>
            </w:r>
          </w:p>
        </w:tc>
        <w:tc>
          <w:tcPr>
            <w:tcW w:w="42" w:type="dxa"/>
            <w:tcBorders/>
            <w:vAlign w:val="center"/>
          </w:tcPr>
          <w:p>
            <w:pPr>
              <w:pStyle w:val="TableContents"/>
              <w:bidi w:val="0"/>
              <w:spacing w:before="0" w:after="283"/>
              <w:ind w:left="0" w:right="0" w:hanging="0"/>
              <w:jc w:val="left"/>
              <w:rPr/>
            </w:pPr>
            <w:r>
              <w:rPr/>
            </w:r>
          </w:p>
        </w:tc>
        <w:tc>
          <w:tcPr>
            <w:tcW w:w="310" w:type="dxa"/>
            <w:tcBorders>
              <w:top w:val="single" w:sz="8" w:space="0" w:color="000000"/>
            </w:tcBorders>
            <w:tcMar>
              <w:top w:w="28" w:type="dxa"/>
            </w:tcMar>
            <w:vAlign w:val="center"/>
          </w:tcPr>
          <w:p>
            <w:pPr>
              <w:pStyle w:val="TableContents"/>
              <w:bidi w:val="0"/>
              <w:spacing w:before="0" w:after="283"/>
              <w:jc w:val="left"/>
              <w:rPr/>
            </w:pPr>
            <w:r>
              <w:rPr/>
            </w:r>
          </w:p>
        </w:tc>
        <w:tc>
          <w:tcPr>
            <w:tcW w:w="1189" w:type="dxa"/>
            <w:tcBorders>
              <w:top w:val="single" w:sz="8" w:space="0" w:color="000000"/>
            </w:tcBorders>
            <w:tcMar>
              <w:top w:w="28" w:type="dxa"/>
            </w:tcMar>
            <w:vAlign w:val="center"/>
          </w:tcPr>
          <w:p>
            <w:pPr>
              <w:pStyle w:val="TableContents"/>
              <w:bidi w:val="0"/>
              <w:spacing w:before="0" w:after="283"/>
              <w:ind w:left="0" w:right="0" w:hanging="0"/>
              <w:jc w:val="right"/>
              <w:rPr/>
            </w:pPr>
            <w:r>
              <w:rPr/>
              <w:t>2,914</w:t>
            </w:r>
          </w:p>
        </w:tc>
        <w:tc>
          <w:tcPr>
            <w:tcW w:w="124" w:type="dxa"/>
            <w:tcBorders/>
            <w:vAlign w:val="center"/>
          </w:tcPr>
          <w:p>
            <w:pPr>
              <w:pStyle w:val="TableContents"/>
              <w:bidi w:val="0"/>
              <w:spacing w:before="0" w:after="283"/>
              <w:jc w:val="left"/>
              <w:rPr/>
            </w:pPr>
            <w:r>
              <w:rPr/>
            </w:r>
          </w:p>
        </w:tc>
      </w:tr>
      <w:tr>
        <w:trPr/>
        <w:tc>
          <w:tcPr>
            <w:tcW w:w="6788" w:type="dxa"/>
            <w:tcBorders/>
            <w:shd w:fill="CCEEFF" w:val="cle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Cash provided by (used in) investing activities, discontinued operations</w:t>
            </w:r>
          </w:p>
        </w:tc>
        <w:tc>
          <w:tcPr>
            <w:tcW w:w="26" w:type="dxa"/>
            <w:tcBorders/>
            <w:shd w:fill="CCEEFF" w:val="clear"/>
            <w:vAlign w:val="center"/>
          </w:tcPr>
          <w:p>
            <w:pPr>
              <w:pStyle w:val="TableContents"/>
              <w:bidi w:val="0"/>
              <w:spacing w:before="0" w:after="283"/>
              <w:ind w:left="0" w:right="0" w:hanging="0"/>
              <w:jc w:val="left"/>
              <w:rPr/>
            </w:pPr>
            <w:r>
              <w:rPr/>
            </w:r>
          </w:p>
        </w:tc>
        <w:tc>
          <w:tcPr>
            <w:tcW w:w="310" w:type="dxa"/>
            <w:tcBorders/>
            <w:shd w:fill="CCEEFF" w:val="clear"/>
            <w:vAlign w:val="center"/>
          </w:tcPr>
          <w:p>
            <w:pPr>
              <w:pStyle w:val="TableContents"/>
              <w:bidi w:val="0"/>
              <w:spacing w:before="0" w:after="283"/>
              <w:jc w:val="left"/>
              <w:rPr/>
            </w:pPr>
            <w:r>
              <w:rPr/>
            </w:r>
          </w:p>
        </w:tc>
        <w:tc>
          <w:tcPr>
            <w:tcW w:w="1243" w:type="dxa"/>
            <w:tcBorders/>
            <w:shd w:fill="CCEEFF" w:val="clear"/>
            <w:vAlign w:val="center"/>
          </w:tcPr>
          <w:p>
            <w:pPr>
              <w:pStyle w:val="TableContents"/>
              <w:bidi w:val="0"/>
              <w:spacing w:before="0" w:after="283"/>
              <w:ind w:left="0" w:right="0" w:hanging="0"/>
              <w:jc w:val="right"/>
              <w:rPr/>
            </w:pPr>
            <w:r>
              <w:rPr/>
              <w:t>—</w:t>
            </w:r>
          </w:p>
        </w:tc>
        <w:tc>
          <w:tcPr>
            <w:tcW w:w="173" w:type="dxa"/>
            <w:tcBorders/>
            <w:shd w:fill="CCEEFF" w:val="clear"/>
            <w:vAlign w:val="center"/>
          </w:tcPr>
          <w:p>
            <w:pPr>
              <w:pStyle w:val="TableContents"/>
              <w:bidi w:val="0"/>
              <w:spacing w:before="0" w:after="283"/>
              <w:ind w:left="0" w:right="0" w:hanging="0"/>
              <w:jc w:val="left"/>
              <w:rPr/>
            </w:pPr>
            <w:r>
              <w:rPr/>
            </w:r>
          </w:p>
        </w:tc>
        <w:tc>
          <w:tcPr>
            <w:tcW w:w="42" w:type="dxa"/>
            <w:tcBorders/>
            <w:shd w:fill="CCEEFF" w:val="clear"/>
            <w:vAlign w:val="center"/>
          </w:tcPr>
          <w:p>
            <w:pPr>
              <w:pStyle w:val="TableContents"/>
              <w:bidi w:val="0"/>
              <w:spacing w:before="0" w:after="283"/>
              <w:ind w:left="0" w:right="0" w:hanging="0"/>
              <w:jc w:val="left"/>
              <w:rPr/>
            </w:pPr>
            <w:r>
              <w:rPr/>
            </w:r>
          </w:p>
        </w:tc>
        <w:tc>
          <w:tcPr>
            <w:tcW w:w="310" w:type="dxa"/>
            <w:tcBorders/>
            <w:shd w:fill="CCEEFF" w:val="clear"/>
            <w:vAlign w:val="center"/>
          </w:tcPr>
          <w:p>
            <w:pPr>
              <w:pStyle w:val="TableContents"/>
              <w:bidi w:val="0"/>
              <w:spacing w:before="0" w:after="283"/>
              <w:jc w:val="left"/>
              <w:rPr/>
            </w:pPr>
            <w:r>
              <w:rPr/>
            </w:r>
          </w:p>
        </w:tc>
        <w:tc>
          <w:tcPr>
            <w:tcW w:w="1189" w:type="dxa"/>
            <w:tcBorders/>
            <w:shd w:fill="CCEEFF" w:val="clear"/>
            <w:vAlign w:val="center"/>
          </w:tcPr>
          <w:p>
            <w:pPr>
              <w:pStyle w:val="TableContents"/>
              <w:bidi w:val="0"/>
              <w:spacing w:before="0" w:after="283"/>
              <w:ind w:left="0" w:right="0" w:hanging="0"/>
              <w:jc w:val="right"/>
              <w:rPr/>
            </w:pPr>
            <w:r>
              <w:rPr/>
              <w:t>—</w:t>
            </w:r>
          </w:p>
        </w:tc>
        <w:tc>
          <w:tcPr>
            <w:tcW w:w="124" w:type="dxa"/>
            <w:tcBorders/>
            <w:shd w:fill="CCEEFF" w:val="clear"/>
            <w:vAlign w:val="center"/>
          </w:tcPr>
          <w:p>
            <w:pPr>
              <w:pStyle w:val="TableContents"/>
              <w:bidi w:val="0"/>
              <w:spacing w:before="0" w:after="283"/>
              <w:jc w:val="left"/>
              <w:rPr/>
            </w:pPr>
            <w:r>
              <w:rPr/>
            </w:r>
          </w:p>
        </w:tc>
      </w:tr>
      <w:tr>
        <w:trPr/>
        <w:tc>
          <w:tcPr>
            <w:tcW w:w="6788" w:type="dxa"/>
            <w:tcBorders/>
            <w:vAlign w:val="center"/>
          </w:tcPr>
          <w:p>
            <w:pPr>
              <w:pStyle w:val="TableContents"/>
              <w:bidi w:val="0"/>
              <w:spacing w:before="0" w:after="0"/>
              <w:ind w:left="0" w:right="0" w:hanging="0"/>
              <w:jc w:val="left"/>
              <w:rPr/>
            </w:pPr>
            <w:r>
              <w:rPr/>
            </w:r>
          </w:p>
        </w:tc>
        <w:tc>
          <w:tcPr>
            <w:tcW w:w="26" w:type="dxa"/>
            <w:tcBorders/>
            <w:vAlign w:val="center"/>
          </w:tcPr>
          <w:p>
            <w:pPr>
              <w:pStyle w:val="TableContents"/>
              <w:pBdr/>
              <w:bidi w:val="0"/>
              <w:spacing w:before="0" w:after="0"/>
              <w:ind w:left="0" w:right="0" w:hanging="0"/>
              <w:jc w:val="left"/>
              <w:rPr/>
            </w:pPr>
            <w:r>
              <w:rPr/>
            </w:r>
          </w:p>
        </w:tc>
        <w:tc>
          <w:tcPr>
            <w:tcW w:w="310" w:type="dxa"/>
            <w:tcBorders/>
            <w:vAlign w:val="center"/>
          </w:tcPr>
          <w:p>
            <w:pPr>
              <w:pStyle w:val="TableContents"/>
              <w:pBdr/>
              <w:bidi w:val="0"/>
              <w:spacing w:before="0" w:after="0"/>
              <w:ind w:left="0" w:right="0" w:hanging="0"/>
              <w:jc w:val="left"/>
              <w:rPr/>
            </w:pPr>
            <w:r>
              <w:rPr/>
            </w:r>
          </w:p>
        </w:tc>
        <w:tc>
          <w:tcPr>
            <w:tcW w:w="1243" w:type="dxa"/>
            <w:tcBorders/>
            <w:vAlign w:val="center"/>
          </w:tcPr>
          <w:p>
            <w:pPr>
              <w:pStyle w:val="TableContents"/>
              <w:bidi w:val="0"/>
              <w:spacing w:before="0" w:after="0"/>
              <w:ind w:left="0" w:right="0" w:hanging="0"/>
              <w:jc w:val="left"/>
              <w:rPr/>
            </w:pPr>
            <w:r>
              <w:rPr/>
            </w:r>
          </w:p>
        </w:tc>
        <w:tc>
          <w:tcPr>
            <w:tcW w:w="173" w:type="dxa"/>
            <w:tcBorders/>
            <w:vAlign w:val="center"/>
          </w:tcPr>
          <w:p>
            <w:pPr>
              <w:pStyle w:val="TableContents"/>
              <w:pBdr/>
              <w:bidi w:val="0"/>
              <w:spacing w:before="0" w:after="0"/>
              <w:ind w:left="0" w:right="0" w:hanging="0"/>
              <w:jc w:val="left"/>
              <w:rPr/>
            </w:pPr>
            <w:r>
              <w:rPr/>
            </w:r>
          </w:p>
        </w:tc>
        <w:tc>
          <w:tcPr>
            <w:tcW w:w="42" w:type="dxa"/>
            <w:tcBorders/>
            <w:vAlign w:val="center"/>
          </w:tcPr>
          <w:p>
            <w:pPr>
              <w:pStyle w:val="TableContents"/>
              <w:pBdr/>
              <w:bidi w:val="0"/>
              <w:spacing w:before="0" w:after="0"/>
              <w:ind w:left="0" w:right="0" w:hanging="0"/>
              <w:jc w:val="left"/>
              <w:rPr/>
            </w:pPr>
            <w:r>
              <w:rPr/>
            </w:r>
          </w:p>
        </w:tc>
        <w:tc>
          <w:tcPr>
            <w:tcW w:w="310" w:type="dxa"/>
            <w:tcBorders/>
            <w:vAlign w:val="center"/>
          </w:tcPr>
          <w:p>
            <w:pPr>
              <w:pStyle w:val="TableContents"/>
              <w:pBdr/>
              <w:bidi w:val="0"/>
              <w:spacing w:before="0" w:after="0"/>
              <w:ind w:left="0" w:right="0" w:hanging="0"/>
              <w:jc w:val="left"/>
              <w:rPr/>
            </w:pPr>
            <w:r>
              <w:rPr/>
            </w:r>
          </w:p>
        </w:tc>
        <w:tc>
          <w:tcPr>
            <w:tcW w:w="1189" w:type="dxa"/>
            <w:tcBorders/>
            <w:vAlign w:val="center"/>
          </w:tcPr>
          <w:p>
            <w:pPr>
              <w:pStyle w:val="TableContents"/>
              <w:bidi w:val="0"/>
              <w:spacing w:before="0" w:after="0"/>
              <w:ind w:left="0" w:right="0" w:hanging="0"/>
              <w:jc w:val="left"/>
              <w:rPr/>
            </w:pPr>
            <w:r>
              <w:rPr/>
            </w:r>
          </w:p>
        </w:tc>
        <w:tc>
          <w:tcPr>
            <w:tcW w:w="124" w:type="dxa"/>
            <w:tcBorders/>
            <w:vAlign w:val="center"/>
          </w:tcPr>
          <w:p>
            <w:pPr>
              <w:pStyle w:val="TableContents"/>
              <w:pBdr/>
              <w:bidi w:val="0"/>
              <w:spacing w:before="0" w:after="0"/>
              <w:ind w:left="0" w:right="0" w:hanging="0"/>
              <w:jc w:val="left"/>
              <w:rPr/>
            </w:pPr>
            <w:r>
              <w:rPr/>
            </w:r>
          </w:p>
        </w:tc>
      </w:tr>
      <w:tr>
        <w:trPr/>
        <w:tc>
          <w:tcPr>
            <w:tcW w:w="678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Cash flows from financing activities: </w:t>
            </w:r>
          </w:p>
        </w:tc>
        <w:tc>
          <w:tcPr>
            <w:tcW w:w="26" w:type="dxa"/>
            <w:tcBorders/>
            <w:shd w:fill="CCEEFF" w:val="clear"/>
            <w:vAlign w:val="center"/>
          </w:tcPr>
          <w:p>
            <w:pPr>
              <w:pStyle w:val="TableContents"/>
              <w:pBdr/>
              <w:bidi w:val="0"/>
              <w:spacing w:before="0" w:after="0"/>
              <w:ind w:left="0" w:right="0" w:hanging="0"/>
              <w:jc w:val="left"/>
              <w:rPr/>
            </w:pPr>
            <w:r>
              <w:rPr/>
            </w:r>
          </w:p>
        </w:tc>
        <w:tc>
          <w:tcPr>
            <w:tcW w:w="310" w:type="dxa"/>
            <w:tcBorders/>
            <w:shd w:fill="CCEEFF" w:val="clear"/>
            <w:vAlign w:val="center"/>
          </w:tcPr>
          <w:p>
            <w:pPr>
              <w:pStyle w:val="TableContents"/>
              <w:pBdr/>
              <w:bidi w:val="0"/>
              <w:spacing w:before="0" w:after="0"/>
              <w:ind w:left="0" w:right="0" w:hanging="0"/>
              <w:jc w:val="left"/>
              <w:rPr/>
            </w:pPr>
            <w:r>
              <w:rPr/>
            </w:r>
          </w:p>
        </w:tc>
        <w:tc>
          <w:tcPr>
            <w:tcW w:w="1243" w:type="dxa"/>
            <w:tcBorders/>
            <w:shd w:fill="CCEEFF" w:val="clear"/>
            <w:vAlign w:val="center"/>
          </w:tcPr>
          <w:p>
            <w:pPr>
              <w:pStyle w:val="TableContents"/>
              <w:bidi w:val="0"/>
              <w:spacing w:before="0" w:after="0"/>
              <w:ind w:left="0" w:right="0" w:hanging="0"/>
              <w:jc w:val="left"/>
              <w:rPr/>
            </w:pPr>
            <w:r>
              <w:rPr/>
            </w:r>
          </w:p>
        </w:tc>
        <w:tc>
          <w:tcPr>
            <w:tcW w:w="173" w:type="dxa"/>
            <w:tcBorders/>
            <w:shd w:fill="CCEEFF" w:val="clear"/>
            <w:vAlign w:val="center"/>
          </w:tcPr>
          <w:p>
            <w:pPr>
              <w:pStyle w:val="TableContents"/>
              <w:pBdr/>
              <w:bidi w:val="0"/>
              <w:spacing w:before="0" w:after="0"/>
              <w:ind w:left="0" w:right="0" w:hanging="0"/>
              <w:jc w:val="left"/>
              <w:rPr/>
            </w:pPr>
            <w:r>
              <w:rPr/>
            </w:r>
          </w:p>
        </w:tc>
        <w:tc>
          <w:tcPr>
            <w:tcW w:w="42" w:type="dxa"/>
            <w:tcBorders/>
            <w:shd w:fill="CCEEFF" w:val="clear"/>
            <w:vAlign w:val="center"/>
          </w:tcPr>
          <w:p>
            <w:pPr>
              <w:pStyle w:val="TableContents"/>
              <w:pBdr/>
              <w:bidi w:val="0"/>
              <w:spacing w:before="0" w:after="0"/>
              <w:ind w:left="0" w:right="0" w:hanging="0"/>
              <w:jc w:val="left"/>
              <w:rPr/>
            </w:pPr>
            <w:r>
              <w:rPr/>
            </w:r>
          </w:p>
        </w:tc>
        <w:tc>
          <w:tcPr>
            <w:tcW w:w="310" w:type="dxa"/>
            <w:tcBorders/>
            <w:shd w:fill="CCEEFF" w:val="clear"/>
            <w:vAlign w:val="center"/>
          </w:tcPr>
          <w:p>
            <w:pPr>
              <w:pStyle w:val="TableContents"/>
              <w:pBdr/>
              <w:bidi w:val="0"/>
              <w:spacing w:before="0" w:after="0"/>
              <w:ind w:left="0" w:right="0" w:hanging="0"/>
              <w:jc w:val="left"/>
              <w:rPr/>
            </w:pPr>
            <w:r>
              <w:rPr/>
            </w:r>
          </w:p>
        </w:tc>
        <w:tc>
          <w:tcPr>
            <w:tcW w:w="1189" w:type="dxa"/>
            <w:tcBorders/>
            <w:shd w:fill="CCEEFF" w:val="clear"/>
            <w:vAlign w:val="center"/>
          </w:tcPr>
          <w:p>
            <w:pPr>
              <w:pStyle w:val="TableContents"/>
              <w:bidi w:val="0"/>
              <w:spacing w:before="0" w:after="0"/>
              <w:ind w:left="0" w:right="0" w:hanging="0"/>
              <w:jc w:val="left"/>
              <w:rPr/>
            </w:pPr>
            <w:r>
              <w:rPr/>
            </w:r>
          </w:p>
        </w:tc>
        <w:tc>
          <w:tcPr>
            <w:tcW w:w="124" w:type="dxa"/>
            <w:tcBorders/>
            <w:shd w:fill="CCEEFF" w:val="clear"/>
            <w:vAlign w:val="center"/>
          </w:tcPr>
          <w:p>
            <w:pPr>
              <w:pStyle w:val="TableContents"/>
              <w:pBdr/>
              <w:bidi w:val="0"/>
              <w:spacing w:before="0" w:after="0"/>
              <w:ind w:left="0" w:right="0" w:hanging="0"/>
              <w:jc w:val="left"/>
              <w:rPr/>
            </w:pPr>
            <w:r>
              <w:rPr/>
            </w:r>
          </w:p>
        </w:tc>
      </w:tr>
      <w:tr>
        <w:trPr/>
        <w:tc>
          <w:tcPr>
            <w:tcW w:w="6788" w:type="dxa"/>
            <w:tcBorders/>
            <w:vAlign w:val="center"/>
          </w:tcPr>
          <w:p>
            <w:pPr>
              <w:pStyle w:val="TableContents"/>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Proceeds from sale of stock </w:t>
            </w:r>
          </w:p>
        </w:tc>
        <w:tc>
          <w:tcPr>
            <w:tcW w:w="26" w:type="dxa"/>
            <w:tcBorders/>
            <w:vAlign w:val="center"/>
          </w:tcPr>
          <w:p>
            <w:pPr>
              <w:pStyle w:val="TableContents"/>
              <w:bidi w:val="0"/>
              <w:spacing w:before="0" w:after="283"/>
              <w:ind w:left="0" w:right="0" w:hanging="0"/>
              <w:jc w:val="left"/>
              <w:rPr/>
            </w:pPr>
            <w:r>
              <w:rPr/>
            </w:r>
          </w:p>
        </w:tc>
        <w:tc>
          <w:tcPr>
            <w:tcW w:w="310" w:type="dxa"/>
            <w:tcBorders/>
            <w:vAlign w:val="center"/>
          </w:tcPr>
          <w:p>
            <w:pPr>
              <w:pStyle w:val="TableContents"/>
              <w:bidi w:val="0"/>
              <w:spacing w:before="0" w:after="283"/>
              <w:jc w:val="left"/>
              <w:rPr/>
            </w:pPr>
            <w:r>
              <w:rPr/>
            </w:r>
          </w:p>
        </w:tc>
        <w:tc>
          <w:tcPr>
            <w:tcW w:w="1243" w:type="dxa"/>
            <w:tcBorders/>
            <w:vAlign w:val="center"/>
          </w:tcPr>
          <w:p>
            <w:pPr>
              <w:pStyle w:val="TableContents"/>
              <w:bidi w:val="0"/>
              <w:spacing w:before="0" w:after="283"/>
              <w:ind w:left="0" w:right="0" w:hanging="0"/>
              <w:jc w:val="right"/>
              <w:rPr/>
            </w:pPr>
            <w:r>
              <w:rPr/>
              <w:t>1,000</w:t>
            </w:r>
          </w:p>
        </w:tc>
        <w:tc>
          <w:tcPr>
            <w:tcW w:w="173" w:type="dxa"/>
            <w:tcBorders/>
            <w:vAlign w:val="center"/>
          </w:tcPr>
          <w:p>
            <w:pPr>
              <w:pStyle w:val="TableContents"/>
              <w:bidi w:val="0"/>
              <w:spacing w:before="0" w:after="283"/>
              <w:ind w:left="0" w:right="0" w:hanging="0"/>
              <w:jc w:val="left"/>
              <w:rPr/>
            </w:pPr>
            <w:r>
              <w:rPr/>
            </w:r>
          </w:p>
        </w:tc>
        <w:tc>
          <w:tcPr>
            <w:tcW w:w="42" w:type="dxa"/>
            <w:tcBorders/>
            <w:vAlign w:val="center"/>
          </w:tcPr>
          <w:p>
            <w:pPr>
              <w:pStyle w:val="TableContents"/>
              <w:bidi w:val="0"/>
              <w:spacing w:before="0" w:after="283"/>
              <w:ind w:left="0" w:right="0" w:hanging="0"/>
              <w:jc w:val="left"/>
              <w:rPr/>
            </w:pPr>
            <w:r>
              <w:rPr/>
            </w:r>
          </w:p>
        </w:tc>
        <w:tc>
          <w:tcPr>
            <w:tcW w:w="310" w:type="dxa"/>
            <w:tcBorders/>
            <w:vAlign w:val="center"/>
          </w:tcPr>
          <w:p>
            <w:pPr>
              <w:pStyle w:val="TableContents"/>
              <w:bidi w:val="0"/>
              <w:spacing w:before="0" w:after="283"/>
              <w:jc w:val="left"/>
              <w:rPr/>
            </w:pPr>
            <w:r>
              <w:rPr/>
            </w:r>
          </w:p>
        </w:tc>
        <w:tc>
          <w:tcPr>
            <w:tcW w:w="1189" w:type="dxa"/>
            <w:tcBorders/>
            <w:vAlign w:val="center"/>
          </w:tcPr>
          <w:p>
            <w:pPr>
              <w:pStyle w:val="TableContents"/>
              <w:bidi w:val="0"/>
              <w:spacing w:before="0" w:after="283"/>
              <w:ind w:left="0" w:right="0" w:hanging="0"/>
              <w:jc w:val="right"/>
              <w:rPr/>
            </w:pPr>
            <w:r>
              <w:rPr/>
              <w:t>—</w:t>
            </w:r>
          </w:p>
        </w:tc>
        <w:tc>
          <w:tcPr>
            <w:tcW w:w="124" w:type="dxa"/>
            <w:tcBorders/>
            <w:vAlign w:val="center"/>
          </w:tcPr>
          <w:p>
            <w:pPr>
              <w:pStyle w:val="TableContents"/>
              <w:bidi w:val="0"/>
              <w:spacing w:before="0" w:after="283"/>
              <w:jc w:val="left"/>
              <w:rPr>
                <w:sz w:val="4"/>
                <w:szCs w:val="4"/>
              </w:rPr>
            </w:pPr>
            <w:r>
              <w:rPr>
                <w:sz w:val="4"/>
                <w:szCs w:val="4"/>
              </w:rPr>
            </w:r>
          </w:p>
        </w:tc>
      </w:tr>
      <w:tr>
        <w:trPr/>
        <w:tc>
          <w:tcPr>
            <w:tcW w:w="6788" w:type="dxa"/>
            <w:tcBorders/>
            <w:shd w:fill="CCEEFF" w:val="clear"/>
            <w:vAlign w:val="center"/>
          </w:tcPr>
          <w:p>
            <w:pPr>
              <w:pStyle w:val="TableContents"/>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Proceeds from issuance of convertible note </w:t>
            </w:r>
          </w:p>
        </w:tc>
        <w:tc>
          <w:tcPr>
            <w:tcW w:w="26" w:type="dxa"/>
            <w:tcBorders/>
            <w:shd w:fill="CCEEFF" w:val="clear"/>
            <w:vAlign w:val="center"/>
          </w:tcPr>
          <w:p>
            <w:pPr>
              <w:pStyle w:val="TableContents"/>
              <w:bidi w:val="0"/>
              <w:spacing w:before="0" w:after="283"/>
              <w:ind w:left="0" w:right="0" w:hanging="0"/>
              <w:jc w:val="left"/>
              <w:rPr/>
            </w:pPr>
            <w:r>
              <w:rPr/>
            </w:r>
          </w:p>
        </w:tc>
        <w:tc>
          <w:tcPr>
            <w:tcW w:w="310" w:type="dxa"/>
            <w:tcBorders/>
            <w:shd w:fill="CCEEFF" w:val="clear"/>
            <w:vAlign w:val="center"/>
          </w:tcPr>
          <w:p>
            <w:pPr>
              <w:pStyle w:val="TableContents"/>
              <w:bidi w:val="0"/>
              <w:spacing w:before="0" w:after="283"/>
              <w:jc w:val="left"/>
              <w:rPr/>
            </w:pPr>
            <w:r>
              <w:rPr/>
            </w:r>
          </w:p>
        </w:tc>
        <w:tc>
          <w:tcPr>
            <w:tcW w:w="1243" w:type="dxa"/>
            <w:tcBorders/>
            <w:shd w:fill="CCEEFF" w:val="clear"/>
            <w:vAlign w:val="center"/>
          </w:tcPr>
          <w:p>
            <w:pPr>
              <w:pStyle w:val="TableContents"/>
              <w:bidi w:val="0"/>
              <w:spacing w:before="0" w:after="283"/>
              <w:ind w:left="0" w:right="0" w:hanging="0"/>
              <w:jc w:val="right"/>
              <w:rPr/>
            </w:pPr>
            <w:r>
              <w:rPr/>
              <w:t>3,000</w:t>
            </w:r>
          </w:p>
        </w:tc>
        <w:tc>
          <w:tcPr>
            <w:tcW w:w="173" w:type="dxa"/>
            <w:tcBorders/>
            <w:shd w:fill="CCEEFF" w:val="clear"/>
            <w:vAlign w:val="center"/>
          </w:tcPr>
          <w:p>
            <w:pPr>
              <w:pStyle w:val="TableContents"/>
              <w:bidi w:val="0"/>
              <w:spacing w:before="0" w:after="283"/>
              <w:ind w:left="0" w:right="0" w:hanging="0"/>
              <w:jc w:val="left"/>
              <w:rPr/>
            </w:pPr>
            <w:r>
              <w:rPr/>
            </w:r>
          </w:p>
        </w:tc>
        <w:tc>
          <w:tcPr>
            <w:tcW w:w="42" w:type="dxa"/>
            <w:tcBorders/>
            <w:shd w:fill="CCEEFF" w:val="clear"/>
            <w:vAlign w:val="center"/>
          </w:tcPr>
          <w:p>
            <w:pPr>
              <w:pStyle w:val="TableContents"/>
              <w:bidi w:val="0"/>
              <w:spacing w:before="0" w:after="283"/>
              <w:ind w:left="0" w:right="0" w:hanging="0"/>
              <w:jc w:val="left"/>
              <w:rPr/>
            </w:pPr>
            <w:r>
              <w:rPr/>
            </w:r>
          </w:p>
        </w:tc>
        <w:tc>
          <w:tcPr>
            <w:tcW w:w="310" w:type="dxa"/>
            <w:tcBorders/>
            <w:shd w:fill="CCEEFF" w:val="clear"/>
            <w:vAlign w:val="center"/>
          </w:tcPr>
          <w:p>
            <w:pPr>
              <w:pStyle w:val="TableContents"/>
              <w:bidi w:val="0"/>
              <w:spacing w:before="0" w:after="283"/>
              <w:jc w:val="left"/>
              <w:rPr/>
            </w:pPr>
            <w:r>
              <w:rPr/>
            </w:r>
          </w:p>
        </w:tc>
        <w:tc>
          <w:tcPr>
            <w:tcW w:w="1189" w:type="dxa"/>
            <w:tcBorders/>
            <w:shd w:fill="CCEEFF" w:val="clear"/>
            <w:vAlign w:val="center"/>
          </w:tcPr>
          <w:p>
            <w:pPr>
              <w:pStyle w:val="TableContents"/>
              <w:bidi w:val="0"/>
              <w:spacing w:before="0" w:after="283"/>
              <w:ind w:left="0" w:right="0" w:hanging="0"/>
              <w:jc w:val="right"/>
              <w:rPr/>
            </w:pPr>
            <w:r>
              <w:rPr/>
              <w:t>—</w:t>
            </w:r>
          </w:p>
        </w:tc>
        <w:tc>
          <w:tcPr>
            <w:tcW w:w="124" w:type="dxa"/>
            <w:tcBorders/>
            <w:shd w:fill="CCEEFF" w:val="clear"/>
            <w:vAlign w:val="center"/>
          </w:tcPr>
          <w:p>
            <w:pPr>
              <w:pStyle w:val="TableContents"/>
              <w:bidi w:val="0"/>
              <w:spacing w:before="0" w:after="283"/>
              <w:jc w:val="left"/>
              <w:rPr/>
            </w:pPr>
            <w:r>
              <w:rPr/>
            </w:r>
          </w:p>
        </w:tc>
      </w:tr>
      <w:tr>
        <w:trPr/>
        <w:tc>
          <w:tcPr>
            <w:tcW w:w="6788" w:type="dxa"/>
            <w:tcBorders/>
            <w:vAlign w:val="center"/>
          </w:tcPr>
          <w:p>
            <w:pPr>
              <w:pStyle w:val="TableContents"/>
              <w:bidi w:val="0"/>
              <w:spacing w:before="0" w:after="283"/>
              <w:ind w:left="0" w:right="0" w:hanging="0"/>
              <w:jc w:val="left"/>
              <w:rPr>
                <w:rFonts w:ascii="times new roman;times" w:hAnsi="times new roman;times"/>
                <w:color w:val="000000"/>
                <w:sz w:val="20"/>
              </w:rPr>
            </w:pPr>
            <w:r>
              <w:rPr>
                <w:rFonts w:ascii="times new roman;times" w:hAnsi="times new roman;times"/>
                <w:color w:val="000000"/>
                <w:sz w:val="20"/>
              </w:rPr>
              <w:t xml:space="preserve">Purchases of outstanding warrants </w:t>
            </w:r>
          </w:p>
        </w:tc>
        <w:tc>
          <w:tcPr>
            <w:tcW w:w="26" w:type="dxa"/>
            <w:tcBorders/>
            <w:vAlign w:val="center"/>
          </w:tcPr>
          <w:p>
            <w:pPr>
              <w:pStyle w:val="TableContents"/>
              <w:bidi w:val="0"/>
              <w:spacing w:before="0" w:after="283"/>
              <w:ind w:left="0" w:right="0" w:hanging="0"/>
              <w:jc w:val="left"/>
              <w:rPr/>
            </w:pPr>
            <w:r>
              <w:rPr/>
            </w:r>
          </w:p>
        </w:tc>
        <w:tc>
          <w:tcPr>
            <w:tcW w:w="310" w:type="dxa"/>
            <w:tcBorders/>
            <w:vAlign w:val="center"/>
          </w:tcPr>
          <w:p>
            <w:pPr>
              <w:pStyle w:val="TableContents"/>
              <w:bidi w:val="0"/>
              <w:spacing w:before="0" w:after="283"/>
              <w:jc w:val="left"/>
              <w:rPr/>
            </w:pPr>
            <w:r>
              <w:rPr/>
            </w:r>
          </w:p>
        </w:tc>
        <w:tc>
          <w:tcPr>
            <w:tcW w:w="1243" w:type="dxa"/>
            <w:tcBorders/>
            <w:vAlign w:val="center"/>
          </w:tcPr>
          <w:p>
            <w:pPr>
              <w:pStyle w:val="TableContents"/>
              <w:bidi w:val="0"/>
              <w:spacing w:before="0" w:after="283"/>
              <w:ind w:left="0" w:right="0" w:hanging="0"/>
              <w:jc w:val="right"/>
              <w:rPr/>
            </w:pPr>
            <w:r>
              <w:rPr/>
              <w:t>(34</w:t>
            </w:r>
          </w:p>
        </w:tc>
        <w:tc>
          <w:tcPr>
            <w:tcW w:w="173" w:type="dxa"/>
            <w:tcBorders/>
            <w:vAlign w:val="center"/>
          </w:tcPr>
          <w:p>
            <w:pPr>
              <w:pStyle w:val="TableContents"/>
              <w:bidi w:val="0"/>
              <w:spacing w:before="0" w:after="0"/>
              <w:ind w:left="0" w:right="0" w:hanging="0"/>
              <w:jc w:val="left"/>
              <w:rPr/>
            </w:pPr>
            <w:r>
              <w:rPr/>
              <w:t>)</w:t>
            </w:r>
          </w:p>
        </w:tc>
        <w:tc>
          <w:tcPr>
            <w:tcW w:w="42" w:type="dxa"/>
            <w:tcBorders/>
            <w:vAlign w:val="center"/>
          </w:tcPr>
          <w:p>
            <w:pPr>
              <w:pStyle w:val="TableContents"/>
              <w:bidi w:val="0"/>
              <w:spacing w:before="0" w:after="283"/>
              <w:ind w:left="0" w:right="0" w:hanging="0"/>
              <w:jc w:val="left"/>
              <w:rPr/>
            </w:pPr>
            <w:r>
              <w:rPr/>
            </w:r>
          </w:p>
        </w:tc>
        <w:tc>
          <w:tcPr>
            <w:tcW w:w="310" w:type="dxa"/>
            <w:tcBorders/>
            <w:vAlign w:val="center"/>
          </w:tcPr>
          <w:p>
            <w:pPr>
              <w:pStyle w:val="TableContents"/>
              <w:bidi w:val="0"/>
              <w:spacing w:before="0" w:after="283"/>
              <w:jc w:val="left"/>
              <w:rPr/>
            </w:pPr>
            <w:r>
              <w:rPr/>
            </w:r>
          </w:p>
        </w:tc>
        <w:tc>
          <w:tcPr>
            <w:tcW w:w="1189" w:type="dxa"/>
            <w:tcBorders/>
            <w:vAlign w:val="center"/>
          </w:tcPr>
          <w:p>
            <w:pPr>
              <w:pStyle w:val="TableContents"/>
              <w:bidi w:val="0"/>
              <w:spacing w:before="0" w:after="283"/>
              <w:ind w:left="0" w:right="0" w:hanging="0"/>
              <w:jc w:val="right"/>
              <w:rPr/>
            </w:pPr>
            <w:r>
              <w:rPr/>
              <w:t>—</w:t>
            </w:r>
          </w:p>
        </w:tc>
        <w:tc>
          <w:tcPr>
            <w:tcW w:w="124" w:type="dxa"/>
            <w:tcBorders/>
            <w:vAlign w:val="center"/>
          </w:tcPr>
          <w:p>
            <w:pPr>
              <w:pStyle w:val="TableContents"/>
              <w:bidi w:val="0"/>
              <w:spacing w:before="0" w:after="283"/>
              <w:jc w:val="left"/>
              <w:rPr/>
            </w:pPr>
            <w:r>
              <w:rPr/>
            </w:r>
          </w:p>
        </w:tc>
      </w:tr>
      <w:tr>
        <w:trPr/>
        <w:tc>
          <w:tcPr>
            <w:tcW w:w="678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Net proceeds from equity-based compensation programs </w:t>
            </w:r>
          </w:p>
        </w:tc>
        <w:tc>
          <w:tcPr>
            <w:tcW w:w="26" w:type="dxa"/>
            <w:tcBorders/>
            <w:shd w:fill="CCEEFF" w:val="clear"/>
            <w:vAlign w:val="center"/>
          </w:tcPr>
          <w:p>
            <w:pPr>
              <w:pStyle w:val="TableContents"/>
              <w:pBdr/>
              <w:bidi w:val="0"/>
              <w:spacing w:before="0" w:after="0"/>
              <w:ind w:left="0" w:right="0" w:hanging="0"/>
              <w:jc w:val="left"/>
              <w:rPr/>
            </w:pPr>
            <w:r>
              <w:rPr/>
            </w:r>
          </w:p>
        </w:tc>
        <w:tc>
          <w:tcPr>
            <w:tcW w:w="310" w:type="dxa"/>
            <w:tcBorders/>
            <w:shd w:fill="CCEEFF" w:val="clear"/>
            <w:vAlign w:val="center"/>
          </w:tcPr>
          <w:p>
            <w:pPr>
              <w:pStyle w:val="TableContents"/>
              <w:pBdr/>
              <w:bidi w:val="0"/>
              <w:spacing w:before="0" w:after="0"/>
              <w:ind w:left="0" w:right="0" w:hanging="0"/>
              <w:jc w:val="left"/>
              <w:rPr/>
            </w:pPr>
            <w:r>
              <w:rPr/>
            </w:r>
          </w:p>
        </w:tc>
        <w:tc>
          <w:tcPr>
            <w:tcW w:w="1243" w:type="dxa"/>
            <w:tcBorders/>
            <w:shd w:fill="CCEEFF" w:val="clear"/>
            <w:vAlign w:val="center"/>
          </w:tcPr>
          <w:p>
            <w:pPr>
              <w:pStyle w:val="TableContents"/>
              <w:bidi w:val="0"/>
              <w:spacing w:before="0" w:after="0"/>
              <w:ind w:left="0" w:right="0" w:hanging="0"/>
              <w:jc w:val="right"/>
              <w:rPr/>
            </w:pPr>
            <w:r>
              <w:rPr/>
              <w:t>—</w:t>
            </w:r>
          </w:p>
        </w:tc>
        <w:tc>
          <w:tcPr>
            <w:tcW w:w="173"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42" w:type="dxa"/>
            <w:tcBorders/>
            <w:shd w:fill="CCEEFF" w:val="clear"/>
            <w:vAlign w:val="center"/>
          </w:tcPr>
          <w:p>
            <w:pPr>
              <w:pStyle w:val="TableContents"/>
              <w:pBdr/>
              <w:bidi w:val="0"/>
              <w:spacing w:before="0" w:after="0"/>
              <w:ind w:left="0" w:right="0" w:hanging="0"/>
              <w:jc w:val="left"/>
              <w:rPr/>
            </w:pPr>
            <w:r>
              <w:rPr/>
            </w:r>
          </w:p>
        </w:tc>
        <w:tc>
          <w:tcPr>
            <w:tcW w:w="310" w:type="dxa"/>
            <w:tcBorders/>
            <w:shd w:fill="CCEEFF" w:val="clear"/>
            <w:vAlign w:val="center"/>
          </w:tcPr>
          <w:p>
            <w:pPr>
              <w:pStyle w:val="TableContents"/>
              <w:pBdr/>
              <w:bidi w:val="0"/>
              <w:spacing w:before="0" w:after="0"/>
              <w:ind w:left="0" w:right="0" w:hanging="0"/>
              <w:jc w:val="left"/>
              <w:rPr/>
            </w:pPr>
            <w:r>
              <w:rPr/>
            </w:r>
          </w:p>
        </w:tc>
        <w:tc>
          <w:tcPr>
            <w:tcW w:w="118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w:t>
            </w:r>
          </w:p>
        </w:tc>
        <w:tc>
          <w:tcPr>
            <w:tcW w:w="124" w:type="dxa"/>
            <w:tcBorders/>
            <w:shd w:fill="CCEEFF" w:val="clear"/>
            <w:vAlign w:val="center"/>
          </w:tcPr>
          <w:p>
            <w:pPr>
              <w:pStyle w:val="TableContents"/>
              <w:pBdr/>
              <w:bidi w:val="0"/>
              <w:spacing w:before="0" w:after="0"/>
              <w:ind w:left="0" w:right="0" w:hanging="0"/>
              <w:jc w:val="left"/>
              <w:rPr/>
            </w:pPr>
            <w:r>
              <w:rPr/>
            </w:r>
          </w:p>
        </w:tc>
      </w:tr>
      <w:tr>
        <w:trPr/>
        <w:tc>
          <w:tcPr>
            <w:tcW w:w="678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Dividend Payment </w:t>
            </w:r>
          </w:p>
        </w:tc>
        <w:tc>
          <w:tcPr>
            <w:tcW w:w="26" w:type="dxa"/>
            <w:tcBorders/>
            <w:vAlign w:val="center"/>
          </w:tcPr>
          <w:p>
            <w:pPr>
              <w:pStyle w:val="TableContents"/>
              <w:bidi w:val="0"/>
              <w:spacing w:before="0" w:after="283"/>
              <w:ind w:left="0" w:right="0" w:hanging="0"/>
              <w:jc w:val="left"/>
              <w:rPr/>
            </w:pPr>
            <w:r>
              <w:rPr/>
            </w:r>
          </w:p>
        </w:tc>
        <w:tc>
          <w:tcPr>
            <w:tcW w:w="310" w:type="dxa"/>
            <w:tcBorders/>
            <w:vAlign w:val="center"/>
          </w:tcPr>
          <w:p>
            <w:pPr>
              <w:pStyle w:val="TableContents"/>
              <w:bidi w:val="0"/>
              <w:spacing w:before="0" w:after="283"/>
              <w:jc w:val="left"/>
              <w:rPr/>
            </w:pPr>
            <w:r>
              <w:rPr/>
            </w:r>
          </w:p>
        </w:tc>
        <w:tc>
          <w:tcPr>
            <w:tcW w:w="1243" w:type="dxa"/>
            <w:tcBorders/>
            <w:vAlign w:val="center"/>
          </w:tcPr>
          <w:p>
            <w:pPr>
              <w:pStyle w:val="TableContents"/>
              <w:bidi w:val="0"/>
              <w:spacing w:before="0" w:after="283"/>
              <w:ind w:left="0" w:right="0" w:hanging="0"/>
              <w:jc w:val="right"/>
              <w:rPr/>
            </w:pPr>
            <w:r>
              <w:rPr/>
              <w:t>—</w:t>
            </w:r>
          </w:p>
        </w:tc>
        <w:tc>
          <w:tcPr>
            <w:tcW w:w="173" w:type="dxa"/>
            <w:tcBorders/>
            <w:vAlign w:val="center"/>
          </w:tcPr>
          <w:p>
            <w:pPr>
              <w:pStyle w:val="TableContents"/>
              <w:bidi w:val="0"/>
              <w:spacing w:before="0" w:after="283"/>
              <w:ind w:left="0" w:right="0" w:hanging="0"/>
              <w:jc w:val="left"/>
              <w:rPr>
                <w:sz w:val="4"/>
                <w:szCs w:val="4"/>
              </w:rPr>
            </w:pPr>
            <w:r>
              <w:rPr>
                <w:sz w:val="4"/>
                <w:szCs w:val="4"/>
              </w:rPr>
            </w:r>
          </w:p>
        </w:tc>
        <w:tc>
          <w:tcPr>
            <w:tcW w:w="42" w:type="dxa"/>
            <w:tcBorders/>
            <w:vAlign w:val="center"/>
          </w:tcPr>
          <w:p>
            <w:pPr>
              <w:pStyle w:val="TableContents"/>
              <w:bidi w:val="0"/>
              <w:spacing w:before="0" w:after="283"/>
              <w:ind w:left="0" w:right="0" w:hanging="0"/>
              <w:jc w:val="left"/>
              <w:rPr/>
            </w:pPr>
            <w:r>
              <w:rPr/>
            </w:r>
          </w:p>
        </w:tc>
        <w:tc>
          <w:tcPr>
            <w:tcW w:w="310" w:type="dxa"/>
            <w:tcBorders/>
            <w:vAlign w:val="center"/>
          </w:tcPr>
          <w:p>
            <w:pPr>
              <w:pStyle w:val="TableContents"/>
              <w:bidi w:val="0"/>
              <w:spacing w:before="0" w:after="283"/>
              <w:jc w:val="left"/>
              <w:rPr/>
            </w:pPr>
            <w:r>
              <w:rPr/>
            </w:r>
          </w:p>
        </w:tc>
        <w:tc>
          <w:tcPr>
            <w:tcW w:w="1189" w:type="dxa"/>
            <w:tcBorders/>
            <w:vAlign w:val="center"/>
          </w:tcPr>
          <w:p>
            <w:pPr>
              <w:pStyle w:val="TableContents"/>
              <w:bidi w:val="0"/>
              <w:spacing w:before="0" w:after="283"/>
              <w:ind w:left="0" w:right="0" w:hanging="0"/>
              <w:jc w:val="right"/>
              <w:rPr>
                <w:sz w:val="20"/>
              </w:rPr>
            </w:pPr>
            <w:r>
              <w:rPr>
                <w:sz w:val="20"/>
              </w:rPr>
              <w:t>(14,496</w:t>
            </w:r>
          </w:p>
        </w:tc>
        <w:tc>
          <w:tcPr>
            <w:tcW w:w="124" w:type="dxa"/>
            <w:tcBorders/>
            <w:vAlign w:val="center"/>
          </w:tcPr>
          <w:p>
            <w:pPr>
              <w:pStyle w:val="TableContents"/>
              <w:bidi w:val="0"/>
              <w:spacing w:before="0" w:after="0"/>
              <w:jc w:val="left"/>
              <w:rPr/>
            </w:pPr>
            <w:r>
              <w:rPr/>
              <w:t>)</w:t>
            </w:r>
          </w:p>
        </w:tc>
      </w:tr>
      <w:tr>
        <w:trPr/>
        <w:tc>
          <w:tcPr>
            <w:tcW w:w="6788" w:type="dxa"/>
            <w:tcBorders/>
            <w:shd w:fill="CCEEFF" w:val="clear"/>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Net cash provided by (used in) financing activities, continuing operations</w:t>
            </w:r>
          </w:p>
        </w:tc>
        <w:tc>
          <w:tcPr>
            <w:tcW w:w="26" w:type="dxa"/>
            <w:tcBorders/>
            <w:shd w:fill="CCEEFF" w:val="clear"/>
            <w:vAlign w:val="center"/>
          </w:tcPr>
          <w:p>
            <w:pPr>
              <w:pStyle w:val="TableContents"/>
              <w:pBdr/>
              <w:bidi w:val="0"/>
              <w:spacing w:before="0" w:after="0"/>
              <w:ind w:left="0" w:right="0" w:hanging="0"/>
              <w:jc w:val="left"/>
              <w:rPr/>
            </w:pPr>
            <w:r>
              <w:rPr/>
            </w:r>
          </w:p>
        </w:tc>
        <w:tc>
          <w:tcPr>
            <w:tcW w:w="310" w:type="dxa"/>
            <w:tcBorders/>
            <w:shd w:fill="CCEEFF" w:val="clear"/>
            <w:vAlign w:val="center"/>
          </w:tcPr>
          <w:p>
            <w:pPr>
              <w:pStyle w:val="TableContents"/>
              <w:pBdr/>
              <w:bidi w:val="0"/>
              <w:spacing w:before="0" w:after="0"/>
              <w:ind w:left="0" w:right="0" w:hanging="0"/>
              <w:jc w:val="left"/>
              <w:rPr/>
            </w:pPr>
            <w:r>
              <w:rPr/>
            </w:r>
          </w:p>
        </w:tc>
        <w:tc>
          <w:tcPr>
            <w:tcW w:w="124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3,966</w:t>
            </w:r>
          </w:p>
        </w:tc>
        <w:tc>
          <w:tcPr>
            <w:tcW w:w="173"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42" w:type="dxa"/>
            <w:tcBorders/>
            <w:shd w:fill="CCEEFF" w:val="clear"/>
            <w:vAlign w:val="center"/>
          </w:tcPr>
          <w:p>
            <w:pPr>
              <w:pStyle w:val="TableContents"/>
              <w:pBdr/>
              <w:bidi w:val="0"/>
              <w:spacing w:before="0" w:after="0"/>
              <w:ind w:left="0" w:right="0" w:hanging="0"/>
              <w:jc w:val="left"/>
              <w:rPr/>
            </w:pPr>
            <w:r>
              <w:rPr/>
            </w:r>
          </w:p>
        </w:tc>
        <w:tc>
          <w:tcPr>
            <w:tcW w:w="310" w:type="dxa"/>
            <w:tcBorders/>
            <w:shd w:fill="CCEEFF" w:val="clear"/>
            <w:vAlign w:val="center"/>
          </w:tcPr>
          <w:p>
            <w:pPr>
              <w:pStyle w:val="TableContents"/>
              <w:pBdr/>
              <w:bidi w:val="0"/>
              <w:spacing w:before="0" w:after="0"/>
              <w:ind w:left="0" w:right="0" w:hanging="0"/>
              <w:jc w:val="left"/>
              <w:rPr/>
            </w:pPr>
            <w:r>
              <w:rPr/>
            </w:r>
          </w:p>
        </w:tc>
        <w:tc>
          <w:tcPr>
            <w:tcW w:w="118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(14,480</w:t>
            </w:r>
          </w:p>
        </w:tc>
        <w:tc>
          <w:tcPr>
            <w:tcW w:w="124" w:type="dxa"/>
            <w:tcBorders/>
            <w:shd w:fill="CCEEFF" w:val="clear"/>
            <w:vAlign w:val="center"/>
          </w:tcPr>
          <w:p>
            <w:pPr>
              <w:pStyle w:val="TableContents"/>
              <w:bidi w:val="0"/>
              <w:spacing w:before="0" w:after="0"/>
              <w:jc w:val="left"/>
              <w:rPr/>
            </w:pPr>
            <w:r>
              <w:rPr/>
              <w:t>)</w:t>
            </w:r>
          </w:p>
        </w:tc>
      </w:tr>
      <w:tr>
        <w:trPr/>
        <w:tc>
          <w:tcPr>
            <w:tcW w:w="6788"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Cash provided by (used in) financing activities, discontinued operations</w:t>
            </w:r>
          </w:p>
        </w:tc>
        <w:tc>
          <w:tcPr>
            <w:tcW w:w="26" w:type="dxa"/>
            <w:tcBorders/>
            <w:vAlign w:val="center"/>
          </w:tcPr>
          <w:p>
            <w:pPr>
              <w:pStyle w:val="TableContents"/>
              <w:bidi w:val="0"/>
              <w:spacing w:before="0" w:after="283"/>
              <w:ind w:left="0" w:right="0" w:hanging="0"/>
              <w:jc w:val="left"/>
              <w:rPr/>
            </w:pPr>
            <w:r>
              <w:rPr/>
            </w:r>
          </w:p>
        </w:tc>
        <w:tc>
          <w:tcPr>
            <w:tcW w:w="310" w:type="dxa"/>
            <w:tcBorders/>
            <w:vAlign w:val="center"/>
          </w:tcPr>
          <w:p>
            <w:pPr>
              <w:pStyle w:val="TableContents"/>
              <w:bidi w:val="0"/>
              <w:spacing w:before="0" w:after="283"/>
              <w:jc w:val="left"/>
              <w:rPr/>
            </w:pPr>
            <w:r>
              <w:rPr/>
            </w:r>
          </w:p>
        </w:tc>
        <w:tc>
          <w:tcPr>
            <w:tcW w:w="1243" w:type="dxa"/>
            <w:tcBorders/>
            <w:vAlign w:val="center"/>
          </w:tcPr>
          <w:p>
            <w:pPr>
              <w:pStyle w:val="TableContents"/>
              <w:bidi w:val="0"/>
              <w:spacing w:before="0" w:after="283"/>
              <w:ind w:left="0" w:right="0" w:hanging="0"/>
              <w:jc w:val="right"/>
              <w:rPr/>
            </w:pPr>
            <w:r>
              <w:rPr/>
              <w:t>—</w:t>
            </w:r>
          </w:p>
        </w:tc>
        <w:tc>
          <w:tcPr>
            <w:tcW w:w="173" w:type="dxa"/>
            <w:tcBorders/>
            <w:vAlign w:val="center"/>
          </w:tcPr>
          <w:p>
            <w:pPr>
              <w:pStyle w:val="TableContents"/>
              <w:bidi w:val="0"/>
              <w:spacing w:before="0" w:after="283"/>
              <w:ind w:left="0" w:right="0" w:hanging="0"/>
              <w:jc w:val="left"/>
              <w:rPr/>
            </w:pPr>
            <w:r>
              <w:rPr/>
            </w:r>
          </w:p>
        </w:tc>
        <w:tc>
          <w:tcPr>
            <w:tcW w:w="42" w:type="dxa"/>
            <w:tcBorders/>
            <w:vAlign w:val="center"/>
          </w:tcPr>
          <w:p>
            <w:pPr>
              <w:pStyle w:val="TableContents"/>
              <w:bidi w:val="0"/>
              <w:spacing w:before="0" w:after="283"/>
              <w:ind w:left="0" w:right="0" w:hanging="0"/>
              <w:jc w:val="left"/>
              <w:rPr/>
            </w:pPr>
            <w:r>
              <w:rPr/>
            </w:r>
          </w:p>
        </w:tc>
        <w:tc>
          <w:tcPr>
            <w:tcW w:w="310" w:type="dxa"/>
            <w:tcBorders/>
            <w:vAlign w:val="center"/>
          </w:tcPr>
          <w:p>
            <w:pPr>
              <w:pStyle w:val="TableContents"/>
              <w:bidi w:val="0"/>
              <w:spacing w:before="0" w:after="283"/>
              <w:jc w:val="left"/>
              <w:rPr/>
            </w:pPr>
            <w:r>
              <w:rPr/>
            </w:r>
          </w:p>
        </w:tc>
        <w:tc>
          <w:tcPr>
            <w:tcW w:w="1189" w:type="dxa"/>
            <w:tcBorders/>
            <w:vAlign w:val="center"/>
          </w:tcPr>
          <w:p>
            <w:pPr>
              <w:pStyle w:val="TableContents"/>
              <w:bidi w:val="0"/>
              <w:spacing w:before="0" w:after="283"/>
              <w:ind w:left="0" w:right="0" w:hanging="0"/>
              <w:jc w:val="right"/>
              <w:rPr/>
            </w:pPr>
            <w:r>
              <w:rPr/>
              <w:t>—</w:t>
            </w:r>
          </w:p>
        </w:tc>
        <w:tc>
          <w:tcPr>
            <w:tcW w:w="124" w:type="dxa"/>
            <w:tcBorders/>
            <w:vAlign w:val="center"/>
          </w:tcPr>
          <w:p>
            <w:pPr>
              <w:pStyle w:val="TableContents"/>
              <w:bidi w:val="0"/>
              <w:spacing w:before="0" w:after="283"/>
              <w:jc w:val="left"/>
              <w:rPr/>
            </w:pPr>
            <w:r>
              <w:rPr/>
            </w:r>
          </w:p>
        </w:tc>
      </w:tr>
      <w:tr>
        <w:trPr/>
        <w:tc>
          <w:tcPr>
            <w:tcW w:w="6788" w:type="dxa"/>
            <w:tcBorders/>
            <w:shd w:fill="CCEEFF" w:val="clear"/>
            <w:vAlign w:val="center"/>
          </w:tcPr>
          <w:p>
            <w:pPr>
              <w:pStyle w:val="TableContents"/>
              <w:bidi w:val="0"/>
              <w:spacing w:before="0" w:after="0"/>
              <w:ind w:left="0" w:right="0" w:hanging="0"/>
              <w:jc w:val="left"/>
              <w:rPr/>
            </w:pPr>
            <w:r>
              <w:rPr/>
            </w:r>
          </w:p>
        </w:tc>
        <w:tc>
          <w:tcPr>
            <w:tcW w:w="26" w:type="dxa"/>
            <w:tcBorders/>
            <w:shd w:fill="CCEEFF" w:val="clear"/>
            <w:vAlign w:val="center"/>
          </w:tcPr>
          <w:p>
            <w:pPr>
              <w:pStyle w:val="TableContents"/>
              <w:pBdr/>
              <w:bidi w:val="0"/>
              <w:spacing w:before="0" w:after="0"/>
              <w:ind w:left="0" w:right="0" w:hanging="0"/>
              <w:jc w:val="left"/>
              <w:rPr/>
            </w:pPr>
            <w:r>
              <w:rPr/>
            </w:r>
          </w:p>
        </w:tc>
        <w:tc>
          <w:tcPr>
            <w:tcW w:w="310" w:type="dxa"/>
            <w:tcBorders/>
            <w:shd w:fill="CCEEFF" w:val="clear"/>
            <w:vAlign w:val="center"/>
          </w:tcPr>
          <w:p>
            <w:pPr>
              <w:pStyle w:val="TableContents"/>
              <w:pBdr/>
              <w:bidi w:val="0"/>
              <w:spacing w:before="0" w:after="0"/>
              <w:ind w:left="0" w:right="0" w:hanging="0"/>
              <w:jc w:val="left"/>
              <w:rPr/>
            </w:pPr>
            <w:r>
              <w:rPr/>
            </w:r>
          </w:p>
        </w:tc>
        <w:tc>
          <w:tcPr>
            <w:tcW w:w="1243" w:type="dxa"/>
            <w:tcBorders/>
            <w:shd w:fill="CCEEFF" w:val="clear"/>
            <w:vAlign w:val="center"/>
          </w:tcPr>
          <w:p>
            <w:pPr>
              <w:pStyle w:val="TableContents"/>
              <w:bidi w:val="0"/>
              <w:spacing w:before="0" w:after="0"/>
              <w:ind w:left="0" w:right="0" w:hanging="0"/>
              <w:jc w:val="left"/>
              <w:rPr/>
            </w:pPr>
            <w:r>
              <w:rPr/>
            </w:r>
          </w:p>
        </w:tc>
        <w:tc>
          <w:tcPr>
            <w:tcW w:w="173" w:type="dxa"/>
            <w:tcBorders/>
            <w:shd w:fill="CCEEFF" w:val="clear"/>
            <w:vAlign w:val="center"/>
          </w:tcPr>
          <w:p>
            <w:pPr>
              <w:pStyle w:val="TableContents"/>
              <w:pBdr/>
              <w:bidi w:val="0"/>
              <w:spacing w:before="0" w:after="0"/>
              <w:ind w:left="0" w:right="0" w:hanging="0"/>
              <w:jc w:val="left"/>
              <w:rPr/>
            </w:pPr>
            <w:r>
              <w:rPr/>
            </w:r>
          </w:p>
        </w:tc>
        <w:tc>
          <w:tcPr>
            <w:tcW w:w="42" w:type="dxa"/>
            <w:tcBorders/>
            <w:shd w:fill="CCEEFF" w:val="clear"/>
            <w:vAlign w:val="center"/>
          </w:tcPr>
          <w:p>
            <w:pPr>
              <w:pStyle w:val="TableContents"/>
              <w:pBdr/>
              <w:bidi w:val="0"/>
              <w:spacing w:before="0" w:after="0"/>
              <w:ind w:left="0" w:right="0" w:hanging="0"/>
              <w:jc w:val="left"/>
              <w:rPr/>
            </w:pPr>
            <w:r>
              <w:rPr/>
            </w:r>
          </w:p>
        </w:tc>
        <w:tc>
          <w:tcPr>
            <w:tcW w:w="310" w:type="dxa"/>
            <w:tcBorders/>
            <w:shd w:fill="CCEEFF" w:val="clear"/>
            <w:vAlign w:val="center"/>
          </w:tcPr>
          <w:p>
            <w:pPr>
              <w:pStyle w:val="TableContents"/>
              <w:pBdr/>
              <w:bidi w:val="0"/>
              <w:spacing w:before="0" w:after="0"/>
              <w:ind w:left="0" w:right="0" w:hanging="0"/>
              <w:jc w:val="left"/>
              <w:rPr/>
            </w:pPr>
            <w:r>
              <w:rPr/>
            </w:r>
          </w:p>
        </w:tc>
        <w:tc>
          <w:tcPr>
            <w:tcW w:w="1189" w:type="dxa"/>
            <w:tcBorders/>
            <w:shd w:fill="CCEEFF" w:val="clear"/>
            <w:vAlign w:val="center"/>
          </w:tcPr>
          <w:p>
            <w:pPr>
              <w:pStyle w:val="TableContents"/>
              <w:bidi w:val="0"/>
              <w:spacing w:before="0" w:after="0"/>
              <w:ind w:left="0" w:right="0" w:hanging="0"/>
              <w:jc w:val="left"/>
              <w:rPr/>
            </w:pPr>
            <w:r>
              <w:rPr/>
            </w:r>
          </w:p>
        </w:tc>
        <w:tc>
          <w:tcPr>
            <w:tcW w:w="124" w:type="dxa"/>
            <w:tcBorders/>
            <w:shd w:fill="CCEEFF" w:val="clear"/>
            <w:vAlign w:val="center"/>
          </w:tcPr>
          <w:p>
            <w:pPr>
              <w:pStyle w:val="TableContents"/>
              <w:pBdr/>
              <w:bidi w:val="0"/>
              <w:spacing w:before="0" w:after="0"/>
              <w:ind w:left="0" w:right="0" w:hanging="0"/>
              <w:jc w:val="left"/>
              <w:rPr/>
            </w:pPr>
            <w:r>
              <w:rPr/>
            </w:r>
          </w:p>
        </w:tc>
      </w:tr>
      <w:tr>
        <w:trPr/>
        <w:tc>
          <w:tcPr>
            <w:tcW w:w="6788" w:type="dxa"/>
            <w:tcBorders/>
            <w:vAlign w:val="center"/>
          </w:tcPr>
          <w:p>
            <w:pPr>
              <w:pStyle w:val="TableContents"/>
              <w:bidi w:val="0"/>
              <w:spacing w:before="0" w:after="283"/>
              <w:ind w:left="0" w:right="0" w:hanging="0"/>
              <w:jc w:val="left"/>
              <w:rPr/>
            </w:pPr>
            <w:r>
              <w:rPr/>
              <w:t>Cash used in discontinued operations</w:t>
            </w:r>
          </w:p>
        </w:tc>
        <w:tc>
          <w:tcPr>
            <w:tcW w:w="26" w:type="dxa"/>
            <w:tcBorders/>
            <w:vAlign w:val="center"/>
          </w:tcPr>
          <w:p>
            <w:pPr>
              <w:pStyle w:val="TableContents"/>
              <w:bidi w:val="0"/>
              <w:spacing w:before="0" w:after="283"/>
              <w:ind w:left="0" w:right="0" w:hanging="0"/>
              <w:jc w:val="left"/>
              <w:rPr/>
            </w:pPr>
            <w:r>
              <w:rPr/>
            </w:r>
          </w:p>
        </w:tc>
        <w:tc>
          <w:tcPr>
            <w:tcW w:w="310" w:type="dxa"/>
            <w:tcBorders/>
            <w:vAlign w:val="center"/>
          </w:tcPr>
          <w:p>
            <w:pPr>
              <w:pStyle w:val="TableContents"/>
              <w:bidi w:val="0"/>
              <w:spacing w:before="0" w:after="283"/>
              <w:jc w:val="left"/>
              <w:rPr/>
            </w:pPr>
            <w:r>
              <w:rPr/>
            </w:r>
          </w:p>
        </w:tc>
        <w:tc>
          <w:tcPr>
            <w:tcW w:w="1243" w:type="dxa"/>
            <w:tcBorders/>
            <w:vAlign w:val="center"/>
          </w:tcPr>
          <w:p>
            <w:pPr>
              <w:pStyle w:val="TableContents"/>
              <w:bidi w:val="0"/>
              <w:spacing w:before="0" w:after="283"/>
              <w:ind w:left="0" w:right="0" w:hanging="0"/>
              <w:jc w:val="right"/>
              <w:rPr/>
            </w:pPr>
            <w:r>
              <w:rPr/>
              <w:t>(1,247</w:t>
            </w:r>
          </w:p>
        </w:tc>
        <w:tc>
          <w:tcPr>
            <w:tcW w:w="173" w:type="dxa"/>
            <w:tcBorders/>
            <w:vAlign w:val="center"/>
          </w:tcPr>
          <w:p>
            <w:pPr>
              <w:pStyle w:val="TableContents"/>
              <w:bidi w:val="0"/>
              <w:spacing w:before="0" w:after="0"/>
              <w:ind w:left="0" w:right="0" w:hanging="0"/>
              <w:jc w:val="left"/>
              <w:rPr/>
            </w:pPr>
            <w:r>
              <w:rPr/>
              <w:t>)</w:t>
            </w:r>
          </w:p>
        </w:tc>
        <w:tc>
          <w:tcPr>
            <w:tcW w:w="42" w:type="dxa"/>
            <w:tcBorders/>
            <w:vAlign w:val="center"/>
          </w:tcPr>
          <w:p>
            <w:pPr>
              <w:pStyle w:val="TableContents"/>
              <w:bidi w:val="0"/>
              <w:spacing w:before="0" w:after="283"/>
              <w:ind w:left="0" w:right="0" w:hanging="0"/>
              <w:jc w:val="left"/>
              <w:rPr/>
            </w:pPr>
            <w:r>
              <w:rPr/>
            </w:r>
          </w:p>
        </w:tc>
        <w:tc>
          <w:tcPr>
            <w:tcW w:w="310" w:type="dxa"/>
            <w:tcBorders/>
            <w:vAlign w:val="center"/>
          </w:tcPr>
          <w:p>
            <w:pPr>
              <w:pStyle w:val="TableContents"/>
              <w:bidi w:val="0"/>
              <w:spacing w:before="0" w:after="283"/>
              <w:jc w:val="left"/>
              <w:rPr/>
            </w:pPr>
            <w:r>
              <w:rPr/>
            </w:r>
          </w:p>
        </w:tc>
        <w:tc>
          <w:tcPr>
            <w:tcW w:w="1189" w:type="dxa"/>
            <w:tcBorders/>
            <w:vAlign w:val="center"/>
          </w:tcPr>
          <w:p>
            <w:pPr>
              <w:pStyle w:val="TableContents"/>
              <w:bidi w:val="0"/>
              <w:spacing w:before="0" w:after="283"/>
              <w:ind w:left="0" w:right="0" w:hanging="0"/>
              <w:jc w:val="right"/>
              <w:rPr/>
            </w:pPr>
            <w:r>
              <w:rPr/>
              <w:t>(2,441</w:t>
            </w:r>
          </w:p>
        </w:tc>
        <w:tc>
          <w:tcPr>
            <w:tcW w:w="124" w:type="dxa"/>
            <w:tcBorders/>
            <w:vAlign w:val="center"/>
          </w:tcPr>
          <w:p>
            <w:pPr>
              <w:pStyle w:val="TableContents"/>
              <w:bidi w:val="0"/>
              <w:spacing w:before="0" w:after="0"/>
              <w:jc w:val="left"/>
              <w:rPr/>
            </w:pPr>
            <w:r>
              <w:rPr/>
              <w:t>)</w:t>
            </w:r>
          </w:p>
        </w:tc>
      </w:tr>
      <w:tr>
        <w:trPr/>
        <w:tc>
          <w:tcPr>
            <w:tcW w:w="6788" w:type="dxa"/>
            <w:tcBorders/>
            <w:shd w:fill="CCEEFF" w:val="clear"/>
            <w:vAlign w:val="center"/>
          </w:tcPr>
          <w:p>
            <w:pPr>
              <w:pStyle w:val="TableContents"/>
              <w:bidi w:val="0"/>
              <w:spacing w:before="0" w:after="283"/>
              <w:ind w:left="0" w:right="0" w:hanging="0"/>
              <w:jc w:val="left"/>
              <w:rPr/>
            </w:pPr>
            <w:r>
              <w:rPr/>
            </w:r>
          </w:p>
        </w:tc>
        <w:tc>
          <w:tcPr>
            <w:tcW w:w="26" w:type="dxa"/>
            <w:tcBorders/>
            <w:shd w:fill="CCEEFF" w:val="clear"/>
            <w:vAlign w:val="center"/>
          </w:tcPr>
          <w:p>
            <w:pPr>
              <w:pStyle w:val="TableContents"/>
              <w:bidi w:val="0"/>
              <w:spacing w:before="0" w:after="283"/>
              <w:ind w:left="0" w:right="0" w:hanging="0"/>
              <w:jc w:val="left"/>
              <w:rPr/>
            </w:pPr>
            <w:r>
              <w:rPr/>
            </w:r>
          </w:p>
        </w:tc>
        <w:tc>
          <w:tcPr>
            <w:tcW w:w="310" w:type="dxa"/>
            <w:tcBorders/>
            <w:shd w:fill="CCEEFF" w:val="clear"/>
            <w:vAlign w:val="center"/>
          </w:tcPr>
          <w:p>
            <w:pPr>
              <w:pStyle w:val="TableContents"/>
              <w:bidi w:val="0"/>
              <w:spacing w:before="0" w:after="283"/>
              <w:jc w:val="left"/>
              <w:rPr/>
            </w:pPr>
            <w:r>
              <w:rPr/>
            </w:r>
          </w:p>
        </w:tc>
        <w:tc>
          <w:tcPr>
            <w:tcW w:w="1243" w:type="dxa"/>
            <w:tcBorders/>
            <w:shd w:fill="CCEEFF" w:val="clear"/>
            <w:vAlign w:val="center"/>
          </w:tcPr>
          <w:p>
            <w:pPr>
              <w:pStyle w:val="TableContents"/>
              <w:bidi w:val="0"/>
              <w:spacing w:before="0" w:after="283"/>
              <w:ind w:left="0" w:right="0" w:hanging="0"/>
              <w:jc w:val="left"/>
              <w:rPr/>
            </w:pPr>
            <w:r>
              <w:rPr/>
            </w:r>
          </w:p>
        </w:tc>
        <w:tc>
          <w:tcPr>
            <w:tcW w:w="173" w:type="dxa"/>
            <w:tcBorders/>
            <w:shd w:fill="CCEEFF" w:val="clear"/>
            <w:vAlign w:val="center"/>
          </w:tcPr>
          <w:p>
            <w:pPr>
              <w:pStyle w:val="TableContents"/>
              <w:bidi w:val="0"/>
              <w:spacing w:before="0" w:after="283"/>
              <w:ind w:left="0" w:right="0" w:hanging="0"/>
              <w:jc w:val="left"/>
              <w:rPr/>
            </w:pPr>
            <w:r>
              <w:rPr/>
            </w:r>
          </w:p>
        </w:tc>
        <w:tc>
          <w:tcPr>
            <w:tcW w:w="42" w:type="dxa"/>
            <w:tcBorders/>
            <w:shd w:fill="CCEEFF" w:val="clear"/>
            <w:vAlign w:val="center"/>
          </w:tcPr>
          <w:p>
            <w:pPr>
              <w:pStyle w:val="TableContents"/>
              <w:bidi w:val="0"/>
              <w:spacing w:before="0" w:after="283"/>
              <w:ind w:left="0" w:right="0" w:hanging="0"/>
              <w:jc w:val="left"/>
              <w:rPr/>
            </w:pPr>
            <w:r>
              <w:rPr/>
            </w:r>
          </w:p>
        </w:tc>
        <w:tc>
          <w:tcPr>
            <w:tcW w:w="310" w:type="dxa"/>
            <w:tcBorders/>
            <w:shd w:fill="CCEEFF" w:val="clear"/>
            <w:vAlign w:val="center"/>
          </w:tcPr>
          <w:p>
            <w:pPr>
              <w:pStyle w:val="TableContents"/>
              <w:bidi w:val="0"/>
              <w:spacing w:before="0" w:after="283"/>
              <w:jc w:val="left"/>
              <w:rPr/>
            </w:pPr>
            <w:r>
              <w:rPr/>
            </w:r>
          </w:p>
        </w:tc>
        <w:tc>
          <w:tcPr>
            <w:tcW w:w="1189" w:type="dxa"/>
            <w:tcBorders/>
            <w:shd w:fill="CCEEFF" w:val="clear"/>
            <w:vAlign w:val="center"/>
          </w:tcPr>
          <w:p>
            <w:pPr>
              <w:pStyle w:val="TableContents"/>
              <w:bidi w:val="0"/>
              <w:spacing w:before="0" w:after="283"/>
              <w:ind w:left="0" w:right="0" w:hanging="0"/>
              <w:jc w:val="left"/>
              <w:rPr/>
            </w:pPr>
            <w:r>
              <w:rPr/>
            </w:r>
          </w:p>
        </w:tc>
        <w:tc>
          <w:tcPr>
            <w:tcW w:w="124" w:type="dxa"/>
            <w:tcBorders/>
            <w:shd w:fill="CCEEFF" w:val="clear"/>
            <w:vAlign w:val="center"/>
          </w:tcPr>
          <w:p>
            <w:pPr>
              <w:pStyle w:val="TableContents"/>
              <w:bidi w:val="0"/>
              <w:spacing w:before="0" w:after="283"/>
              <w:jc w:val="left"/>
              <w:rPr/>
            </w:pPr>
            <w:r>
              <w:rPr/>
            </w:r>
          </w:p>
        </w:tc>
      </w:tr>
      <w:tr>
        <w:trPr/>
        <w:tc>
          <w:tcPr>
            <w:tcW w:w="678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Effect of exchange rate changes on cash and cash equivalents </w:t>
            </w:r>
          </w:p>
        </w:tc>
        <w:tc>
          <w:tcPr>
            <w:tcW w:w="26" w:type="dxa"/>
            <w:tcBorders/>
            <w:vAlign w:val="center"/>
          </w:tcPr>
          <w:p>
            <w:pPr>
              <w:pStyle w:val="TableContents"/>
              <w:pBdr/>
              <w:bidi w:val="0"/>
              <w:spacing w:before="0" w:after="0"/>
              <w:ind w:left="0" w:right="0" w:hanging="0"/>
              <w:jc w:val="left"/>
              <w:rPr/>
            </w:pPr>
            <w:r>
              <w:rPr/>
            </w:r>
          </w:p>
        </w:tc>
        <w:tc>
          <w:tcPr>
            <w:tcW w:w="310" w:type="dxa"/>
            <w:tcBorders/>
            <w:vAlign w:val="center"/>
          </w:tcPr>
          <w:p>
            <w:pPr>
              <w:pStyle w:val="TableContents"/>
              <w:pBdr/>
              <w:bidi w:val="0"/>
              <w:spacing w:before="0" w:after="0"/>
              <w:ind w:left="0" w:right="0" w:hanging="0"/>
              <w:jc w:val="left"/>
              <w:rPr/>
            </w:pPr>
            <w:r>
              <w:rPr/>
            </w:r>
          </w:p>
        </w:tc>
        <w:tc>
          <w:tcPr>
            <w:tcW w:w="1243"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w:t>
            </w:r>
          </w:p>
        </w:tc>
        <w:tc>
          <w:tcPr>
            <w:tcW w:w="173" w:type="dxa"/>
            <w:tcBorders/>
            <w:vAlign w:val="center"/>
          </w:tcPr>
          <w:p>
            <w:pPr>
              <w:pStyle w:val="TableContents"/>
              <w:bidi w:val="0"/>
              <w:spacing w:before="0" w:after="0"/>
              <w:ind w:left="0" w:right="0" w:hanging="0"/>
              <w:jc w:val="left"/>
              <w:rPr/>
            </w:pPr>
            <w:r>
              <w:rPr/>
              <w:t>)</w:t>
            </w:r>
          </w:p>
        </w:tc>
        <w:tc>
          <w:tcPr>
            <w:tcW w:w="42" w:type="dxa"/>
            <w:tcBorders/>
            <w:vAlign w:val="center"/>
          </w:tcPr>
          <w:p>
            <w:pPr>
              <w:pStyle w:val="TableContents"/>
              <w:pBdr/>
              <w:bidi w:val="0"/>
              <w:spacing w:before="0" w:after="0"/>
              <w:ind w:left="0" w:right="0" w:hanging="0"/>
              <w:jc w:val="left"/>
              <w:rPr/>
            </w:pPr>
            <w:r>
              <w:rPr/>
            </w:r>
          </w:p>
        </w:tc>
        <w:tc>
          <w:tcPr>
            <w:tcW w:w="310" w:type="dxa"/>
            <w:tcBorders/>
            <w:vAlign w:val="center"/>
          </w:tcPr>
          <w:p>
            <w:pPr>
              <w:pStyle w:val="TableContents"/>
              <w:pBdr/>
              <w:bidi w:val="0"/>
              <w:spacing w:before="0" w:after="0"/>
              <w:ind w:left="0" w:right="0" w:hanging="0"/>
              <w:jc w:val="left"/>
              <w:rPr/>
            </w:pPr>
            <w:r>
              <w:rPr/>
            </w:r>
          </w:p>
        </w:tc>
        <w:tc>
          <w:tcPr>
            <w:tcW w:w="1189"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w:t>
            </w:r>
          </w:p>
        </w:tc>
        <w:tc>
          <w:tcPr>
            <w:tcW w:w="124" w:type="dxa"/>
            <w:tcBorders/>
            <w:vAlign w:val="center"/>
          </w:tcPr>
          <w:p>
            <w:pPr>
              <w:pStyle w:val="TableContents"/>
              <w:bidi w:val="0"/>
              <w:spacing w:before="0" w:after="0"/>
              <w:jc w:val="left"/>
              <w:rPr/>
            </w:pPr>
            <w:r>
              <w:rPr/>
              <w:t>)</w:t>
            </w:r>
          </w:p>
        </w:tc>
      </w:tr>
      <w:tr>
        <w:trPr/>
        <w:tc>
          <w:tcPr>
            <w:tcW w:w="6788" w:type="dxa"/>
            <w:tcBorders/>
            <w:shd w:fill="CCEEFF" w:val="clear"/>
            <w:vAlign w:val="center"/>
          </w:tcPr>
          <w:p>
            <w:pPr>
              <w:pStyle w:val="TableContents"/>
              <w:bidi w:val="0"/>
              <w:spacing w:before="0" w:after="0"/>
              <w:ind w:left="0" w:right="0" w:hanging="0"/>
              <w:jc w:val="left"/>
              <w:rPr/>
            </w:pPr>
            <w:r>
              <w:rPr/>
            </w:r>
          </w:p>
        </w:tc>
        <w:tc>
          <w:tcPr>
            <w:tcW w:w="26" w:type="dxa"/>
            <w:tcBorders/>
            <w:shd w:fill="CCEEFF" w:val="clear"/>
            <w:vAlign w:val="center"/>
          </w:tcPr>
          <w:p>
            <w:pPr>
              <w:pStyle w:val="TableContents"/>
              <w:pBdr/>
              <w:bidi w:val="0"/>
              <w:spacing w:before="0" w:after="0"/>
              <w:ind w:left="0" w:right="0" w:hanging="0"/>
              <w:jc w:val="left"/>
              <w:rPr/>
            </w:pPr>
            <w:r>
              <w:rPr/>
            </w:r>
          </w:p>
        </w:tc>
        <w:tc>
          <w:tcPr>
            <w:tcW w:w="310" w:type="dxa"/>
            <w:tcBorders/>
            <w:shd w:fill="CCEEFF" w:val="clear"/>
            <w:vAlign w:val="center"/>
          </w:tcPr>
          <w:p>
            <w:pPr>
              <w:pStyle w:val="TableContents"/>
              <w:pBdr/>
              <w:bidi w:val="0"/>
              <w:spacing w:before="0" w:after="0"/>
              <w:ind w:left="0" w:right="0" w:hanging="0"/>
              <w:jc w:val="left"/>
              <w:rPr/>
            </w:pPr>
            <w:r>
              <w:rPr/>
            </w:r>
          </w:p>
        </w:tc>
        <w:tc>
          <w:tcPr>
            <w:tcW w:w="1243" w:type="dxa"/>
            <w:tcBorders/>
            <w:shd w:fill="CCEEFF" w:val="clear"/>
            <w:vAlign w:val="center"/>
          </w:tcPr>
          <w:p>
            <w:pPr>
              <w:pStyle w:val="TableContents"/>
              <w:bidi w:val="0"/>
              <w:spacing w:before="0" w:after="0"/>
              <w:ind w:left="0" w:right="0" w:hanging="0"/>
              <w:jc w:val="left"/>
              <w:rPr/>
            </w:pPr>
            <w:r>
              <w:rPr/>
            </w:r>
          </w:p>
        </w:tc>
        <w:tc>
          <w:tcPr>
            <w:tcW w:w="173" w:type="dxa"/>
            <w:tcBorders/>
            <w:shd w:fill="CCEEFF" w:val="clear"/>
            <w:vAlign w:val="center"/>
          </w:tcPr>
          <w:p>
            <w:pPr>
              <w:pStyle w:val="TableContents"/>
              <w:pBdr/>
              <w:bidi w:val="0"/>
              <w:spacing w:before="0" w:after="0"/>
              <w:ind w:left="0" w:right="0" w:hanging="0"/>
              <w:jc w:val="left"/>
              <w:rPr/>
            </w:pPr>
            <w:r>
              <w:rPr/>
            </w:r>
          </w:p>
        </w:tc>
        <w:tc>
          <w:tcPr>
            <w:tcW w:w="42" w:type="dxa"/>
            <w:tcBorders/>
            <w:shd w:fill="CCEEFF" w:val="clear"/>
            <w:vAlign w:val="center"/>
          </w:tcPr>
          <w:p>
            <w:pPr>
              <w:pStyle w:val="TableContents"/>
              <w:pBdr/>
              <w:bidi w:val="0"/>
              <w:spacing w:before="0" w:after="0"/>
              <w:ind w:left="0" w:right="0" w:hanging="0"/>
              <w:jc w:val="left"/>
              <w:rPr/>
            </w:pPr>
            <w:r>
              <w:rPr/>
            </w:r>
          </w:p>
        </w:tc>
        <w:tc>
          <w:tcPr>
            <w:tcW w:w="310" w:type="dxa"/>
            <w:tcBorders/>
            <w:shd w:fill="CCEEFF" w:val="clear"/>
            <w:vAlign w:val="center"/>
          </w:tcPr>
          <w:p>
            <w:pPr>
              <w:pStyle w:val="TableContents"/>
              <w:pBdr/>
              <w:bidi w:val="0"/>
              <w:spacing w:before="0" w:after="0"/>
              <w:ind w:left="0" w:right="0" w:hanging="0"/>
              <w:jc w:val="left"/>
              <w:rPr/>
            </w:pPr>
            <w:r>
              <w:rPr/>
            </w:r>
          </w:p>
        </w:tc>
        <w:tc>
          <w:tcPr>
            <w:tcW w:w="1189" w:type="dxa"/>
            <w:tcBorders/>
            <w:shd w:fill="CCEEFF" w:val="clear"/>
            <w:vAlign w:val="center"/>
          </w:tcPr>
          <w:p>
            <w:pPr>
              <w:pStyle w:val="TableContents"/>
              <w:bidi w:val="0"/>
              <w:spacing w:before="0" w:after="0"/>
              <w:ind w:left="0" w:right="0" w:hanging="0"/>
              <w:jc w:val="left"/>
              <w:rPr/>
            </w:pPr>
            <w:r>
              <w:rPr/>
            </w:r>
          </w:p>
        </w:tc>
        <w:tc>
          <w:tcPr>
            <w:tcW w:w="124" w:type="dxa"/>
            <w:tcBorders/>
            <w:shd w:fill="CCEEFF" w:val="clear"/>
            <w:vAlign w:val="center"/>
          </w:tcPr>
          <w:p>
            <w:pPr>
              <w:pStyle w:val="TableContents"/>
              <w:pBdr/>
              <w:bidi w:val="0"/>
              <w:spacing w:before="0" w:after="0"/>
              <w:ind w:left="0" w:right="0" w:hanging="0"/>
              <w:jc w:val="left"/>
              <w:rPr/>
            </w:pPr>
            <w:r>
              <w:rPr/>
            </w:r>
          </w:p>
        </w:tc>
      </w:tr>
      <w:tr>
        <w:trPr/>
        <w:tc>
          <w:tcPr>
            <w:tcW w:w="678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Net decrease in cash and cash equivalents </w:t>
            </w:r>
          </w:p>
        </w:tc>
        <w:tc>
          <w:tcPr>
            <w:tcW w:w="26" w:type="dxa"/>
            <w:tcBorders/>
            <w:vAlign w:val="center"/>
          </w:tcPr>
          <w:p>
            <w:pPr>
              <w:pStyle w:val="TableContents"/>
              <w:pBdr/>
              <w:bidi w:val="0"/>
              <w:spacing w:before="0" w:after="0"/>
              <w:ind w:left="0" w:right="0" w:hanging="0"/>
              <w:jc w:val="left"/>
              <w:rPr/>
            </w:pPr>
            <w:r>
              <w:rPr/>
            </w:r>
          </w:p>
        </w:tc>
        <w:tc>
          <w:tcPr>
            <w:tcW w:w="310" w:type="dxa"/>
            <w:tcBorders/>
            <w:vAlign w:val="center"/>
          </w:tcPr>
          <w:p>
            <w:pPr>
              <w:pStyle w:val="TableContents"/>
              <w:pBdr/>
              <w:bidi w:val="0"/>
              <w:spacing w:before="0" w:after="0"/>
              <w:ind w:left="0" w:right="0" w:hanging="0"/>
              <w:jc w:val="left"/>
              <w:rPr/>
            </w:pPr>
            <w:r>
              <w:rPr/>
            </w:r>
          </w:p>
        </w:tc>
        <w:tc>
          <w:tcPr>
            <w:tcW w:w="1243"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(653</w:t>
            </w:r>
          </w:p>
        </w:tc>
        <w:tc>
          <w:tcPr>
            <w:tcW w:w="173" w:type="dxa"/>
            <w:tcBorders/>
            <w:vAlign w:val="center"/>
          </w:tcPr>
          <w:p>
            <w:pPr>
              <w:pStyle w:val="TableContents"/>
              <w:bidi w:val="0"/>
              <w:spacing w:before="0" w:after="0"/>
              <w:ind w:left="0" w:right="0" w:hanging="0"/>
              <w:jc w:val="left"/>
              <w:rPr/>
            </w:pPr>
            <w:r>
              <w:rPr/>
              <w:t>)</w:t>
            </w:r>
          </w:p>
        </w:tc>
        <w:tc>
          <w:tcPr>
            <w:tcW w:w="42" w:type="dxa"/>
            <w:tcBorders/>
            <w:vAlign w:val="center"/>
          </w:tcPr>
          <w:p>
            <w:pPr>
              <w:pStyle w:val="TableContents"/>
              <w:pBdr/>
              <w:bidi w:val="0"/>
              <w:spacing w:before="0" w:after="0"/>
              <w:ind w:left="0" w:right="0" w:hanging="0"/>
              <w:jc w:val="left"/>
              <w:rPr/>
            </w:pPr>
            <w:r>
              <w:rPr/>
            </w:r>
          </w:p>
        </w:tc>
        <w:tc>
          <w:tcPr>
            <w:tcW w:w="310" w:type="dxa"/>
            <w:tcBorders/>
            <w:vAlign w:val="center"/>
          </w:tcPr>
          <w:p>
            <w:pPr>
              <w:pStyle w:val="TableContents"/>
              <w:pBdr/>
              <w:bidi w:val="0"/>
              <w:spacing w:before="0" w:after="0"/>
              <w:ind w:left="0" w:right="0" w:hanging="0"/>
              <w:jc w:val="left"/>
              <w:rPr/>
            </w:pPr>
            <w:r>
              <w:rPr/>
            </w:r>
          </w:p>
        </w:tc>
        <w:tc>
          <w:tcPr>
            <w:tcW w:w="1189"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(16,150</w:t>
            </w:r>
          </w:p>
        </w:tc>
        <w:tc>
          <w:tcPr>
            <w:tcW w:w="124" w:type="dxa"/>
            <w:tcBorders/>
            <w:vAlign w:val="center"/>
          </w:tcPr>
          <w:p>
            <w:pPr>
              <w:pStyle w:val="TableContents"/>
              <w:bidi w:val="0"/>
              <w:spacing w:before="0" w:after="0"/>
              <w:jc w:val="left"/>
              <w:rPr/>
            </w:pPr>
            <w:r>
              <w:rPr/>
              <w:t>)</w:t>
            </w:r>
          </w:p>
        </w:tc>
      </w:tr>
      <w:tr>
        <w:trPr/>
        <w:tc>
          <w:tcPr>
            <w:tcW w:w="678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Cash and cash equivalents at the beginning of the period </w:t>
            </w:r>
          </w:p>
        </w:tc>
        <w:tc>
          <w:tcPr>
            <w:tcW w:w="26" w:type="dxa"/>
            <w:tcBorders/>
            <w:shd w:fill="CCEEFF" w:val="clear"/>
            <w:vAlign w:val="center"/>
          </w:tcPr>
          <w:p>
            <w:pPr>
              <w:pStyle w:val="TableContents"/>
              <w:pBdr/>
              <w:bidi w:val="0"/>
              <w:spacing w:before="0" w:after="0"/>
              <w:ind w:left="0" w:right="0" w:hanging="0"/>
              <w:jc w:val="left"/>
              <w:rPr/>
            </w:pPr>
            <w:r>
              <w:rPr/>
            </w:r>
          </w:p>
        </w:tc>
        <w:tc>
          <w:tcPr>
            <w:tcW w:w="310" w:type="dxa"/>
            <w:tcBorders/>
            <w:shd w:fill="CCEEFF" w:val="clear"/>
            <w:vAlign w:val="center"/>
          </w:tcPr>
          <w:p>
            <w:pPr>
              <w:pStyle w:val="TableContents"/>
              <w:pBdr/>
              <w:bidi w:val="0"/>
              <w:spacing w:before="0" w:after="0"/>
              <w:ind w:left="0" w:right="0" w:hanging="0"/>
              <w:jc w:val="left"/>
              <w:rPr/>
            </w:pPr>
            <w:r>
              <w:rPr/>
            </w:r>
          </w:p>
        </w:tc>
        <w:tc>
          <w:tcPr>
            <w:tcW w:w="124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1,417 </w:t>
            </w:r>
          </w:p>
        </w:tc>
        <w:tc>
          <w:tcPr>
            <w:tcW w:w="173" w:type="dxa"/>
            <w:tcBorders/>
            <w:shd w:fill="CCEEFF" w:val="clear"/>
            <w:vAlign w:val="center"/>
          </w:tcPr>
          <w:p>
            <w:pPr>
              <w:pStyle w:val="TableContents"/>
              <w:pBdr/>
              <w:bidi w:val="0"/>
              <w:spacing w:before="0" w:after="0"/>
              <w:ind w:left="0" w:right="0" w:hanging="0"/>
              <w:jc w:val="left"/>
              <w:rPr/>
            </w:pPr>
            <w:r>
              <w:rPr/>
            </w:r>
          </w:p>
        </w:tc>
        <w:tc>
          <w:tcPr>
            <w:tcW w:w="42" w:type="dxa"/>
            <w:tcBorders/>
            <w:shd w:fill="CCEEFF" w:val="clear"/>
            <w:vAlign w:val="center"/>
          </w:tcPr>
          <w:p>
            <w:pPr>
              <w:pStyle w:val="TableContents"/>
              <w:pBdr/>
              <w:bidi w:val="0"/>
              <w:spacing w:before="0" w:after="0"/>
              <w:ind w:left="0" w:right="0" w:hanging="0"/>
              <w:jc w:val="left"/>
              <w:rPr/>
            </w:pPr>
            <w:r>
              <w:rPr/>
            </w:r>
          </w:p>
        </w:tc>
        <w:tc>
          <w:tcPr>
            <w:tcW w:w="310" w:type="dxa"/>
            <w:tcBorders/>
            <w:shd w:fill="CCEEFF" w:val="clear"/>
            <w:vAlign w:val="center"/>
          </w:tcPr>
          <w:p>
            <w:pPr>
              <w:pStyle w:val="TableContents"/>
              <w:pBdr/>
              <w:bidi w:val="0"/>
              <w:spacing w:before="0" w:after="0"/>
              <w:ind w:left="0" w:right="0" w:hanging="0"/>
              <w:jc w:val="left"/>
              <w:rPr/>
            </w:pPr>
            <w:r>
              <w:rPr/>
            </w:r>
          </w:p>
        </w:tc>
        <w:tc>
          <w:tcPr>
            <w:tcW w:w="118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17,835 </w:t>
            </w:r>
          </w:p>
        </w:tc>
        <w:tc>
          <w:tcPr>
            <w:tcW w:w="124" w:type="dxa"/>
            <w:tcBorders/>
            <w:shd w:fill="CCEEFF" w:val="clear"/>
            <w:vAlign w:val="center"/>
          </w:tcPr>
          <w:p>
            <w:pPr>
              <w:pStyle w:val="TableContents"/>
              <w:pBdr/>
              <w:bidi w:val="0"/>
              <w:spacing w:before="0" w:after="0"/>
              <w:ind w:left="0" w:right="0" w:hanging="0"/>
              <w:jc w:val="left"/>
              <w:rPr/>
            </w:pPr>
            <w:r>
              <w:rPr/>
            </w:r>
          </w:p>
        </w:tc>
      </w:tr>
      <w:tr>
        <w:trPr/>
        <w:tc>
          <w:tcPr>
            <w:tcW w:w="678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Cash and cash equivalents at the end of the period </w:t>
            </w:r>
          </w:p>
        </w:tc>
        <w:tc>
          <w:tcPr>
            <w:tcW w:w="26" w:type="dxa"/>
            <w:tcBorders/>
            <w:vAlign w:val="center"/>
          </w:tcPr>
          <w:p>
            <w:pPr>
              <w:pStyle w:val="TableContents"/>
              <w:pBdr/>
              <w:bidi w:val="0"/>
              <w:spacing w:before="0" w:after="0"/>
              <w:ind w:left="0" w:right="0" w:hanging="0"/>
              <w:jc w:val="left"/>
              <w:rPr/>
            </w:pPr>
            <w:r>
              <w:rPr/>
            </w:r>
          </w:p>
        </w:tc>
        <w:tc>
          <w:tcPr>
            <w:tcW w:w="310" w:type="dxa"/>
            <w:tcBorders/>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243"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764</w:t>
            </w:r>
          </w:p>
        </w:tc>
        <w:tc>
          <w:tcPr>
            <w:tcW w:w="173" w:type="dxa"/>
            <w:tcBorders/>
            <w:vAlign w:val="center"/>
          </w:tcPr>
          <w:p>
            <w:pPr>
              <w:pStyle w:val="TableContents"/>
              <w:bidi w:val="0"/>
              <w:spacing w:before="0" w:after="283"/>
              <w:ind w:left="0" w:right="0" w:hanging="0"/>
              <w:jc w:val="left"/>
              <w:rPr>
                <w:sz w:val="4"/>
                <w:szCs w:val="4"/>
              </w:rPr>
            </w:pPr>
            <w:r>
              <w:rPr>
                <w:sz w:val="4"/>
                <w:szCs w:val="4"/>
              </w:rPr>
            </w:r>
          </w:p>
        </w:tc>
        <w:tc>
          <w:tcPr>
            <w:tcW w:w="42" w:type="dxa"/>
            <w:tcBorders/>
            <w:vAlign w:val="center"/>
          </w:tcPr>
          <w:p>
            <w:pPr>
              <w:pStyle w:val="TableContents"/>
              <w:pBdr/>
              <w:bidi w:val="0"/>
              <w:spacing w:before="0" w:after="0"/>
              <w:ind w:left="0" w:right="0" w:hanging="0"/>
              <w:jc w:val="left"/>
              <w:rPr/>
            </w:pPr>
            <w:r>
              <w:rPr/>
            </w:r>
          </w:p>
        </w:tc>
        <w:tc>
          <w:tcPr>
            <w:tcW w:w="310" w:type="dxa"/>
            <w:tcBorders/>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189"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1,685</w:t>
            </w:r>
          </w:p>
        </w:tc>
        <w:tc>
          <w:tcPr>
            <w:tcW w:w="124" w:type="dxa"/>
            <w:tcBorders/>
            <w:vAlign w:val="center"/>
          </w:tcPr>
          <w:p>
            <w:pPr>
              <w:pStyle w:val="TableContents"/>
              <w:pBdr/>
              <w:bidi w:val="0"/>
              <w:spacing w:before="0" w:after="0"/>
              <w:ind w:left="0" w:right="0" w:hanging="0"/>
              <w:jc w:val="left"/>
              <w:rPr/>
            </w:pPr>
            <w:r>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r>
    </w:p>
    <w:p>
      <w:pPr>
        <w:pStyle w:val="TextBody"/>
        <w:bidi w:val="0"/>
        <w:spacing w:lineRule="auto" w:line="288" w:before="0" w:after="200"/>
        <w:ind w:left="144" w:right="144" w:hanging="0"/>
        <w:jc w:val="center"/>
        <w:rPr>
          <w:rFonts w:ascii="Times New Roman" w:hAnsi="Times New Roman"/>
          <w:i/>
          <w:sz w:val="20"/>
        </w:rPr>
      </w:pPr>
      <w:r>
        <w:rPr>
          <w:rFonts w:ascii="Times New Roman" w:hAnsi="Times New Roman"/>
          <w:i/>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bookmarkStart w:id="74" w:name="PageBreakNo5"/>
            <w:bookmarkEnd w:id="74"/>
            <w:r>
              <w:rPr>
                <w:sz w:val="20"/>
              </w:rPr>
              <w:t>5</w:t>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jc w:val="left"/>
        <w:rPr/>
      </w:pPr>
      <w:r>
        <w:rPr/>
      </w:r>
    </w:p>
    <w:p>
      <w:pPr>
        <w:pStyle w:val="TextBody"/>
        <w:bidi w:val="0"/>
        <w:spacing w:lineRule="auto" w:line="288"/>
        <w:jc w:val="left"/>
        <w:rPr/>
      </w:pPr>
      <w:hyperlink w:anchor="TOC">
        <w:r>
          <w:rPr>
            <w:rStyle w:val="InternetLink"/>
            <w:rFonts w:ascii="times new roman;times" w:hAnsi="times new roman;times"/>
            <w:sz w:val="20"/>
          </w:rPr>
          <w:t>Table of Contents</w:t>
        </w:r>
      </w:hyperlink>
    </w:p>
    <w:p>
      <w:pPr>
        <w:pStyle w:val="TextBody"/>
        <w:bidi w:val="0"/>
        <w:spacing w:lineRule="auto" w:line="288" w:before="200" w:after="0"/>
        <w:ind w:left="0" w:right="0" w:hanging="0"/>
        <w:jc w:val="center"/>
        <w:rPr>
          <w:rFonts w:ascii="Times New Roman" w:hAnsi="Times New Roman"/>
          <w:b/>
          <w:sz w:val="20"/>
        </w:rPr>
      </w:pPr>
      <w:r>
        <w:rPr>
          <w:rFonts w:ascii="Times New Roman" w:hAnsi="Times New Roman"/>
          <w:b/>
          <w:sz w:val="20"/>
        </w:rPr>
        <w:t>CLEARONE, INC.</w:t>
      </w:r>
    </w:p>
    <w:p>
      <w:pPr>
        <w:pStyle w:val="TextBody"/>
        <w:bidi w:val="0"/>
        <w:spacing w:lineRule="auto" w:line="288" w:before="0" w:after="0"/>
        <w:ind w:left="144" w:right="144" w:hanging="0"/>
        <w:jc w:val="center"/>
        <w:rPr>
          <w:rFonts w:ascii="Times New Roman" w:hAnsi="Times New Roman"/>
          <w:b/>
          <w:sz w:val="20"/>
        </w:rPr>
      </w:pPr>
      <w:r>
        <w:rPr>
          <w:rFonts w:ascii="Times New Roman" w:hAnsi="Times New Roman"/>
          <w:b/>
          <w:sz w:val="20"/>
        </w:rPr>
        <w:t>UNAUDITED CONDENSED CONSOLIDATED STATEMENTS OF CASH FLOWS</w:t>
      </w:r>
    </w:p>
    <w:p>
      <w:pPr>
        <w:pStyle w:val="TextBody"/>
        <w:bidi w:val="0"/>
        <w:spacing w:lineRule="auto" w:line="288" w:before="0" w:after="0"/>
        <w:ind w:left="144" w:right="144" w:hanging="0"/>
        <w:jc w:val="center"/>
        <w:rPr>
          <w:rFonts w:ascii="Times New Roman" w:hAnsi="Times New Roman"/>
          <w:sz w:val="20"/>
        </w:rPr>
      </w:pPr>
      <w:r>
        <w:rPr>
          <w:rFonts w:ascii="Times New Roman" w:hAnsi="Times New Roman"/>
          <w:sz w:val="20"/>
        </w:rPr>
        <w:t>(Dollars in thousands, except per share amounts)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t>The following is a summary of supplemental cash flow information: </w:t>
      </w:r>
    </w:p>
    <w:p>
      <w:pPr>
        <w:pStyle w:val="TextBody"/>
        <w:bidi w:val="0"/>
        <w:spacing w:lineRule="auto" w:line="288" w:before="0" w:after="0"/>
        <w:ind w:left="0" w:right="0" w:hanging="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6967"/>
        <w:gridCol w:w="25"/>
        <w:gridCol w:w="447"/>
        <w:gridCol w:w="1473"/>
        <w:gridCol w:w="60"/>
        <w:gridCol w:w="60"/>
        <w:gridCol w:w="447"/>
        <w:gridCol w:w="684"/>
        <w:gridCol w:w="42"/>
      </w:tblGrid>
      <w:tr>
        <w:trPr/>
        <w:tc>
          <w:tcPr>
            <w:tcW w:w="6967" w:type="dxa"/>
            <w:tcBorders/>
            <w:vAlign w:val="center"/>
          </w:tcPr>
          <w:p>
            <w:pPr>
              <w:pStyle w:val="TableContents"/>
              <w:bidi w:val="0"/>
              <w:spacing w:before="0" w:after="0"/>
              <w:ind w:left="0" w:right="0" w:hanging="0"/>
              <w:jc w:val="left"/>
              <w:rPr/>
            </w:pPr>
            <w:r>
              <w:rPr/>
            </w:r>
          </w:p>
        </w:tc>
        <w:tc>
          <w:tcPr>
            <w:tcW w:w="25" w:type="dxa"/>
            <w:tcBorders/>
            <w:vAlign w:val="center"/>
          </w:tcPr>
          <w:p>
            <w:pPr>
              <w:pStyle w:val="TableContents"/>
              <w:bidi w:val="0"/>
              <w:spacing w:before="0" w:after="0"/>
              <w:ind w:left="0" w:right="0" w:hanging="0"/>
              <w:jc w:val="left"/>
              <w:rPr/>
            </w:pPr>
            <w:r>
              <w:rPr/>
            </w:r>
          </w:p>
        </w:tc>
        <w:tc>
          <w:tcPr>
            <w:tcW w:w="3171" w:type="dxa"/>
            <w:gridSpan w:val="6"/>
            <w:tcBorders/>
            <w:vAlign w:val="center"/>
          </w:tcPr>
          <w:p>
            <w:pPr>
              <w:pStyle w:val="TableContents"/>
              <w:bidi w:val="0"/>
              <w:spacing w:before="0" w:after="0"/>
              <w:ind w:left="0" w:right="0" w:hanging="0"/>
              <w:jc w:val="center"/>
              <w:rPr>
                <w:rFonts w:ascii="Times New Roman" w:hAnsi="Times New Roman"/>
                <w:b/>
                <w:sz w:val="20"/>
              </w:rPr>
            </w:pPr>
            <w:bookmarkStart w:id="75" w:name="fs_8YC9OFYZ4G00000000000000000000FM"/>
            <w:bookmarkEnd w:id="75"/>
            <w:r>
              <w:rPr>
                <w:rFonts w:ascii="Times New Roman" w:hAnsi="Times New Roman"/>
                <w:b/>
                <w:sz w:val="20"/>
              </w:rPr>
              <w:t xml:space="preserve">Nine months ended September 30, </w:t>
            </w:r>
          </w:p>
        </w:tc>
        <w:tc>
          <w:tcPr>
            <w:tcW w:w="42" w:type="dxa"/>
            <w:tcBorders/>
            <w:vAlign w:val="center"/>
          </w:tcPr>
          <w:p>
            <w:pPr>
              <w:pStyle w:val="TableContents"/>
              <w:bidi w:val="0"/>
              <w:spacing w:before="0" w:after="0"/>
              <w:ind w:left="0" w:right="0" w:hanging="0"/>
              <w:jc w:val="left"/>
              <w:rPr/>
            </w:pPr>
            <w:r>
              <w:rPr/>
            </w:r>
          </w:p>
        </w:tc>
      </w:tr>
      <w:tr>
        <w:trPr/>
        <w:tc>
          <w:tcPr>
            <w:tcW w:w="6967" w:type="dxa"/>
            <w:tcBorders/>
            <w:vAlign w:val="center"/>
          </w:tcPr>
          <w:p>
            <w:pPr>
              <w:pStyle w:val="TableContents"/>
              <w:bidi w:val="0"/>
              <w:spacing w:before="0" w:after="0"/>
              <w:ind w:left="0" w:right="0" w:hanging="0"/>
              <w:jc w:val="left"/>
              <w:rPr/>
            </w:pPr>
            <w:r>
              <w:rPr/>
            </w:r>
          </w:p>
        </w:tc>
        <w:tc>
          <w:tcPr>
            <w:tcW w:w="25" w:type="dxa"/>
            <w:tcBorders/>
            <w:vAlign w:val="center"/>
          </w:tcPr>
          <w:p>
            <w:pPr>
              <w:pStyle w:val="TableContents"/>
              <w:bidi w:val="0"/>
              <w:spacing w:before="0" w:after="0"/>
              <w:ind w:left="0" w:right="0" w:hanging="0"/>
              <w:jc w:val="left"/>
              <w:rPr/>
            </w:pPr>
            <w:r>
              <w:rPr/>
            </w:r>
          </w:p>
        </w:tc>
        <w:tc>
          <w:tcPr>
            <w:tcW w:w="1920" w:type="dxa"/>
            <w:gridSpan w:val="2"/>
            <w:tcBorders/>
            <w:vAlign w:val="center"/>
          </w:tcPr>
          <w:p>
            <w:pPr>
              <w:pStyle w:val="TableContents"/>
              <w:bidi w:val="0"/>
              <w:spacing w:before="0" w:after="0"/>
              <w:ind w:left="0" w:right="0" w:hanging="0"/>
              <w:jc w:val="center"/>
              <w:rPr>
                <w:rFonts w:ascii="Times New Roman" w:hAnsi="Times New Roman"/>
                <w:b/>
                <w:sz w:val="20"/>
              </w:rPr>
            </w:pPr>
            <w:bookmarkStart w:id="76" w:name="fs_DXY77T54CW00000000000000000000fs"/>
            <w:bookmarkEnd w:id="76"/>
            <w:r>
              <w:rPr>
                <w:rFonts w:ascii="Times New Roman" w:hAnsi="Times New Roman"/>
                <w:b/>
                <w:sz w:val="20"/>
              </w:rPr>
              <w:t xml:space="preserve">2025 </w:t>
            </w:r>
          </w:p>
        </w:tc>
        <w:tc>
          <w:tcPr>
            <w:tcW w:w="60" w:type="dxa"/>
            <w:tcBorders/>
            <w:vAlign w:val="center"/>
          </w:tcPr>
          <w:p>
            <w:pPr>
              <w:pStyle w:val="TableContents"/>
              <w:bidi w:val="0"/>
              <w:spacing w:before="0" w:after="0"/>
              <w:ind w:left="0" w:right="0" w:hanging="0"/>
              <w:jc w:val="left"/>
              <w:rPr/>
            </w:pPr>
            <w:r>
              <w:rPr/>
            </w:r>
          </w:p>
        </w:tc>
        <w:tc>
          <w:tcPr>
            <w:tcW w:w="60" w:type="dxa"/>
            <w:tcBorders/>
            <w:vAlign w:val="center"/>
          </w:tcPr>
          <w:p>
            <w:pPr>
              <w:pStyle w:val="TableContents"/>
              <w:bidi w:val="0"/>
              <w:spacing w:before="0" w:after="0"/>
              <w:ind w:left="0" w:right="0" w:hanging="0"/>
              <w:jc w:val="left"/>
              <w:rPr/>
            </w:pPr>
            <w:r>
              <w:rPr/>
            </w:r>
          </w:p>
        </w:tc>
        <w:tc>
          <w:tcPr>
            <w:tcW w:w="1131" w:type="dxa"/>
            <w:gridSpan w:val="2"/>
            <w:tcBorders/>
            <w:vAlign w:val="center"/>
          </w:tcPr>
          <w:p>
            <w:pPr>
              <w:pStyle w:val="TableContents"/>
              <w:bidi w:val="0"/>
              <w:spacing w:before="0" w:after="0"/>
              <w:ind w:left="0" w:right="0" w:hanging="0"/>
              <w:jc w:val="center"/>
              <w:rPr>
                <w:rFonts w:ascii="Times New Roman" w:hAnsi="Times New Roman"/>
                <w:b/>
                <w:sz w:val="20"/>
              </w:rPr>
            </w:pPr>
            <w:bookmarkStart w:id="77" w:name="fs_LAXI2WFYRK00000000000000000000fs"/>
            <w:bookmarkEnd w:id="77"/>
            <w:r>
              <w:rPr>
                <w:rFonts w:ascii="Times New Roman" w:hAnsi="Times New Roman"/>
                <w:b/>
                <w:sz w:val="20"/>
              </w:rPr>
              <w:t xml:space="preserve">2024 </w:t>
            </w:r>
          </w:p>
        </w:tc>
        <w:tc>
          <w:tcPr>
            <w:tcW w:w="42" w:type="dxa"/>
            <w:tcBorders/>
            <w:vAlign w:val="center"/>
          </w:tcPr>
          <w:p>
            <w:pPr>
              <w:pStyle w:val="TableContents"/>
              <w:bidi w:val="0"/>
              <w:spacing w:before="0" w:after="0"/>
              <w:ind w:left="0" w:right="0" w:hanging="0"/>
              <w:jc w:val="left"/>
              <w:rPr/>
            </w:pPr>
            <w:r>
              <w:rPr/>
            </w:r>
          </w:p>
        </w:tc>
      </w:tr>
      <w:tr>
        <w:trPr/>
        <w:tc>
          <w:tcPr>
            <w:tcW w:w="696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Cash paid for income taxes </w:t>
            </w:r>
          </w:p>
        </w:tc>
        <w:tc>
          <w:tcPr>
            <w:tcW w:w="25" w:type="dxa"/>
            <w:tcBorders/>
            <w:shd w:fill="CCEEFF" w:val="clear"/>
            <w:vAlign w:val="center"/>
          </w:tcPr>
          <w:p>
            <w:pPr>
              <w:pStyle w:val="TableContents"/>
              <w:bidi w:val="0"/>
              <w:spacing w:before="0" w:after="0"/>
              <w:ind w:left="0" w:right="0" w:hanging="0"/>
              <w:jc w:val="left"/>
              <w:rPr/>
            </w:pPr>
            <w:r>
              <w:rPr/>
            </w:r>
          </w:p>
        </w:tc>
        <w:tc>
          <w:tcPr>
            <w:tcW w:w="44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47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ind w:left="0" w:right="0" w:hanging="0"/>
              <w:jc w:val="left"/>
              <w:rPr/>
            </w:pPr>
            <w:r>
              <w:rPr/>
            </w:r>
          </w:p>
        </w:tc>
        <w:tc>
          <w:tcPr>
            <w:tcW w:w="44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6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w:t>
            </w:r>
          </w:p>
        </w:tc>
        <w:tc>
          <w:tcPr>
            <w:tcW w:w="42" w:type="dxa"/>
            <w:tcBorders/>
            <w:shd w:fill="CCEEFF" w:val="clear"/>
            <w:vAlign w:val="center"/>
          </w:tcPr>
          <w:p>
            <w:pPr>
              <w:pStyle w:val="TableContents"/>
              <w:bidi w:val="0"/>
              <w:spacing w:before="0" w:after="283"/>
              <w:jc w:val="left"/>
              <w:rPr>
                <w:sz w:val="4"/>
                <w:szCs w:val="4"/>
              </w:rPr>
            </w:pPr>
            <w:r>
              <w:rPr>
                <w:sz w:val="4"/>
                <w:szCs w:val="4"/>
              </w:rPr>
            </w:r>
          </w:p>
        </w:tc>
      </w:tr>
      <w:tr>
        <w:trPr/>
        <w:tc>
          <w:tcPr>
            <w:tcW w:w="6967" w:type="dxa"/>
            <w:tcBorders/>
            <w:vAlign w:val="center"/>
          </w:tcPr>
          <w:p>
            <w:pPr>
              <w:pStyle w:val="TableContents"/>
              <w:bidi w:val="0"/>
              <w:spacing w:before="0" w:after="283"/>
              <w:jc w:val="left"/>
              <w:rPr/>
            </w:pPr>
            <w:r>
              <w:rPr>
                <w:rFonts w:ascii="Times New Roman;serif" w:hAnsi="Times New Roman;serif"/>
                <w:color w:val="000000"/>
                <w:sz w:val="20"/>
              </w:rPr>
              <w:t>Interest paid as non-cash dividend</w:t>
            </w:r>
            <w:r>
              <w:rPr/>
              <w:t xml:space="preserve"> </w:t>
            </w:r>
          </w:p>
        </w:tc>
        <w:tc>
          <w:tcPr>
            <w:tcW w:w="25"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right"/>
              <w:rPr/>
            </w:pPr>
            <w:r>
              <w:rPr/>
              <w:t>28</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right"/>
              <w:rPr/>
            </w:pPr>
            <w:r>
              <w:rPr/>
              <w:t>—</w:t>
            </w:r>
          </w:p>
        </w:tc>
        <w:tc>
          <w:tcPr>
            <w:tcW w:w="42" w:type="dxa"/>
            <w:tcBorders/>
            <w:vAlign w:val="center"/>
          </w:tcPr>
          <w:p>
            <w:pPr>
              <w:pStyle w:val="TableContents"/>
              <w:bidi w:val="0"/>
              <w:spacing w:before="0" w:after="283"/>
              <w:jc w:val="left"/>
              <w:rPr>
                <w:sz w:val="4"/>
                <w:szCs w:val="4"/>
              </w:rPr>
            </w:pPr>
            <w:r>
              <w:rPr>
                <w:sz w:val="4"/>
                <w:szCs w:val="4"/>
              </w:rPr>
            </w:r>
          </w:p>
        </w:tc>
      </w:tr>
      <w:tr>
        <w:trPr/>
        <w:tc>
          <w:tcPr>
            <w:tcW w:w="6967" w:type="dxa"/>
            <w:tcBorders/>
            <w:shd w:fill="CCEEFF" w:val="clear"/>
            <w:vAlign w:val="center"/>
          </w:tcPr>
          <w:p>
            <w:pPr>
              <w:pStyle w:val="TableContents"/>
              <w:bidi w:val="0"/>
              <w:spacing w:before="0" w:after="283"/>
              <w:jc w:val="left"/>
              <w:rPr/>
            </w:pPr>
            <w:r>
              <w:rPr/>
              <w:t>Conversion of debt to Series B Preferred stock</w:t>
            </w:r>
          </w:p>
        </w:tc>
        <w:tc>
          <w:tcPr>
            <w:tcW w:w="25" w:type="dxa"/>
            <w:tcBorders/>
            <w:shd w:fill="CCEEFF" w:val="clear"/>
            <w:vAlign w:val="center"/>
          </w:tcPr>
          <w:p>
            <w:pPr>
              <w:pStyle w:val="TableContents"/>
              <w:bidi w:val="0"/>
              <w:spacing w:before="0" w:after="283"/>
              <w:jc w:val="left"/>
              <w:rPr/>
            </w:pPr>
            <w:r>
              <w:rPr/>
            </w:r>
          </w:p>
        </w:tc>
        <w:tc>
          <w:tcPr>
            <w:tcW w:w="447" w:type="dxa"/>
            <w:tcBorders/>
            <w:shd w:fill="CCEEFF" w:val="clear"/>
            <w:vAlign w:val="center"/>
          </w:tcPr>
          <w:p>
            <w:pPr>
              <w:pStyle w:val="TableContents"/>
              <w:bidi w:val="0"/>
              <w:spacing w:before="0" w:after="283"/>
              <w:jc w:val="left"/>
              <w:rPr/>
            </w:pPr>
            <w:r>
              <w:rPr/>
            </w:r>
          </w:p>
        </w:tc>
        <w:tc>
          <w:tcPr>
            <w:tcW w:w="1473" w:type="dxa"/>
            <w:tcBorders/>
            <w:shd w:fill="CCEEFF" w:val="clear"/>
            <w:vAlign w:val="center"/>
          </w:tcPr>
          <w:p>
            <w:pPr>
              <w:pStyle w:val="TableContents"/>
              <w:bidi w:val="0"/>
              <w:spacing w:before="0" w:after="283"/>
              <w:jc w:val="right"/>
              <w:rPr/>
            </w:pPr>
            <w:r>
              <w:rPr/>
              <w:t>3,026</w:t>
            </w:r>
          </w:p>
        </w:tc>
        <w:tc>
          <w:tcPr>
            <w:tcW w:w="60" w:type="dxa"/>
            <w:tcBorders/>
            <w:shd w:fill="CCEEFF" w:val="clear"/>
            <w:vAlign w:val="center"/>
          </w:tcPr>
          <w:p>
            <w:pPr>
              <w:pStyle w:val="TableContents"/>
              <w:bidi w:val="0"/>
              <w:spacing w:before="0" w:after="283"/>
              <w:jc w:val="left"/>
              <w:rPr/>
            </w:pPr>
            <w:r>
              <w:rPr/>
            </w:r>
          </w:p>
        </w:tc>
        <w:tc>
          <w:tcPr>
            <w:tcW w:w="60" w:type="dxa"/>
            <w:tcBorders/>
            <w:shd w:fill="CCEEFF" w:val="clear"/>
            <w:vAlign w:val="center"/>
          </w:tcPr>
          <w:p>
            <w:pPr>
              <w:pStyle w:val="TableContents"/>
              <w:bidi w:val="0"/>
              <w:spacing w:before="0" w:after="283"/>
              <w:jc w:val="left"/>
              <w:rPr/>
            </w:pPr>
            <w:r>
              <w:rPr/>
            </w:r>
          </w:p>
        </w:tc>
        <w:tc>
          <w:tcPr>
            <w:tcW w:w="447" w:type="dxa"/>
            <w:tcBorders/>
            <w:shd w:fill="CCEEFF" w:val="clear"/>
            <w:vAlign w:val="center"/>
          </w:tcPr>
          <w:p>
            <w:pPr>
              <w:pStyle w:val="TableContents"/>
              <w:bidi w:val="0"/>
              <w:spacing w:before="0" w:after="283"/>
              <w:jc w:val="left"/>
              <w:rPr/>
            </w:pPr>
            <w:r>
              <w:rPr/>
            </w:r>
          </w:p>
        </w:tc>
        <w:tc>
          <w:tcPr>
            <w:tcW w:w="684" w:type="dxa"/>
            <w:tcBorders/>
            <w:shd w:fill="CCEEFF" w:val="clear"/>
            <w:vAlign w:val="center"/>
          </w:tcPr>
          <w:p>
            <w:pPr>
              <w:pStyle w:val="TableContents"/>
              <w:bidi w:val="0"/>
              <w:spacing w:before="0" w:after="283"/>
              <w:jc w:val="right"/>
              <w:rPr/>
            </w:pPr>
            <w:r>
              <w:rPr/>
              <w:t>—</w:t>
            </w:r>
          </w:p>
        </w:tc>
        <w:tc>
          <w:tcPr>
            <w:tcW w:w="42" w:type="dxa"/>
            <w:tcBorders/>
            <w:shd w:fill="CCEEFF" w:val="clear"/>
            <w:vAlign w:val="center"/>
          </w:tcPr>
          <w:p>
            <w:pPr>
              <w:pStyle w:val="TableContents"/>
              <w:bidi w:val="0"/>
              <w:spacing w:before="0" w:after="283"/>
              <w:jc w:val="left"/>
              <w:rPr/>
            </w:pPr>
            <w:r>
              <w:rPr/>
            </w:r>
          </w:p>
        </w:tc>
      </w:tr>
      <w:tr>
        <w:trPr/>
        <w:tc>
          <w:tcPr>
            <w:tcW w:w="6967" w:type="dxa"/>
            <w:tcBorders/>
            <w:vAlign w:val="center"/>
          </w:tcPr>
          <w:p>
            <w:pPr>
              <w:pStyle w:val="TableContents"/>
              <w:bidi w:val="0"/>
              <w:spacing w:before="0" w:after="283"/>
              <w:jc w:val="left"/>
              <w:rPr/>
            </w:pPr>
            <w:r>
              <w:rPr/>
              <w:t>Issuance of Class A redeemable preferred stock – temporary equity</w:t>
            </w:r>
          </w:p>
        </w:tc>
        <w:tc>
          <w:tcPr>
            <w:tcW w:w="25" w:type="dxa"/>
            <w:tcBorders/>
            <w:vAlign w:val="center"/>
          </w:tcPr>
          <w:p>
            <w:pPr>
              <w:pStyle w:val="TableContents"/>
              <w:bidi w:val="0"/>
              <w:spacing w:before="0" w:after="283"/>
              <w:jc w:val="left"/>
              <w:rPr/>
            </w:pPr>
            <w:r>
              <w:rPr/>
            </w:r>
          </w:p>
        </w:tc>
        <w:tc>
          <w:tcPr>
            <w:tcW w:w="447" w:type="dxa"/>
            <w:tcBorders/>
            <w:vAlign w:val="center"/>
          </w:tcPr>
          <w:p>
            <w:pPr>
              <w:pStyle w:val="TableContents"/>
              <w:bidi w:val="0"/>
              <w:spacing w:before="0" w:after="283"/>
              <w:jc w:val="left"/>
              <w:rPr/>
            </w:pPr>
            <w:r>
              <w:rPr/>
            </w:r>
          </w:p>
        </w:tc>
        <w:tc>
          <w:tcPr>
            <w:tcW w:w="1473" w:type="dxa"/>
            <w:tcBorders/>
            <w:vAlign w:val="center"/>
          </w:tcPr>
          <w:p>
            <w:pPr>
              <w:pStyle w:val="TableContents"/>
              <w:bidi w:val="0"/>
              <w:spacing w:before="0" w:after="283"/>
              <w:jc w:val="right"/>
              <w:rPr/>
            </w:pPr>
            <w:r>
              <w:rPr/>
              <w:t>758</w:t>
            </w:r>
          </w:p>
        </w:tc>
        <w:tc>
          <w:tcPr>
            <w:tcW w:w="60"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r>
          </w:p>
        </w:tc>
        <w:tc>
          <w:tcPr>
            <w:tcW w:w="447" w:type="dxa"/>
            <w:tcBorders/>
            <w:vAlign w:val="center"/>
          </w:tcPr>
          <w:p>
            <w:pPr>
              <w:pStyle w:val="TableContents"/>
              <w:bidi w:val="0"/>
              <w:spacing w:before="0" w:after="283"/>
              <w:jc w:val="left"/>
              <w:rPr/>
            </w:pPr>
            <w:r>
              <w:rPr/>
            </w:r>
          </w:p>
        </w:tc>
        <w:tc>
          <w:tcPr>
            <w:tcW w:w="684" w:type="dxa"/>
            <w:tcBorders/>
            <w:vAlign w:val="center"/>
          </w:tcPr>
          <w:p>
            <w:pPr>
              <w:pStyle w:val="TableContents"/>
              <w:bidi w:val="0"/>
              <w:spacing w:before="0" w:after="283"/>
              <w:jc w:val="right"/>
              <w:rPr/>
            </w:pPr>
            <w:r>
              <w:rPr/>
              <w:t>—</w:t>
            </w:r>
          </w:p>
        </w:tc>
        <w:tc>
          <w:tcPr>
            <w:tcW w:w="42" w:type="dxa"/>
            <w:tcBorders/>
            <w:vAlign w:val="center"/>
          </w:tcPr>
          <w:p>
            <w:pPr>
              <w:pStyle w:val="TableContents"/>
              <w:bidi w:val="0"/>
              <w:spacing w:before="0" w:after="283"/>
              <w:jc w:val="left"/>
              <w:rPr/>
            </w:pPr>
            <w:r>
              <w:rPr/>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left"/>
        <w:rPr/>
      </w:pPr>
      <w:r>
        <w:rPr/>
      </w:r>
    </w:p>
    <w:p>
      <w:pPr>
        <w:pStyle w:val="TextBody"/>
        <w:bidi w:val="0"/>
        <w:spacing w:lineRule="auto" w:line="288" w:before="0" w:after="200"/>
        <w:ind w:left="0" w:right="0" w:hanging="0"/>
        <w:jc w:val="center"/>
        <w:rPr>
          <w:rFonts w:ascii="Times New Roman" w:hAnsi="Times New Roman"/>
          <w:i/>
          <w:sz w:val="20"/>
        </w:rPr>
      </w:pPr>
      <w:r>
        <w:rPr>
          <w:rFonts w:ascii="Times New Roman" w:hAnsi="Times New Roman"/>
          <w:i/>
          <w:sz w:val="20"/>
        </w:rPr>
        <w:t>See accompanying notes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bookmarkStart w:id="78" w:name="PageBreakNo6"/>
            <w:bookmarkEnd w:id="78"/>
            <w:r>
              <w:rPr>
                <w:sz w:val="20"/>
              </w:rPr>
              <w:t>6</w:t>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jc w:val="left"/>
        <w:rPr/>
      </w:pPr>
      <w:r>
        <w:rPr/>
      </w:r>
    </w:p>
    <w:p>
      <w:pPr>
        <w:pStyle w:val="TextBody"/>
        <w:bidi w:val="0"/>
        <w:spacing w:lineRule="auto" w:line="288"/>
        <w:jc w:val="left"/>
        <w:rPr/>
      </w:pPr>
      <w:hyperlink w:anchor="TOC">
        <w:r>
          <w:rPr>
            <w:rStyle w:val="InternetLink"/>
            <w:rFonts w:ascii="times new roman;times" w:hAnsi="times new roman;times"/>
            <w:sz w:val="20"/>
          </w:rPr>
          <w:t>Table of Contents</w:t>
        </w:r>
      </w:hyperlink>
    </w:p>
    <w:p>
      <w:pPr>
        <w:pStyle w:val="TextBody"/>
        <w:bidi w:val="0"/>
        <w:spacing w:before="0" w:after="0"/>
        <w:ind w:left="0" w:right="0" w:hanging="0"/>
        <w:jc w:val="left"/>
        <w:rPr/>
      </w:pPr>
      <w:r>
        <w:rPr/>
      </w:r>
    </w:p>
    <w:p>
      <w:pPr>
        <w:pStyle w:val="TextBody"/>
        <w:bidi w:val="0"/>
        <w:spacing w:lineRule="auto" w:line="288" w:before="200" w:after="0"/>
        <w:ind w:left="144" w:right="144" w:hanging="0"/>
        <w:jc w:val="center"/>
        <w:rPr>
          <w:rFonts w:ascii="Times New Roman" w:hAnsi="Times New Roman"/>
          <w:b/>
          <w:sz w:val="20"/>
        </w:rPr>
      </w:pPr>
      <w:r>
        <w:rPr>
          <w:rFonts w:ascii="Times New Roman" w:hAnsi="Times New Roman"/>
          <w:b/>
          <w:sz w:val="20"/>
        </w:rPr>
        <w:t>CLEARONE, INC.</w:t>
      </w:r>
    </w:p>
    <w:p>
      <w:pPr>
        <w:pStyle w:val="TextBody"/>
        <w:bidi w:val="0"/>
        <w:spacing w:lineRule="auto" w:line="288"/>
        <w:ind w:left="144" w:right="144" w:hanging="0"/>
        <w:jc w:val="center"/>
        <w:rPr/>
      </w:pPr>
      <w:hyperlink r:id="rId9">
        <w:bookmarkStart w:id="79" w:name="BF_IMSU8UN3GG00000000000000000000"/>
        <w:bookmarkEnd w:id="79"/>
        <w:r>
          <w:rPr>
            <w:rStyle w:val="InternetLink"/>
            <w:rFonts w:ascii="Times New Roman" w:hAnsi="Times New Roman"/>
            <w:b/>
            <w:strike w:val="false"/>
            <w:dstrike w:val="false"/>
            <w:color w:val="000000"/>
            <w:sz w:val="20"/>
            <w:u w:val="none"/>
            <w:effect w:val="none"/>
          </w:rPr>
          <w:t>UNAUDITED NOTES TO CONDENSED CONSOLIDATED FINANCIAL STATEMENTS</w:t>
        </w:r>
      </w:hyperlink>
    </w:p>
    <w:p>
      <w:pPr>
        <w:pStyle w:val="TextBody"/>
        <w:bidi w:val="0"/>
        <w:spacing w:lineRule="auto" w:line="288" w:before="0" w:after="0"/>
        <w:ind w:left="144" w:right="144" w:hanging="0"/>
        <w:jc w:val="center"/>
        <w:rPr>
          <w:rFonts w:ascii="Times New Roman" w:hAnsi="Times New Roman"/>
          <w:sz w:val="20"/>
        </w:rPr>
      </w:pPr>
      <w:r>
        <w:rPr>
          <w:rFonts w:ascii="Times New Roman" w:hAnsi="Times New Roman"/>
          <w:sz w:val="20"/>
        </w:rPr>
        <w:t>(Unaudited - Dollars in thousands, except per share amounts)</w:t>
      </w:r>
    </w:p>
    <w:p>
      <w:pPr>
        <w:pStyle w:val="TextBody"/>
        <w:bidi w:val="0"/>
        <w:spacing w:lineRule="auto" w:line="288" w:before="0" w:after="0"/>
        <w:ind w:left="144" w:right="144" w:hanging="0"/>
        <w:jc w:val="center"/>
        <w:rPr/>
      </w:pPr>
      <w:r>
        <w:rPr/>
        <w:t>  </w:t>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1. Business Description, Basis of Presentation and Significant Accounting Policies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b/>
          <w:i/>
          <w:sz w:val="20"/>
        </w:rPr>
      </w:pPr>
      <w:r>
        <w:rPr>
          <w:rFonts w:ascii="Times New Roman" w:hAnsi="Times New Roman"/>
          <w:b/>
          <w:i/>
          <w:sz w:val="20"/>
        </w:rPr>
        <w:t>Business Description:</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ClearOne, Inc., together with its subsidiaries (collectively, “ClearOne” or the “Company”), was a global market competitor providing conferencing, collaboration, and AV streaming solutions supporting voice and visual communications. The performance and simplicity of its advanced, comprehensive solutions offered functionality, reliability, and scalability to enterprise and professional customers. See discussion of going concern and discontinued operations below.</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 w:hAnsi="Times New Roman"/>
          <w:b/>
          <w:i/>
          <w:sz w:val="20"/>
        </w:rPr>
      </w:pPr>
      <w:r>
        <w:rPr>
          <w:rFonts w:ascii="Times New Roman" w:hAnsi="Times New Roman"/>
          <w:b/>
          <w:i/>
          <w:sz w:val="20"/>
        </w:rPr>
        <w:t>Going Concern:</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The accompanying unaudited condensed consolidated financial statements have been prepared on a going concern basis, which contemplates the realization of assets and the satisfaction of liabilities in the normal course of business for the twelve months following the date these financial statements are issued. The Company has incurred net losses and used cash in operating activities for the periods presented, and as of </w:t>
      </w:r>
      <w:bookmarkStart w:id="80" w:name="fs_5ET80QW9ZK00000000000000000000FM"/>
      <w:bookmarkEnd w:id="80"/>
      <w:r>
        <w:rPr>
          <w:rFonts w:ascii="times new roman;times" w:hAnsi="times new roman;times"/>
          <w:sz w:val="20"/>
        </w:rPr>
        <w:t>September 30, 2025 had limited cash resources and ongoing obligations associated with public-company compliance, legacy product warranty support, and restructuring activities (see Note 2 — Discontinued Operations and Assets Held for Sale).</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In September 2025, the Company’s Board of Directors approved a plan (the “Strategic Plan”) to seek the sale of a significant portion of the Company’s operating assets related to its product business, reduce the Company’s continuing operations to warranty and product support, and position the Company as a reverse merger vehicle for a possible strategic transaction (a “Strategic Transaction”). Accordingly, as of September 30, 2025, the Company has classified a significant portion of its assets as held for sale, measured at the lower of carrying amount or fair value less costs to sell. After quarter-end, on October 24, 2025, the Company closed the sale of certain inventory and intellectual property (the “Asset Disposition”) to Biamp Systems, LLC (“Biamp”) for cash consideration (see Subsequent Events). Pursuant to the terms of the Class A Redeemable Preferred Stock issued in July 2025, net proceeds from a qualifying asset sale are payable to Class A holders upon redemption (see Note 3 — Class A Redeemable Preferred (Temporary Equity)). As a result, the net proceeds of the Asset Disposition to Biamp are not expected to be available to fund ongoing operations other than for permitted transaction costs.</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These conditions, including (i) historical operating losses and negative operating cash flows, (ii) limited liquidity at September 30, 2025, (iii) the requirement to redeem Class A from asset-sale net proceeds, and (iv) the Company’s go-forward profile consisting primarily of warranty support, public-company compliance, and restructuring activities, raise substantial doubt about the Company’s ability to continue as a going concern within one year after the issuance of these financial statements.</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Management is (a) executing a restructuring in furtherance of the Asset Disposition to Biamp and a possible Strategic Transaction, including monetization of residual assets not included in the sale (e.g., fixed assets, leaseholds) and collection of accounts receivable and prepaids; (b) maintaining a lean corporate infrastructure to satisfy reporting and governance requirements; (c) a providing product support and warranty services with a small service inventory and technical support team; (d) managing and, where feasible, terminating or assigning facility leases to reduce ongoing cash burn; (e) completing the Class A redemption in accordance with its terms; and (f) evaluating additional financing or strategic alternatives as necessary to satisfy obligations as they come due. There can be no assurance these plans will be successful, timely, or sufficient to alleviate the conditions raising substantial doubt.</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Accordingly, management has concluded that substantial doubt exists about the Company’s ability to continue as a going concern for the twelve-month period following the issuance of these unaudited condensed consolidated financial statements. The financial statements do not include any adjustments to the carrying amounts and classification of assets and liabilities that might result if the Company were unable to continue as a going concern.</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b/>
          <w:i/>
          <w:sz w:val="20"/>
        </w:rPr>
      </w:pPr>
      <w:r>
        <w:rPr>
          <w:rFonts w:ascii="Times New Roman" w:hAnsi="Times New Roman"/>
          <w:b/>
          <w:i/>
          <w:sz w:val="20"/>
        </w:rPr>
        <w:t>Basis of Presentation:</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 xml:space="preserve">The fiscal year for ClearOne is the </w:t>
      </w:r>
      <w:bookmarkStart w:id="81" w:name="fs_JQ9W965RLS00000000000000000000fs"/>
      <w:bookmarkEnd w:id="81"/>
      <w:r>
        <w:rPr>
          <w:rFonts w:ascii="Times New Roman" w:hAnsi="Times New Roman"/>
          <w:sz w:val="20"/>
        </w:rPr>
        <w:t>twelve months ending on December 31. The condensed consolidated financial statements include the accounts of ClearOne and its subsidiaries. All significant inter-company accounts and transactions have been eliminated.</w:t>
      </w:r>
    </w:p>
    <w:p>
      <w:pPr>
        <w:pStyle w:val="TextBody"/>
        <w:bidi w:val="0"/>
        <w:spacing w:lineRule="auto" w:line="288" w:before="0" w:after="0"/>
        <w:ind w:left="0" w:right="0" w:hanging="0"/>
        <w:jc w:val="left"/>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bookmarkStart w:id="82" w:name="PageBreakNo7"/>
            <w:bookmarkEnd w:id="82"/>
            <w:r>
              <w:rPr>
                <w:sz w:val="20"/>
              </w:rPr>
              <w:t>7</w:t>
            </w:r>
          </w:p>
        </w:tc>
      </w:tr>
    </w:tbl>
    <w:p>
      <w:pPr>
        <w:pStyle w:val="HorizontalLine"/>
        <w:bidi w:val="0"/>
        <w:spacing w:lineRule="auto" w:line="288"/>
        <w:jc w:val="left"/>
        <w:rPr/>
      </w:pPr>
      <w:r>
        <w:rPr/>
      </w:r>
    </w:p>
    <w:p>
      <w:pPr>
        <w:pStyle w:val="TextBody"/>
        <w:bidi w:val="0"/>
        <w:spacing w:lineRule="auto" w:line="288"/>
        <w:jc w:val="left"/>
        <w:rPr/>
      </w:pPr>
      <w:hyperlink w:anchor="TOC">
        <w:r>
          <w:rPr>
            <w:rStyle w:val="InternetLink"/>
            <w:rFonts w:ascii="times new roman;times" w:hAnsi="times new roman;times"/>
            <w:sz w:val="20"/>
          </w:rPr>
          <w:t>Table of Contents</w:t>
        </w:r>
      </w:hyperlink>
    </w:p>
    <w:p>
      <w:pPr>
        <w:pStyle w:val="TextBody"/>
        <w:bidi w:val="0"/>
        <w:spacing w:lineRule="auto" w:line="288" w:before="0" w:after="0"/>
        <w:ind w:left="0" w:right="0" w:hanging="0"/>
        <w:jc w:val="both"/>
        <w:rPr/>
      </w:pPr>
      <w:r>
        <w:rPr/>
        <w:t> </w:t>
      </w:r>
    </w:p>
    <w:p>
      <w:pPr>
        <w:pStyle w:val="TextBody"/>
        <w:bidi w:val="0"/>
        <w:spacing w:lineRule="auto" w:line="288" w:before="0" w:after="0"/>
        <w:ind w:left="144" w:right="144" w:hanging="0"/>
        <w:jc w:val="center"/>
        <w:rPr>
          <w:rFonts w:ascii="Times New Roman" w:hAnsi="Times New Roman"/>
          <w:b/>
          <w:sz w:val="20"/>
        </w:rPr>
      </w:pPr>
      <w:r>
        <w:rPr>
          <w:rFonts w:ascii="Times New Roman" w:hAnsi="Times New Roman"/>
          <w:b/>
          <w:sz w:val="20"/>
        </w:rPr>
        <w:t>UNAUDITED NOTES TO CONDENSED CONSOLIDATED FINANCIAL STATEMENTS</w:t>
      </w:r>
    </w:p>
    <w:p>
      <w:pPr>
        <w:pStyle w:val="TextBody"/>
        <w:bidi w:val="0"/>
        <w:spacing w:lineRule="auto" w:line="288" w:before="0" w:after="0"/>
        <w:ind w:left="144" w:right="144" w:hanging="0"/>
        <w:jc w:val="center"/>
        <w:rPr>
          <w:rFonts w:ascii="Times New Roman" w:hAnsi="Times New Roman"/>
          <w:sz w:val="20"/>
        </w:rPr>
      </w:pPr>
      <w:r>
        <w:rPr>
          <w:rFonts w:ascii="Times New Roman" w:hAnsi="Times New Roman"/>
          <w:sz w:val="20"/>
        </w:rPr>
        <w:t>(Dollars in thousands, except per share amounts)</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widowControl/>
        <w:bidi w:val="0"/>
        <w:spacing w:lineRule="auto" w:line="288" w:before="0" w:after="0"/>
        <w:ind w:left="0" w:right="0" w:hanging="0"/>
        <w:jc w:val="both"/>
        <w:rPr>
          <w:rFonts w:ascii="Times New Roman" w:hAnsi="Times New Roman"/>
          <w:b w:val="false"/>
          <w:color w:val="000000"/>
          <w:spacing w:val="0"/>
          <w:sz w:val="20"/>
        </w:rPr>
      </w:pPr>
      <w:r>
        <w:rPr>
          <w:rFonts w:ascii="Times New Roman" w:hAnsi="Times New Roman"/>
          <w:b w:val="false"/>
          <w:color w:val="000000"/>
          <w:spacing w:val="0"/>
          <w:sz w:val="20"/>
        </w:rPr>
        <w:t>In connection with the Strategic Plan to sell certain significant assets of the Company described above, management determined that the disposal group of assets met the held-for-sale criteria in ASC 360-10-45-9 and, accordingly, classified the group as assets held for sale and measured it at the lower of carrying amount or fair value less costs to sell (“FVLCTS,” also referred to as fair value less cost of disposal, “FVLCOD”). Because the planned disposal represents a strategic shift that will have a major effect on the Company’s operations and financial results, the related operating results are presented as discontinued operations in accordance with ASC 205-20. Prior-period amounts in the unaudited condensed consolidated statements of operations and cash flows have been recast to conform to this presentation. Amortization of long-lived assets included in the disposal group ceased upon classification as held for sale, and any loss recognized to measure the group to FVLCTS is included within loss from discontinued operations. See Note 2 — Discontinued Operations and Assets Held for Sale for additional information.</w:t>
      </w:r>
    </w:p>
    <w:p>
      <w:pPr>
        <w:pStyle w:val="TextBody"/>
        <w:widowControl/>
        <w:bidi w:val="0"/>
        <w:spacing w:lineRule="auto" w:line="288"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widowControl/>
        <w:bidi w:val="0"/>
        <w:spacing w:lineRule="auto" w:line="288" w:before="0" w:after="0"/>
        <w:ind w:left="0" w:right="0" w:hanging="0"/>
        <w:jc w:val="both"/>
        <w:rPr>
          <w:rFonts w:ascii="times new roman;times" w:hAnsi="times new roman;times"/>
          <w:sz w:val="20"/>
        </w:rPr>
      </w:pPr>
      <w:r>
        <w:rPr>
          <w:rFonts w:ascii="Times New Roman" w:hAnsi="Times New Roman"/>
          <w:sz w:val="20"/>
        </w:rPr>
        <w:t xml:space="preserve">These accompanying interim unaudited condensed consolidated financial statements have been prepared by the Company pursuant to the rules and regulations of the Securities and Exchange Commission (“SEC”) and are not audited. Certain information and footnote disclosures that are usually included in financial statements prepared in accordance with generally accepted accounting principles in the United States (“GAAP”) have been either condensed or omitted in accordance with SEC rules and regulations. The accompanying condensed consolidated financial statements contain all adjustments, consisting of normal recurring accruals, necessary for a fair presentation of our financial position as of </w:t>
      </w:r>
      <w:bookmarkStart w:id="83" w:name="fs_HTWBWWVRY800000000000000000000FM"/>
      <w:bookmarkEnd w:id="83"/>
      <w:r>
        <w:rPr>
          <w:rFonts w:ascii="Times New Roman" w:hAnsi="Times New Roman"/>
          <w:sz w:val="20"/>
        </w:rPr>
        <w:t xml:space="preserve">September 30, 2025 and </w:t>
      </w:r>
      <w:bookmarkStart w:id="84" w:name="fs_30O8G3GU5S00000000000000000000FM"/>
      <w:bookmarkEnd w:id="84"/>
      <w:r>
        <w:rPr>
          <w:rFonts w:ascii="Times New Roman" w:hAnsi="Times New Roman"/>
          <w:sz w:val="20"/>
        </w:rPr>
        <w:t xml:space="preserve">December 31, 2024, the results of operations for the </w:t>
      </w:r>
      <w:bookmarkStart w:id="85" w:name="fs_M48E6R6J4000000000000000000000FM"/>
      <w:bookmarkEnd w:id="85"/>
      <w:r>
        <w:rPr>
          <w:rFonts w:ascii="Times New Roman" w:hAnsi="Times New Roman"/>
          <w:sz w:val="20"/>
        </w:rPr>
        <w:t xml:space="preserve">three and nine months ended </w:t>
      </w:r>
      <w:bookmarkStart w:id="86" w:name="fs_5MPITWWIGG00000000000000000000FM"/>
      <w:bookmarkEnd w:id="86"/>
      <w:r>
        <w:rPr>
          <w:rFonts w:ascii="Times New Roman" w:hAnsi="Times New Roman"/>
          <w:sz w:val="20"/>
        </w:rPr>
        <w:t xml:space="preserve">September 30, 2025 and </w:t>
      </w:r>
      <w:bookmarkStart w:id="87" w:name="fs_FSBFV9IJ8G00000000000000000000fs"/>
      <w:bookmarkEnd w:id="87"/>
      <w:r>
        <w:rPr>
          <w:rFonts w:ascii="Times New Roman" w:hAnsi="Times New Roman"/>
          <w:sz w:val="20"/>
        </w:rPr>
        <w:t xml:space="preserve">2024, and the cash flows for the </w:t>
      </w:r>
      <w:bookmarkStart w:id="88" w:name="fs_1OOQWRL4MO00000000000000000000FM"/>
      <w:bookmarkEnd w:id="88"/>
      <w:r>
        <w:rPr>
          <w:rFonts w:ascii="Times New Roman" w:hAnsi="Times New Roman"/>
          <w:sz w:val="20"/>
        </w:rPr>
        <w:t>nine months ended September 30, 2025</w:t>
      </w:r>
      <w:r>
        <w:rPr>
          <w:rFonts w:ascii="Times New Roman" w:hAnsi="Times New Roman"/>
          <w:caps w:val="false"/>
          <w:smallCaps w:val="false"/>
          <w:color w:val="000000"/>
          <w:spacing w:val="0"/>
          <w:sz w:val="20"/>
        </w:rPr>
        <w:t> </w:t>
      </w:r>
      <w:r>
        <w:rPr>
          <w:rFonts w:ascii="Times New Roman" w:hAnsi="Times New Roman"/>
          <w:sz w:val="20"/>
        </w:rPr>
        <w:t xml:space="preserve">and </w:t>
      </w:r>
      <w:bookmarkStart w:id="89" w:name="fs_VTZS2DR3R400000000000000000000fs"/>
      <w:bookmarkEnd w:id="89"/>
      <w:r>
        <w:rPr>
          <w:rFonts w:ascii="Times New Roman" w:hAnsi="Times New Roman"/>
          <w:sz w:val="20"/>
        </w:rPr>
        <w:t xml:space="preserve">2024. The results of operations for the </w:t>
      </w:r>
      <w:bookmarkStart w:id="90" w:name="fs_XLOCC6RG7400000000000000000000FM"/>
      <w:bookmarkEnd w:id="90"/>
      <w:r>
        <w:rPr>
          <w:rFonts w:ascii="Times New Roman" w:hAnsi="Times New Roman"/>
          <w:sz w:val="20"/>
        </w:rPr>
        <w:t xml:space="preserve">three and nine months ended </w:t>
      </w:r>
      <w:bookmarkStart w:id="91" w:name="fs_1U3TEL5GUO00000000000000000000FM"/>
      <w:bookmarkEnd w:id="91"/>
      <w:r>
        <w:rPr>
          <w:rFonts w:ascii="Times New Roman" w:hAnsi="Times New Roman"/>
          <w:sz w:val="20"/>
        </w:rPr>
        <w:t xml:space="preserve">September 30, 2025 and </w:t>
      </w:r>
      <w:bookmarkStart w:id="92" w:name="fs_913U8NFK8W00000000000000000000fs"/>
      <w:bookmarkEnd w:id="92"/>
      <w:r>
        <w:rPr>
          <w:rFonts w:ascii="Times New Roman" w:hAnsi="Times New Roman"/>
          <w:sz w:val="20"/>
        </w:rPr>
        <w:t>2024</w:t>
      </w:r>
      <w:r>
        <w:rPr>
          <w:rFonts w:ascii="times new roman;times" w:hAnsi="times new roman;times"/>
          <w:sz w:val="20"/>
        </w:rPr>
        <w:t> </w:t>
      </w:r>
      <w:r>
        <w:rPr>
          <w:rFonts w:ascii="Times New Roman" w:hAnsi="Times New Roman"/>
          <w:sz w:val="20"/>
        </w:rPr>
        <w:t xml:space="preserve">are not necessarily indicative of the results for a full-year period. These interim unaudited condensed consolidated financial statements should be read in conjunction with the financial statements included in our Annual Report on Form 10-K for the year ended </w:t>
      </w:r>
      <w:bookmarkStart w:id="93" w:name="fs_QNHAO2D07400000000000000000000FM"/>
      <w:bookmarkEnd w:id="93"/>
      <w:r>
        <w:rPr>
          <w:rFonts w:ascii="Times New Roman" w:hAnsi="Times New Roman"/>
          <w:sz w:val="20"/>
        </w:rPr>
        <w:t>December 31, 2024</w:t>
      </w:r>
      <w:r>
        <w:rPr>
          <w:rFonts w:ascii="times new roman;times" w:hAnsi="times new roman;times"/>
          <w:sz w:val="20"/>
        </w:rPr>
        <w:t> </w:t>
      </w:r>
      <w:r>
        <w:rPr>
          <w:rFonts w:ascii="Times New Roman" w:hAnsi="Times New Roman"/>
          <w:sz w:val="20"/>
        </w:rPr>
        <w:t>filed with the SEC.</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b/>
          <w:i/>
          <w:sz w:val="20"/>
        </w:rPr>
        <w:t>Reverse Stock Split:</w:t>
      </w:r>
      <w:r>
        <w:rPr>
          <w:rFonts w:ascii="times new roman;times" w:hAnsi="times new roman;times"/>
          <w:sz w:val="20"/>
        </w:rPr>
        <w:t xml:space="preserve"> </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The Company completed a 1-for-15 reverse stock split of the Company's issued and outstanding common stock, par value $0.001 per share, effective at 5:00 p.m. Eastern Time on June 9, 2025. The common stock began trading on a split-adjusted basis on the Nasdaq Capital Market on June 10, 2025, under the symbol "CLRO" and a new CUSIP number of 18506U203. The reverse stock split was primarily intended to increase the per share market price of the common stock in order to regain compliance with the minimum bid price requirement for continued listing on the Nasdaq Capital Market. As a result of the reverse stock split, every 15 shares of issued and outstanding common stock were automatically combined into </w:t>
      </w:r>
      <w:bookmarkStart w:id="94" w:name="fs_3HC7QF4NCW00000000000000000000FM"/>
      <w:bookmarkEnd w:id="94"/>
      <w:r>
        <w:rPr>
          <w:rFonts w:ascii="times new roman;times" w:hAnsi="times new roman;times"/>
          <w:sz w:val="20"/>
        </w:rPr>
        <w:t xml:space="preserve">one share, with no fractional shares issued (any fractional interests were rounded up to the next whole share). The reverse stock split did not change the par value of the common stock or the authorized number of shares but reduced the number of issued and outstanding shares from approximately 26.0 million to approximately 1.7 million, with proportional adjustments to outstanding stock options, warrants, and shares reserved under equity incentive plans. For additional details, refer to the Company's Current Report on Form 8-K filed with the SEC on June 2, 2025, including the press release attached as Exhibit 99.1 thereto. </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All share and per-share amounts in these condensed consolidated financial statements and related notes have been retroactively adjusted to reflect the reverse stock split for all periods presented.</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b/>
          <w:i/>
          <w:sz w:val="20"/>
        </w:rPr>
        <w:t>Restricted Cash</w:t>
      </w:r>
      <w:r>
        <w:rPr>
          <w:rFonts w:ascii="times new roman;times" w:hAnsi="times new roman;times"/>
          <w:sz w:val="20"/>
        </w:rPr>
        <w:t xml:space="preserve"> </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The Company includes restricted cash with cash and cash equivalents when reconciling the beginning-of-period and end-of-period total amounts shown on the statement of cash flows, in accordance with ASU 2016-18. Restricted cash as of </w:t>
      </w:r>
      <w:bookmarkStart w:id="95" w:name="fs_ACKQJ2WY0000000000000000000000FM"/>
      <w:bookmarkEnd w:id="95"/>
      <w:r>
        <w:rPr>
          <w:rFonts w:ascii="times new roman;times" w:hAnsi="times new roman;times"/>
          <w:sz w:val="20"/>
        </w:rPr>
        <w:t xml:space="preserve">September 30, 2025, consists of $663 in remaining proceeds from a $3,000 convertible note issued to First Finance Ltd. on June 20, 2025 (with no restricted cash balance as of March 31, 2025). These funds are subject to enforceable contractual restrictions per the disbursement schedule in Schedule 8.5 of the Note Purchase Agreement, which allocates proceeds to specific uses such as advisory fees, warrant holder payments, legal and audit expenses, staff costs (e.g., board fees, accounting staff, operations/sales staff bonuses), shutdown costs for foreign subsidiaries, and severance/PTO for employee layoffs. The funds are held in a segregated account and released only upon meeting specified milestones, with penalties for non-compliance. During the quarter ended </w:t>
      </w:r>
      <w:bookmarkStart w:id="96" w:name="fs_XWMRA8QL6O00000000000000000000FM"/>
      <w:bookmarkEnd w:id="96"/>
      <w:r>
        <w:rPr>
          <w:rFonts w:ascii="times new roman;times" w:hAnsi="times new roman;times"/>
          <w:sz w:val="20"/>
        </w:rPr>
        <w:t>September 30, 2025, $1,322 was disbursed for severances, deal fees, legal fees, and compliance fees, resulting in the ending restricted cash balance. Full disbursement of the remaining restricted cash is expected by December 2025 as additional milestones are achieved. Restricted cash is classified as a current asset on the balance sheet and included in the total cash, cash equivalents, and restricted cash balances in the statement of cash flows. Changes in restricted cash are not presented as separate cash flows but are reconciled in this note. This classification and presentation provide transparency regarding the Company's liquidity, as the restricted funds are not available for general corporate purposes.</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bookmarkStart w:id="97" w:name="PageBreakNo8"/>
            <w:bookmarkEnd w:id="97"/>
            <w:r>
              <w:rPr>
                <w:sz w:val="20"/>
              </w:rPr>
              <w:t>8</w:t>
            </w:r>
          </w:p>
        </w:tc>
      </w:tr>
    </w:tbl>
    <w:p>
      <w:pPr>
        <w:pStyle w:val="HorizontalLine"/>
        <w:bidi w:val="0"/>
        <w:spacing w:lineRule="auto" w:line="288"/>
        <w:jc w:val="left"/>
        <w:rPr/>
      </w:pPr>
      <w:r>
        <w:rPr/>
      </w:r>
    </w:p>
    <w:p>
      <w:pPr>
        <w:pStyle w:val="TextBody"/>
        <w:bidi w:val="0"/>
        <w:spacing w:lineRule="auto" w:line="288"/>
        <w:jc w:val="left"/>
        <w:rPr/>
      </w:pPr>
      <w:hyperlink w:anchor="TOC">
        <w:r>
          <w:rPr>
            <w:rStyle w:val="InternetLink"/>
            <w:rFonts w:ascii="times new roman;times" w:hAnsi="times new roman;times"/>
            <w:sz w:val="20"/>
          </w:rPr>
          <w:t>Table of Contents</w:t>
        </w:r>
      </w:hyperlink>
    </w:p>
    <w:p>
      <w:pPr>
        <w:pStyle w:val="TextBody"/>
        <w:bidi w:val="0"/>
        <w:spacing w:lineRule="auto" w:line="288" w:before="0" w:after="0"/>
        <w:ind w:left="0" w:right="0" w:hanging="0"/>
        <w:jc w:val="both"/>
        <w:rPr/>
      </w:pPr>
      <w:r>
        <w:rPr/>
        <w:t> </w:t>
      </w:r>
    </w:p>
    <w:p>
      <w:pPr>
        <w:pStyle w:val="TextBody"/>
        <w:bidi w:val="0"/>
        <w:spacing w:lineRule="auto" w:line="288" w:before="0" w:after="0"/>
        <w:ind w:left="144" w:right="144" w:hanging="0"/>
        <w:jc w:val="center"/>
        <w:rPr>
          <w:rFonts w:ascii="Times New Roman" w:hAnsi="Times New Roman"/>
          <w:b/>
          <w:sz w:val="20"/>
        </w:rPr>
      </w:pPr>
      <w:r>
        <w:rPr>
          <w:rFonts w:ascii="Times New Roman" w:hAnsi="Times New Roman"/>
          <w:b/>
          <w:sz w:val="20"/>
        </w:rPr>
        <w:t>UNAUDITED NOTES TO CONDENSED CONSOLIDATED FINANCIAL STATEMENTS</w:t>
      </w:r>
    </w:p>
    <w:p>
      <w:pPr>
        <w:pStyle w:val="TextBody"/>
        <w:bidi w:val="0"/>
        <w:spacing w:lineRule="auto" w:line="288" w:before="0" w:after="0"/>
        <w:ind w:left="144" w:right="144" w:hanging="0"/>
        <w:jc w:val="center"/>
        <w:rPr>
          <w:rFonts w:ascii="Times New Roman" w:hAnsi="Times New Roman"/>
          <w:sz w:val="20"/>
        </w:rPr>
      </w:pPr>
      <w:r>
        <w:rPr>
          <w:rFonts w:ascii="Times New Roman" w:hAnsi="Times New Roman"/>
          <w:sz w:val="20"/>
        </w:rPr>
        <w:t>(Dollars in thousands, except per share amounts)</w:t>
      </w:r>
    </w:p>
    <w:p>
      <w:pPr>
        <w:pStyle w:val="TextBody"/>
        <w:bidi w:val="0"/>
        <w:spacing w:lineRule="auto" w:line="288" w:before="0" w:after="0"/>
        <w:ind w:left="144" w:right="144" w:hanging="0"/>
        <w:jc w:val="center"/>
        <w:rPr/>
      </w:pPr>
      <w:r>
        <w:rPr/>
      </w:r>
    </w:p>
    <w:p>
      <w:pPr>
        <w:pStyle w:val="TextBody"/>
        <w:widowControl/>
        <w:bidi w:val="0"/>
        <w:spacing w:lineRule="auto" w:line="288" w:before="0" w:after="0"/>
        <w:ind w:left="0" w:right="0" w:hanging="0"/>
        <w:jc w:val="both"/>
        <w:rPr>
          <w:rFonts w:ascii="times new roman;times" w:hAnsi="times new roman;times"/>
          <w:b w:val="false"/>
          <w:i/>
          <w:color w:val="000000"/>
          <w:spacing w:val="0"/>
          <w:sz w:val="20"/>
        </w:rPr>
      </w:pPr>
      <w:r>
        <w:rPr>
          <w:rFonts w:ascii="times new roman;times" w:hAnsi="times new roman;times"/>
          <w:b w:val="false"/>
          <w:i/>
          <w:color w:val="000000"/>
          <w:spacing w:val="0"/>
          <w:sz w:val="20"/>
        </w:rPr>
        <w:t>Product warranties</w:t>
      </w:r>
    </w:p>
    <w:p>
      <w:pPr>
        <w:pStyle w:val="TextBody"/>
        <w:widowControl/>
        <w:bidi w:val="0"/>
        <w:spacing w:lineRule="auto" w:line="288" w:before="0" w:after="0"/>
        <w:ind w:left="0" w:right="0" w:hanging="0"/>
        <w:jc w:val="both"/>
        <w:rPr>
          <w:rFonts w:ascii="Times New Roman;serif" w:hAnsi="Times New Roman;serif"/>
          <w:b w:val="false"/>
          <w:i/>
          <w:caps w:val="false"/>
          <w:smallCaps w:val="false"/>
          <w:color w:val="000000"/>
          <w:spacing w:val="0"/>
          <w:sz w:val="20"/>
        </w:rPr>
      </w:pPr>
      <w:r>
        <w:rPr>
          <w:rFonts w:ascii="Times New Roman;serif" w:hAnsi="Times New Roman;serif"/>
          <w:b w:val="false"/>
          <w:i/>
          <w:caps w:val="false"/>
          <w:smallCaps w:val="false"/>
          <w:color w:val="000000"/>
          <w:spacing w:val="0"/>
          <w:sz w:val="20"/>
        </w:rPr>
      </w:r>
    </w:p>
    <w:p>
      <w:pPr>
        <w:pStyle w:val="TextBody"/>
        <w:widowControl/>
        <w:bidi w:val="0"/>
        <w:spacing w:lineRule="auto" w:line="288" w:before="0" w:after="0"/>
        <w:ind w:left="0" w:right="0" w:hanging="0"/>
        <w:jc w:val="both"/>
        <w:rPr>
          <w:rFonts w:ascii="times new roman;times" w:hAnsi="times new roman;times"/>
          <w:b w:val="false"/>
          <w:color w:val="000000"/>
          <w:spacing w:val="0"/>
          <w:sz w:val="20"/>
        </w:rPr>
      </w:pPr>
      <w:r>
        <w:rPr>
          <w:rFonts w:ascii="times new roman;times" w:hAnsi="times new roman;times"/>
          <w:b w:val="false"/>
          <w:color w:val="000000"/>
          <w:spacing w:val="0"/>
          <w:sz w:val="20"/>
        </w:rPr>
        <w:t>The Company provides assurance-type warranties on previously sold products and records a liability for the estimated cost to repair or replace products under warranty at the time of sale in accordance with ASC 460. The liability is based on historical claim experience, the nature of the underlying products, current information on repair costs and expected failure rates. The Company reviews warranty estimates each period and records adjustments to the liability when facts and circumstances indicate changes in expected claims or costs.</w:t>
      </w:r>
    </w:p>
    <w:p>
      <w:pPr>
        <w:pStyle w:val="TextBody"/>
        <w:widowControl/>
        <w:bidi w:val="0"/>
        <w:spacing w:lineRule="auto" w:line="288" w:before="0" w:after="0"/>
        <w:ind w:left="0" w:right="0" w:hanging="0"/>
        <w:jc w:val="both"/>
        <w:rPr>
          <w:rFonts w:ascii="Times New Roman;serif" w:hAnsi="Times New Roman;serif"/>
          <w:b w:val="false"/>
          <w:i/>
          <w:caps w:val="false"/>
          <w:smallCaps w:val="false"/>
          <w:color w:val="000000"/>
          <w:spacing w:val="0"/>
          <w:sz w:val="20"/>
        </w:rPr>
      </w:pPr>
      <w:r>
        <w:rPr>
          <w:rFonts w:ascii="Times New Roman;serif" w:hAnsi="Times New Roman;serif"/>
          <w:b w:val="false"/>
          <w:i/>
          <w:caps w:val="false"/>
          <w:smallCaps w:val="false"/>
          <w:color w:val="000000"/>
          <w:spacing w:val="0"/>
          <w:sz w:val="20"/>
        </w:rPr>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Significant Accounting Policies: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 xml:space="preserve">The significant accounting policies were described in Note </w:t>
      </w:r>
      <w:bookmarkStart w:id="98" w:name="fs_DB0510MHYO00000000000000000000fs"/>
      <w:bookmarkEnd w:id="98"/>
      <w:r>
        <w:rPr>
          <w:rFonts w:ascii="Times New Roman" w:hAnsi="Times New Roman"/>
          <w:sz w:val="20"/>
        </w:rPr>
        <w:t xml:space="preserve">1 to the audited consolidated financial statements included in the Company’s annual report on Form 10-K for the year ended </w:t>
      </w:r>
      <w:bookmarkStart w:id="99" w:name="fs_BZLMTPSKCG00000000000000000000FM"/>
      <w:bookmarkEnd w:id="99"/>
      <w:r>
        <w:rPr>
          <w:rFonts w:ascii="Times New Roman" w:hAnsi="Times New Roman"/>
          <w:sz w:val="20"/>
        </w:rPr>
        <w:t>December 31, 2024. There have been no changes to these policies during the quarter ended </w:t>
      </w:r>
      <w:bookmarkStart w:id="100" w:name="fs_7AIKCCPYOW00000000000000000000FM"/>
      <w:bookmarkEnd w:id="100"/>
      <w:r>
        <w:rPr>
          <w:rFonts w:ascii="Times New Roman" w:hAnsi="Times New Roman"/>
          <w:sz w:val="20"/>
        </w:rPr>
        <w:t>September 30, 2025 that are of significance or potential significance to the Company, other than presentation of discontinued operations as described above and in Note 2.</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Recent accounting pronouncements:</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i/>
          <w:sz w:val="20"/>
        </w:rPr>
      </w:pPr>
      <w:r>
        <w:rPr>
          <w:rFonts w:ascii="times new roman;times" w:hAnsi="times new roman;times"/>
          <w:i/>
          <w:sz w:val="20"/>
        </w:rPr>
        <w:t xml:space="preserve">ASU </w:t>
      </w:r>
      <w:bookmarkStart w:id="101" w:name="fs_EIJ6G6XIZ400000000000000000000fs"/>
      <w:bookmarkEnd w:id="101"/>
      <w:r>
        <w:rPr>
          <w:rFonts w:ascii="times new roman;times" w:hAnsi="times new roman;times"/>
          <w:i/>
          <w:sz w:val="20"/>
        </w:rPr>
        <w:t>2023-</w:t>
      </w:r>
      <w:bookmarkStart w:id="102" w:name="fs_CDKDYGWY7400000000000000000000fs"/>
      <w:bookmarkEnd w:id="102"/>
      <w:r>
        <w:rPr>
          <w:rFonts w:ascii="times new roman;times" w:hAnsi="times new roman;times"/>
          <w:i/>
          <w:sz w:val="20"/>
        </w:rPr>
        <w:t xml:space="preserve">07, Segment Reporting (Topic </w:t>
      </w:r>
      <w:bookmarkStart w:id="103" w:name="fs_RC8M6XJQUO00000000000000000000fs"/>
      <w:bookmarkEnd w:id="103"/>
      <w:r>
        <w:rPr>
          <w:rFonts w:ascii="times new roman;times" w:hAnsi="times new roman;times"/>
          <w:i/>
          <w:sz w:val="20"/>
        </w:rPr>
        <w:t>280): Improvements to Reportable Segment Disclosures</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In November 2023, the FASB issued Accounting Standards Update (“ASU”) </w:t>
      </w:r>
      <w:bookmarkStart w:id="104" w:name="fs_EEV3Q6K8LS00000000000000000000fs"/>
      <w:bookmarkEnd w:id="104"/>
      <w:r>
        <w:rPr>
          <w:rFonts w:ascii="times new roman;times" w:hAnsi="times new roman;times"/>
          <w:sz w:val="20"/>
        </w:rPr>
        <w:t>2023-</w:t>
      </w:r>
      <w:bookmarkStart w:id="105" w:name="fs_ZJ5G14ALA800000000000000000000fs"/>
      <w:bookmarkEnd w:id="105"/>
      <w:r>
        <w:rPr>
          <w:rFonts w:ascii="times new roman;times" w:hAnsi="times new roman;times"/>
          <w:sz w:val="20"/>
        </w:rPr>
        <w:t xml:space="preserve">07, Segment Reporting (Topic </w:t>
      </w:r>
      <w:bookmarkStart w:id="106" w:name="fs_6IR6AIEISW00000000000000000000fs"/>
      <w:bookmarkEnd w:id="106"/>
      <w:r>
        <w:rPr>
          <w:rFonts w:ascii="times new roman;times" w:hAnsi="times new roman;times"/>
          <w:sz w:val="20"/>
        </w:rPr>
        <w:t xml:space="preserve">280): Improvements to Reportable Segment Disclosures, which improves reportable segment disclosure requirements, primarily through enhanced disclosures about significant segment expenses. The standard is effective for full year </w:t>
      </w:r>
      <w:bookmarkStart w:id="107" w:name="fs_GP9W6XQCLS00000000000000000000fs"/>
      <w:bookmarkEnd w:id="107"/>
      <w:r>
        <w:rPr>
          <w:rFonts w:ascii="times new roman;times" w:hAnsi="times new roman;times"/>
          <w:sz w:val="20"/>
        </w:rPr>
        <w:t xml:space="preserve">2024 reporting, and for interim reporting beginning in </w:t>
      </w:r>
      <w:bookmarkStart w:id="108" w:name="fs_U73S3GFOAO00000000000000000000fs"/>
      <w:bookmarkEnd w:id="108"/>
      <w:r>
        <w:rPr>
          <w:rFonts w:ascii="times new roman;times" w:hAnsi="times new roman;times"/>
          <w:sz w:val="20"/>
        </w:rPr>
        <w:t>2025. The adoption of this ASU did not change the way the Company evaluates its reportable segments and, as a result, did not have a material impact on the Company’s segment-related disclosures.</w:t>
      </w:r>
    </w:p>
    <w:p>
      <w:pPr>
        <w:pStyle w:val="TextBody"/>
        <w:bidi w:val="0"/>
        <w:spacing w:lineRule="atLeast" w:line="200" w:before="0" w:after="0"/>
        <w:ind w:left="0" w:right="0" w:hanging="0"/>
        <w:jc w:val="both"/>
        <w:rPr/>
      </w:pPr>
      <w:r>
        <w:rPr/>
      </w:r>
    </w:p>
    <w:p>
      <w:pPr>
        <w:pStyle w:val="TextBody"/>
        <w:widowControl/>
        <w:bidi w:val="0"/>
        <w:spacing w:lineRule="auto" w:line="288" w:before="0" w:after="0"/>
        <w:ind w:left="0" w:right="0" w:hanging="0"/>
        <w:jc w:val="both"/>
        <w:rPr>
          <w:rFonts w:ascii="times new roman;times" w:hAnsi="times new roman;times"/>
          <w:b w:val="false"/>
          <w:i/>
          <w:color w:val="000000"/>
          <w:spacing w:val="0"/>
          <w:sz w:val="20"/>
        </w:rPr>
      </w:pPr>
      <w:r>
        <w:rPr>
          <w:rFonts w:ascii="times new roman;times" w:hAnsi="times new roman;times"/>
          <w:b w:val="false"/>
          <w:i/>
          <w:color w:val="000000"/>
          <w:spacing w:val="0"/>
          <w:sz w:val="20"/>
        </w:rPr>
        <w:t>ASU 2023-09, Income Taxes (Topic 740): Improvements to Income Tax Disclosures</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 xml:space="preserve">In December 2023, the FASB issued ASU </w:t>
      </w:r>
      <w:bookmarkStart w:id="109" w:name="fs_RLB38KY33400000000000000000000fs"/>
      <w:bookmarkEnd w:id="109"/>
      <w:r>
        <w:rPr>
          <w:rFonts w:ascii="Times New Roman" w:hAnsi="Times New Roman"/>
          <w:sz w:val="20"/>
        </w:rPr>
        <w:t>2023-</w:t>
      </w:r>
      <w:bookmarkStart w:id="110" w:name="fs_6WU6KBQZSW00000000000000000000fs"/>
      <w:bookmarkEnd w:id="110"/>
      <w:r>
        <w:rPr>
          <w:rFonts w:ascii="Times New Roman" w:hAnsi="Times New Roman"/>
          <w:sz w:val="20"/>
        </w:rPr>
        <w:t xml:space="preserve">09 “Income Taxes (Topic </w:t>
      </w:r>
      <w:bookmarkStart w:id="111" w:name="fs_0IHVSHB65S00000000000000000000fs"/>
      <w:bookmarkEnd w:id="111"/>
      <w:r>
        <w:rPr>
          <w:rFonts w:ascii="Times New Roman" w:hAnsi="Times New Roman"/>
          <w:sz w:val="20"/>
        </w:rPr>
        <w:t xml:space="preserve">740): Improvements to Income Tax Disclosures” on the topic of income taxes. The standard requires additional disclosure for income taxes. These requirements include: (i) requiring a public entity to disclose specific categories in the rate reconciliation; (ii) disclosure of additional information for reconciling items that meet a quantitative threshold (if the effect of those reconciling items is equal to or greater than </w:t>
      </w:r>
      <w:bookmarkStart w:id="112" w:name="fs_6IFBGLECNK00000000000000000000fs"/>
      <w:bookmarkEnd w:id="112"/>
      <w:r>
        <w:rPr>
          <w:rFonts w:ascii="Times New Roman" w:hAnsi="Times New Roman"/>
          <w:sz w:val="20"/>
        </w:rPr>
        <w:t xml:space="preserve">5% of the amount computed by multiplying pretax income or loss by the applicable statutory income tax rate); (iii) annual disclosure of the amount of income taxes paid (net of refunds received) disaggregated by federal (national), state, and foreign taxes; (iv) annual disclosure of the amount of income taxes paid (net of refunds received) disaggregated by individual jurisdictions in which income taxes paid (net of refunds received) is equal to or greater than </w:t>
      </w:r>
      <w:bookmarkStart w:id="113" w:name="fs_8L0YGCTPOW00000000000000000000fs"/>
      <w:bookmarkEnd w:id="113"/>
      <w:r>
        <w:rPr>
          <w:rFonts w:ascii="Times New Roman" w:hAnsi="Times New Roman"/>
          <w:sz w:val="20"/>
        </w:rPr>
        <w:t>5% of total income taxes paid (net of refunds received); (v) annual disclosure of income (or loss) from continuing operations before income tax expense (or benefit) disaggregated between domestic and foreign; and (vi) annual disclosure of income tax expense (or benefit) from continuing operations disaggregated by federal (national), state, and foreign. For public entities, the </w:t>
      </w:r>
      <w:r>
        <w:rPr>
          <w:rFonts w:ascii="times new roman;times" w:hAnsi="times new roman;times"/>
          <w:color w:val="000000"/>
          <w:sz w:val="20"/>
        </w:rPr>
        <w:t xml:space="preserve">guidance is effective for annual periods beginning after December 15, 2024. The Company will adopt this guidance in fiscal </w:t>
      </w:r>
      <w:bookmarkStart w:id="114" w:name="fs_0AELWD8NK000000000000000000000fs"/>
      <w:bookmarkEnd w:id="114"/>
      <w:r>
        <w:rPr>
          <w:rFonts w:ascii="times new roman;times" w:hAnsi="times new roman;times"/>
          <w:color w:val="000000"/>
          <w:sz w:val="20"/>
        </w:rPr>
        <w:t>2025 and is in the process of evaluating the new requirements. As a result, the Company has not yet determined the impact this new ASU will have on its disclosures.</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i/>
          <w:color w:val="000000"/>
          <w:sz w:val="20"/>
        </w:rPr>
      </w:pPr>
      <w:r>
        <w:rPr>
          <w:rFonts w:ascii="times new roman;times" w:hAnsi="times new roman;times"/>
          <w:i/>
          <w:color w:val="000000"/>
          <w:sz w:val="20"/>
        </w:rPr>
        <w:t xml:space="preserve">ASU </w:t>
      </w:r>
      <w:bookmarkStart w:id="115" w:name="fs_4FIX5VYOUO00000000000000000000fs"/>
      <w:bookmarkEnd w:id="115"/>
      <w:r>
        <w:rPr>
          <w:rFonts w:ascii="times new roman;times" w:hAnsi="times new roman;times"/>
          <w:i/>
          <w:color w:val="000000"/>
          <w:sz w:val="20"/>
        </w:rPr>
        <w:t>2024-</w:t>
      </w:r>
      <w:bookmarkStart w:id="116" w:name="fs_S5MYQA81S000000000000000000000fs"/>
      <w:bookmarkEnd w:id="116"/>
      <w:r>
        <w:rPr>
          <w:rFonts w:ascii="times new roman;times" w:hAnsi="times new roman;times"/>
          <w:i/>
          <w:color w:val="000000"/>
          <w:sz w:val="20"/>
        </w:rPr>
        <w:t xml:space="preserve">03, Income Statement—Reporting Comprehensive Income (Topic </w:t>
      </w:r>
      <w:bookmarkStart w:id="117" w:name="fs_NKPS31OKQO00000000000000000000fs"/>
      <w:bookmarkEnd w:id="117"/>
      <w:r>
        <w:rPr>
          <w:rFonts w:ascii="times new roman;times" w:hAnsi="times new roman;times"/>
          <w:i/>
          <w:color w:val="000000"/>
          <w:sz w:val="20"/>
        </w:rPr>
        <w:t>220): Disaggregation of Income Statement Expenses</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In November 2024, the FASB issued ASU No. 2024-03, "Income Statement—Reporting Comprehensive Income (Topic 220): Disaggregation of Income Statement Expenses," which requires public business entities, such as the Company, to provide disaggregated disclosure of specific natural expense categories underlying certain income statement expense line items in the notes to the financial statements. The standard identifies </w:t>
      </w:r>
      <w:bookmarkStart w:id="118" w:name="fs_3QVS54GJ7K00000000000000000000FM"/>
      <w:bookmarkEnd w:id="118"/>
      <w:r>
        <w:rPr>
          <w:rFonts w:ascii="times new roman;times" w:hAnsi="times new roman;times"/>
          <w:sz w:val="20"/>
        </w:rPr>
        <w:t>five required natural expense categories for disaggregation—employee compensation, depreciation, amortization, inventory expense, and other manufacturing expenses—along with a residual "other" category for remaining amounts within relevant expense captions (e.g., cost of sales, selling, general and administrative expenses). ASU 2024-03 does not alter the expense captions presented on the face of the income statement but enhances footnote disclosures to improve transparency. The standard is effective for annual periods beginning after December 15, 2026, with early adoption permitted, and must be applied prospectively, though retrospective application is optional. An update in ASU 2025-01 clarified that interim period disclosures are not required until annual periods beginning after December 15, 2027. The Company is in the process of evaluating the impact of ASU 2024-03 on its consolidated financial statements. We expect adoption to necessitate modifications to our financial reporting processes and systems to capture and disclose the required disaggregated expense information in the footnotes. Management anticipates that this will enhance the granularity of expense disclosures but does not expect a material effect on our reported financial position or results of operations. We are reviewing our current expense classification practices and data collection capabilities to ensure compliance with the new requirements upon adoption.</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Company has determined that recently issued accounting standards, other than the above discussed, will not have a material impact on its consolidated financial position, results of operations or cash flows.</w:t>
      </w:r>
    </w:p>
    <w:p>
      <w:pPr>
        <w:pStyle w:val="TextBody"/>
        <w:widowControl/>
        <w:bidi w:val="0"/>
        <w:spacing w:lineRule="auto" w:line="288" w:before="0" w:after="0"/>
        <w:ind w:left="144" w:right="144" w:hanging="0"/>
        <w:jc w:val="left"/>
        <w:rPr>
          <w:caps w:val="false"/>
          <w:smallCaps w:val="false"/>
          <w:color w:val="000000"/>
          <w:spacing w:val="0"/>
        </w:rPr>
      </w:pPr>
      <w:r>
        <w:rPr>
          <w:caps w:val="false"/>
          <w:smallCaps w:val="false"/>
          <w:color w:val="000000"/>
          <w:spacing w:val="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bookmarkStart w:id="119" w:name="PageBreakNo9"/>
            <w:bookmarkEnd w:id="119"/>
            <w:r>
              <w:rPr>
                <w:sz w:val="20"/>
              </w:rPr>
              <w:t>9</w:t>
            </w:r>
          </w:p>
        </w:tc>
      </w:tr>
    </w:tbl>
    <w:p>
      <w:pPr>
        <w:pStyle w:val="TextBody"/>
        <w:widowControl/>
        <w:bidi w:val="0"/>
        <w:spacing w:lineRule="auto" w:line="288"/>
        <w:jc w:val="left"/>
        <w:rPr>
          <w:caps w:val="false"/>
          <w:smallCaps w:val="false"/>
          <w:color w:val="000000"/>
          <w:spacing w:val="0"/>
        </w:rPr>
      </w:pPr>
      <w:r>
        <w:rPr>
          <w:caps w:val="false"/>
          <w:smallCaps w:val="false"/>
          <w:color w:val="000000"/>
          <w:spacing w:val="0"/>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widowControl/>
        <w:bidi w:val="0"/>
        <w:spacing w:lineRule="auto" w:line="288"/>
        <w:jc w:val="left"/>
        <w:rPr/>
      </w:pPr>
      <w:r>
        <w:rPr/>
      </w:r>
    </w:p>
    <w:p>
      <w:pPr>
        <w:pStyle w:val="TextBody"/>
        <w:widowControl/>
        <w:bidi w:val="0"/>
        <w:spacing w:lineRule="auto" w:line="288"/>
        <w:jc w:val="left"/>
        <w:rPr/>
      </w:pPr>
      <w:hyperlink w:anchor="TOC">
        <w:r>
          <w:rPr>
            <w:rStyle w:val="InternetLink"/>
            <w:rFonts w:ascii="times new roman;times" w:hAnsi="times new roman;times"/>
            <w:b w:val="false"/>
            <w:i w:val="false"/>
            <w:caps w:val="false"/>
            <w:smallCaps w:val="false"/>
            <w:color w:val="000000"/>
            <w:spacing w:val="0"/>
            <w:sz w:val="20"/>
          </w:rPr>
          <w:t>Table of Contents</w:t>
        </w:r>
      </w:hyperlink>
    </w:p>
    <w:p>
      <w:pPr>
        <w:pStyle w:val="TextBody"/>
        <w:widowControl/>
        <w:bidi w:val="0"/>
        <w:spacing w:lineRule="auto" w:line="288" w:before="0" w:after="0"/>
        <w:ind w:left="144" w:right="144" w:hanging="0"/>
        <w:jc w:val="left"/>
        <w:rPr>
          <w:caps w:val="false"/>
          <w:smallCaps w:val="false"/>
          <w:color w:val="000000"/>
          <w:spacing w:val="0"/>
        </w:rPr>
      </w:pPr>
      <w:r>
        <w:rPr>
          <w:caps w:val="false"/>
          <w:smallCaps w:val="false"/>
          <w:color w:val="000000"/>
          <w:spacing w:val="0"/>
        </w:rPr>
        <w:t> </w:t>
      </w:r>
    </w:p>
    <w:p>
      <w:pPr>
        <w:pStyle w:val="TextBody"/>
        <w:widowControl/>
        <w:bidi w:val="0"/>
        <w:spacing w:lineRule="auto" w:line="288" w:before="0" w:after="0"/>
        <w:ind w:left="144" w:right="144" w:hanging="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UNAUDITED NOTES TO CONDENSED CONSOLIDATED FINANCIAL STATEMENTS</w:t>
      </w:r>
    </w:p>
    <w:p>
      <w:pPr>
        <w:pStyle w:val="TextBody"/>
        <w:widowControl/>
        <w:bidi w:val="0"/>
        <w:spacing w:lineRule="auto" w:line="288" w:before="0" w:after="0"/>
        <w:ind w:left="144" w:right="144"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(Dollars in thousands, except per share amounts)</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2. </w:t>
      </w:r>
      <w:r>
        <w:rPr>
          <w:rFonts w:ascii="Times New Roman;serif" w:hAnsi="Times New Roman;serif"/>
          <w:b/>
          <w:sz w:val="20"/>
        </w:rPr>
        <w:t>Discontinued Operations and Assets Held for Sale</w:t>
      </w:r>
      <w:r>
        <w:rPr>
          <w:rFonts w:ascii="Times New Roman" w:hAnsi="Times New Roman"/>
          <w:b/>
          <w:sz w:val="20"/>
        </w:rPr>
        <w:t xml:space="preserve"> </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 xml:space="preserve">As discussed above in Note </w:t>
      </w:r>
      <w:bookmarkStart w:id="120" w:name="fs_Q7I241HRZ400000000000000000000fs"/>
      <w:bookmarkEnd w:id="120"/>
      <w:r>
        <w:rPr>
          <w:rFonts w:ascii="Times New Roman" w:hAnsi="Times New Roman"/>
          <w:sz w:val="20"/>
        </w:rPr>
        <w:t>1 - Business Description, Basis of Presentation and Significant Accounting Policies – Going Concern, in September 2025 the Board of Directors approved a Strategic Plan to sell various operating assets related to its product business, including inventory and certain intellectual property (developed technology, trademarks and related intangibles). Management determined the criteria in ASC 360-10-45-</w:t>
      </w:r>
      <w:bookmarkStart w:id="121" w:name="fs_2D2WKP80Q800000000000000000000fs"/>
      <w:bookmarkEnd w:id="121"/>
      <w:r>
        <w:rPr>
          <w:rFonts w:ascii="Times New Roman" w:hAnsi="Times New Roman"/>
          <w:sz w:val="20"/>
        </w:rPr>
        <w:t xml:space="preserve">9 were met as of </w:t>
      </w:r>
      <w:bookmarkStart w:id="122" w:name="fs_TL3SDSQW8G00000000000000000000FM"/>
      <w:bookmarkEnd w:id="122"/>
      <w:r>
        <w:rPr>
          <w:rFonts w:ascii="Times New Roman" w:hAnsi="Times New Roman"/>
          <w:sz w:val="20"/>
        </w:rPr>
        <w:t xml:space="preserve">September 30, 2025 (probable sale within </w:t>
      </w:r>
      <w:bookmarkStart w:id="123" w:name="fs_INXMZ0LUJK00000000000000000000fs"/>
      <w:bookmarkEnd w:id="123"/>
      <w:r>
        <w:rPr>
          <w:rFonts w:ascii="Times New Roman" w:hAnsi="Times New Roman"/>
          <w:sz w:val="20"/>
        </w:rPr>
        <w:t>one year, assets available for immediate sale in present condition, active program to locate buyer and complete plan). Accordingly, the disposal group was classified as held for sale and measured at FVLCTS.</w:t>
      </w:r>
    </w:p>
    <w:p>
      <w:pPr>
        <w:pStyle w:val="TextBody"/>
        <w:bidi w:val="0"/>
        <w:spacing w:lineRule="auto" w:line="288" w:before="0" w:after="0"/>
        <w:ind w:left="0" w:right="0" w:hanging="0"/>
        <w:jc w:val="both"/>
        <w:rPr/>
      </w:pPr>
      <w:r>
        <w:rPr/>
      </w:r>
    </w:p>
    <w:p>
      <w:pPr>
        <w:pStyle w:val="TextBody"/>
        <w:widowControl/>
        <w:bidi w:val="0"/>
        <w:spacing w:lineRule="auto" w:line="288" w:before="0" w:after="0"/>
        <w:ind w:left="0" w:right="0" w:hanging="0"/>
        <w:jc w:val="both"/>
        <w:rPr>
          <w:rFonts w:ascii="Times New Roman" w:hAnsi="Times New Roman"/>
          <w:sz w:val="20"/>
        </w:rPr>
      </w:pPr>
      <w:r>
        <w:rPr>
          <w:rFonts w:ascii="Times New Roman" w:hAnsi="Times New Roman"/>
          <w:sz w:val="20"/>
        </w:rPr>
        <w:t xml:space="preserve">At </w:t>
      </w:r>
      <w:bookmarkStart w:id="124" w:name="fs_LQ8U0TRGW000000000000000000000FM"/>
      <w:bookmarkEnd w:id="124"/>
      <w:r>
        <w:rPr>
          <w:rFonts w:ascii="Times New Roman" w:hAnsi="Times New Roman"/>
          <w:sz w:val="20"/>
        </w:rPr>
        <w:t>September 30, 2025, the disposal group of asset</w:t>
      </w:r>
      <w:r>
        <w:rPr>
          <w:rFonts w:ascii="Times New Roman" w:hAnsi="Times New Roman"/>
          <w:caps w:val="false"/>
          <w:smallCaps w:val="false"/>
          <w:color w:val="000000"/>
          <w:spacing w:val="0"/>
          <w:sz w:val="20"/>
        </w:rPr>
        <w:t>’</w:t>
      </w:r>
      <w:r>
        <w:rPr>
          <w:rFonts w:ascii="Times New Roman" w:hAnsi="Times New Roman"/>
          <w:b w:val="false"/>
          <w:i w:val="false"/>
          <w:caps w:val="false"/>
          <w:smallCaps w:val="false"/>
          <w:color w:val="000000"/>
          <w:spacing w:val="0"/>
          <w:sz w:val="20"/>
        </w:rPr>
        <w:t>s </w:t>
      </w:r>
      <w:r>
        <w:rPr>
          <w:rFonts w:ascii="Times New Roman" w:hAnsi="Times New Roman"/>
          <w:sz w:val="20"/>
        </w:rPr>
        <w:t xml:space="preserve">carrying amount was $13,641, consisting primarily of inventory of $12,856 and intangible assets of $785. Based on an executed asset purchase agreement subsequently closed on October 24, 2025, for cash consideration of $3,000 and estimated transaction costs of $100, management recorded an impairment of $10,741 to reduce the disposal group of assets to FVLCTS at </w:t>
      </w:r>
      <w:bookmarkStart w:id="125" w:name="fs_JTD61TT52800000000000000000000FM"/>
      <w:bookmarkEnd w:id="125"/>
      <w:r>
        <w:rPr>
          <w:rFonts w:ascii="Times New Roman" w:hAnsi="Times New Roman"/>
          <w:sz w:val="20"/>
        </w:rPr>
        <w:t>September 30, 2025. The impairment is presented in “Loss from discontinued operations” in the unaudited condensed consolidated statements of operations.</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 xml:space="preserve">Because the disposal represents a strategic shift that will have a significant effect on the Company’s operations and financial results, the related operating results are presented as discontinued operations for all periods presented in the accompanying unaudited condensed consolidated financial statements (ASC </w:t>
      </w:r>
      <w:bookmarkStart w:id="126" w:name="fs_82BPLD82BK00000000000000000000fs"/>
      <w:bookmarkEnd w:id="126"/>
      <w:r>
        <w:rPr>
          <w:rFonts w:ascii="Times New Roman" w:hAnsi="Times New Roman"/>
          <w:sz w:val="20"/>
        </w:rPr>
        <w:t>205-</w:t>
      </w:r>
      <w:bookmarkStart w:id="127" w:name="fs_43L3CD25VK00000000000000000000fs"/>
      <w:bookmarkEnd w:id="127"/>
      <w:r>
        <w:rPr>
          <w:rFonts w:ascii="Times New Roman" w:hAnsi="Times New Roman"/>
          <w:sz w:val="20"/>
        </w:rPr>
        <w:t>20).</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Carrying amounts classified as held for sale (unaudited):</w:t>
      </w:r>
    </w:p>
    <w:p>
      <w:pPr>
        <w:pStyle w:val="TextBody"/>
        <w:numPr>
          <w:ilvl w:val="0"/>
          <w:numId w:val="2"/>
        </w:numPr>
        <w:pBdr/>
        <w:tabs>
          <w:tab w:val="clear" w:pos="1134"/>
          <w:tab w:val="left" w:pos="709" w:leader="none"/>
        </w:tabs>
        <w:bidi w:val="0"/>
        <w:spacing w:lineRule="auto" w:line="288" w:before="0" w:after="0"/>
        <w:ind w:left="709" w:hanging="283"/>
        <w:jc w:val="both"/>
        <w:rPr>
          <w:rFonts w:ascii="times new roman;times" w:hAnsi="times new roman;times"/>
          <w:sz w:val="20"/>
        </w:rPr>
      </w:pPr>
      <w:r>
        <w:rPr>
          <w:rFonts w:ascii="times new roman;times" w:hAnsi="times new roman;times"/>
          <w:sz w:val="20"/>
        </w:rPr>
        <w:t xml:space="preserve">Assets held for sale — $2,900 at </w:t>
      </w:r>
      <w:bookmarkStart w:id="128" w:name="fs_ZCGCP5TJ2800000000000000000000FM"/>
      <w:bookmarkEnd w:id="128"/>
      <w:r>
        <w:rPr>
          <w:rFonts w:ascii="times new roman;times" w:hAnsi="times new roman;times"/>
          <w:sz w:val="20"/>
        </w:rPr>
        <w:t xml:space="preserve">September 30, 2025 (comprised primarily of inventory $12,856 and intangibles $785, less impairment to FVLCTS of $10,741 and transaction costs of $100). </w:t>
      </w:r>
    </w:p>
    <w:p>
      <w:pPr>
        <w:pStyle w:val="TextBody"/>
        <w:widowControl/>
        <w:numPr>
          <w:ilvl w:val="0"/>
          <w:numId w:val="2"/>
        </w:numPr>
        <w:pBdr/>
        <w:tabs>
          <w:tab w:val="clear" w:pos="1134"/>
          <w:tab w:val="left" w:pos="709" w:leader="none"/>
        </w:tabs>
        <w:bidi w:val="0"/>
        <w:spacing w:lineRule="auto" w:line="288"/>
        <w:ind w:left="709" w:right="0" w:hanging="283"/>
        <w:jc w:val="both"/>
        <w:rPr>
          <w:rFonts w:ascii="times new roman;times" w:hAnsi="times new roman;times"/>
          <w:sz w:val="20"/>
        </w:rPr>
      </w:pPr>
      <w:r>
        <w:rPr>
          <w:rFonts w:ascii="times new roman;times" w:hAnsi="times new roman;times"/>
          <w:b w:val="false"/>
          <w:i w:val="false"/>
          <w:caps w:val="false"/>
          <w:smallCaps w:val="false"/>
          <w:color w:val="000000"/>
          <w:spacing w:val="0"/>
          <w:sz w:val="20"/>
        </w:rPr>
        <w:t xml:space="preserve">Liabilities held for sale — $0 at </w:t>
      </w:r>
      <w:bookmarkStart w:id="129" w:name="fs_C7JE8ZF9CW00000000000000000000FM"/>
      <w:bookmarkEnd w:id="129"/>
      <w:r>
        <w:rPr>
          <w:rFonts w:ascii="times new roman;times" w:hAnsi="times new roman;times"/>
          <w:b w:val="false"/>
          <w:i w:val="false"/>
          <w:caps w:val="false"/>
          <w:smallCaps w:val="false"/>
          <w:color w:val="000000"/>
          <w:spacing w:val="0"/>
          <w:sz w:val="20"/>
        </w:rPr>
        <w:t>September 30, 2025 (no obligations transferred).</w:t>
      </w:r>
      <w:r>
        <w:rPr>
          <w:rFonts w:ascii="times new roman;times" w:hAnsi="times new roman;times"/>
          <w:sz w:val="20"/>
        </w:rPr>
        <w:t xml:space="preserve">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Major line items of results of discontinued operations (unaudited):</w:t>
      </w:r>
    </w:p>
    <w:p>
      <w:pPr>
        <w:pStyle w:val="TextBody"/>
        <w:widowControl/>
        <w:numPr>
          <w:ilvl w:val="0"/>
          <w:numId w:val="3"/>
        </w:numPr>
        <w:tabs>
          <w:tab w:val="clear" w:pos="1134"/>
          <w:tab w:val="left" w:pos="709" w:leader="none"/>
        </w:tabs>
        <w:bidi w:val="0"/>
        <w:spacing w:lineRule="auto" w:line="288"/>
        <w:ind w:left="709"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 xml:space="preserve">Revenue — $1,262 and $5,491 for the </w:t>
      </w:r>
      <w:bookmarkStart w:id="130" w:name="fs_NHBT6M7BF400000000000000000000fs"/>
      <w:bookmarkEnd w:id="130"/>
      <w:r>
        <w:rPr>
          <w:rFonts w:ascii="times new roman;times" w:hAnsi="times new roman;times"/>
          <w:b w:val="false"/>
          <w:i w:val="false"/>
          <w:caps w:val="false"/>
          <w:smallCaps w:val="false"/>
          <w:color w:val="000000"/>
          <w:spacing w:val="0"/>
          <w:sz w:val="20"/>
        </w:rPr>
        <w:t xml:space="preserve">three and </w:t>
      </w:r>
      <w:bookmarkStart w:id="131" w:name="fs_KTUHPABAEO00000000000000000000FM"/>
      <w:bookmarkEnd w:id="131"/>
      <w:r>
        <w:rPr>
          <w:rFonts w:ascii="times new roman;times" w:hAnsi="times new roman;times"/>
          <w:b w:val="false"/>
          <w:i w:val="false"/>
          <w:caps w:val="false"/>
          <w:smallCaps w:val="false"/>
          <w:color w:val="000000"/>
          <w:spacing w:val="0"/>
          <w:sz w:val="20"/>
        </w:rPr>
        <w:t xml:space="preserve">nine months ended September 30, 2025, respectively; $2,504 and $8,430 for the comparable </w:t>
      </w:r>
      <w:bookmarkStart w:id="132" w:name="fs_8VGA7BZM7400000000000000000000fs"/>
      <w:bookmarkEnd w:id="132"/>
      <w:r>
        <w:rPr>
          <w:rFonts w:ascii="times new roman;times" w:hAnsi="times new roman;times"/>
          <w:b w:val="false"/>
          <w:i w:val="false"/>
          <w:caps w:val="false"/>
          <w:smallCaps w:val="false"/>
          <w:color w:val="000000"/>
          <w:spacing w:val="0"/>
          <w:sz w:val="20"/>
        </w:rPr>
        <w:t>2024 periods.</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The following table disaggregates the Company’s revenue into primary product groups:</w:t>
      </w:r>
    </w:p>
    <w:p>
      <w:pPr>
        <w:pStyle w:val="TextBody"/>
        <w:bidi w:val="0"/>
        <w:spacing w:lineRule="auto" w:line="288" w:before="0" w:after="0"/>
        <w:ind w:left="0" w:right="0" w:hanging="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2037"/>
        <w:gridCol w:w="144"/>
        <w:gridCol w:w="375"/>
        <w:gridCol w:w="1169"/>
        <w:gridCol w:w="264"/>
        <w:gridCol w:w="264"/>
        <w:gridCol w:w="375"/>
        <w:gridCol w:w="1169"/>
        <w:gridCol w:w="143"/>
        <w:gridCol w:w="28"/>
        <w:gridCol w:w="369"/>
        <w:gridCol w:w="1659"/>
        <w:gridCol w:w="67"/>
        <w:gridCol w:w="68"/>
        <w:gridCol w:w="369"/>
        <w:gridCol w:w="1659"/>
        <w:gridCol w:w="46"/>
      </w:tblGrid>
      <w:tr>
        <w:trPr/>
        <w:tc>
          <w:tcPr>
            <w:tcW w:w="2037" w:type="dxa"/>
            <w:tcBorders/>
            <w:vAlign w:val="center"/>
          </w:tcPr>
          <w:p>
            <w:pPr>
              <w:pStyle w:val="TableContents"/>
              <w:bidi w:val="0"/>
              <w:spacing w:before="0" w:after="0"/>
              <w:ind w:left="0" w:right="0" w:hanging="0"/>
              <w:jc w:val="left"/>
              <w:rPr/>
            </w:pPr>
            <w:r>
              <w:rPr/>
              <w:t xml:space="preserve">  </w:t>
            </w:r>
          </w:p>
        </w:tc>
        <w:tc>
          <w:tcPr>
            <w:tcW w:w="144" w:type="dxa"/>
            <w:tcBorders/>
            <w:vAlign w:val="center"/>
          </w:tcPr>
          <w:p>
            <w:pPr>
              <w:pStyle w:val="TableContents"/>
              <w:bidi w:val="0"/>
              <w:spacing w:before="0" w:after="0"/>
              <w:ind w:left="0" w:right="0" w:hanging="0"/>
              <w:jc w:val="left"/>
              <w:rPr/>
            </w:pPr>
            <w:r>
              <w:rPr/>
              <w:t xml:space="preserve">  </w:t>
            </w:r>
          </w:p>
        </w:tc>
        <w:tc>
          <w:tcPr>
            <w:tcW w:w="3616" w:type="dxa"/>
            <w:gridSpan w:val="6"/>
            <w:tcBorders/>
            <w:vAlign w:val="center"/>
          </w:tcPr>
          <w:p>
            <w:pPr>
              <w:pStyle w:val="TableContents"/>
              <w:bidi w:val="0"/>
              <w:spacing w:before="0" w:after="0"/>
              <w:ind w:left="0" w:right="0" w:hanging="0"/>
              <w:jc w:val="center"/>
              <w:rPr>
                <w:rFonts w:ascii="Times New Roman" w:hAnsi="Times New Roman"/>
                <w:b/>
                <w:sz w:val="20"/>
              </w:rPr>
            </w:pPr>
            <w:bookmarkStart w:id="133" w:name="fs_82VML3PTW000000000000000000000FM"/>
            <w:bookmarkEnd w:id="133"/>
            <w:r>
              <w:rPr>
                <w:rFonts w:ascii="Times New Roman" w:hAnsi="Times New Roman"/>
                <w:b/>
                <w:sz w:val="20"/>
              </w:rPr>
              <w:t xml:space="preserve">Three months ended September 30, </w:t>
            </w:r>
          </w:p>
        </w:tc>
        <w:tc>
          <w:tcPr>
            <w:tcW w:w="143" w:type="dxa"/>
            <w:tcBorders/>
            <w:vAlign w:val="center"/>
          </w:tcPr>
          <w:p>
            <w:pPr>
              <w:pStyle w:val="TableContents"/>
              <w:bidi w:val="0"/>
              <w:spacing w:before="0" w:after="0"/>
              <w:ind w:left="0" w:right="0" w:hanging="0"/>
              <w:jc w:val="left"/>
              <w:rPr/>
            </w:pPr>
            <w:r>
              <w:rPr/>
              <w:t xml:space="preserve">  </w:t>
            </w:r>
          </w:p>
        </w:tc>
        <w:tc>
          <w:tcPr>
            <w:tcW w:w="28" w:type="dxa"/>
            <w:tcBorders/>
            <w:vAlign w:val="center"/>
          </w:tcPr>
          <w:p>
            <w:pPr>
              <w:pStyle w:val="TableContents"/>
              <w:bidi w:val="0"/>
              <w:spacing w:before="0" w:after="283"/>
              <w:jc w:val="left"/>
              <w:rPr/>
            </w:pPr>
            <w:r>
              <w:rPr/>
            </w:r>
          </w:p>
        </w:tc>
        <w:tc>
          <w:tcPr>
            <w:tcW w:w="4191" w:type="dxa"/>
            <w:gridSpan w:val="6"/>
            <w:tcBorders/>
            <w:vAlign w:val="center"/>
          </w:tcPr>
          <w:p>
            <w:pPr>
              <w:pStyle w:val="TableContents"/>
              <w:bidi w:val="0"/>
              <w:spacing w:before="0" w:after="283"/>
              <w:jc w:val="center"/>
              <w:rPr>
                <w:b/>
              </w:rPr>
            </w:pPr>
            <w:bookmarkStart w:id="134" w:name="fs_7WFTJJSJZ400000000000000000000FM"/>
            <w:bookmarkEnd w:id="134"/>
            <w:r>
              <w:rPr>
                <w:b/>
              </w:rPr>
              <w:t>Nine months ended September 30,</w:t>
            </w:r>
          </w:p>
        </w:tc>
        <w:tc>
          <w:tcPr>
            <w:tcW w:w="46" w:type="dxa"/>
            <w:tcBorders/>
            <w:vAlign w:val="center"/>
          </w:tcPr>
          <w:p>
            <w:pPr>
              <w:pStyle w:val="TableContents"/>
              <w:bidi w:val="0"/>
              <w:spacing w:before="0" w:after="283"/>
              <w:jc w:val="left"/>
              <w:rPr/>
            </w:pPr>
            <w:r>
              <w:rPr/>
            </w:r>
          </w:p>
        </w:tc>
      </w:tr>
      <w:tr>
        <w:trPr/>
        <w:tc>
          <w:tcPr>
            <w:tcW w:w="2037" w:type="dxa"/>
            <w:tcBorders/>
            <w:vAlign w:val="center"/>
          </w:tcPr>
          <w:p>
            <w:pPr>
              <w:pStyle w:val="TableContents"/>
              <w:bidi w:val="0"/>
              <w:spacing w:before="0" w:after="0"/>
              <w:ind w:left="0" w:right="0" w:hanging="0"/>
              <w:jc w:val="left"/>
              <w:rPr/>
            </w:pPr>
            <w:r>
              <w:rPr/>
              <w:t xml:space="preserve">  </w:t>
            </w:r>
          </w:p>
        </w:tc>
        <w:tc>
          <w:tcPr>
            <w:tcW w:w="144" w:type="dxa"/>
            <w:tcBorders/>
            <w:vAlign w:val="center"/>
          </w:tcPr>
          <w:p>
            <w:pPr>
              <w:pStyle w:val="TableContents"/>
              <w:bidi w:val="0"/>
              <w:spacing w:before="0" w:after="0"/>
              <w:ind w:left="0" w:right="0" w:hanging="0"/>
              <w:jc w:val="left"/>
              <w:rPr/>
            </w:pPr>
            <w:r>
              <w:rPr/>
              <w:t xml:space="preserve">  </w:t>
            </w:r>
          </w:p>
        </w:tc>
        <w:tc>
          <w:tcPr>
            <w:tcW w:w="1544" w:type="dxa"/>
            <w:gridSpan w:val="2"/>
            <w:tcBorders/>
            <w:vAlign w:val="center"/>
          </w:tcPr>
          <w:p>
            <w:pPr>
              <w:pStyle w:val="TableContents"/>
              <w:bidi w:val="0"/>
              <w:spacing w:before="0" w:after="0"/>
              <w:ind w:left="0" w:right="0" w:hanging="0"/>
              <w:jc w:val="center"/>
              <w:rPr>
                <w:rFonts w:ascii="Times New Roman" w:hAnsi="Times New Roman"/>
                <w:b/>
                <w:sz w:val="20"/>
              </w:rPr>
            </w:pPr>
            <w:bookmarkStart w:id="135" w:name="fs_468K1VX4KW00000000000000000000fs"/>
            <w:bookmarkEnd w:id="135"/>
            <w:r>
              <w:rPr>
                <w:rFonts w:ascii="Times New Roman" w:hAnsi="Times New Roman"/>
                <w:b/>
                <w:sz w:val="20"/>
              </w:rPr>
              <w:t xml:space="preserve">2025 </w:t>
            </w:r>
          </w:p>
        </w:tc>
        <w:tc>
          <w:tcPr>
            <w:tcW w:w="264" w:type="dxa"/>
            <w:tcBorders/>
            <w:vAlign w:val="center"/>
          </w:tcPr>
          <w:p>
            <w:pPr>
              <w:pStyle w:val="TableContents"/>
              <w:bidi w:val="0"/>
              <w:spacing w:before="0" w:after="0"/>
              <w:ind w:left="0" w:right="0" w:hanging="0"/>
              <w:jc w:val="left"/>
              <w:rPr/>
            </w:pPr>
            <w:r>
              <w:rPr/>
              <w:t xml:space="preserve">  </w:t>
            </w:r>
          </w:p>
        </w:tc>
        <w:tc>
          <w:tcPr>
            <w:tcW w:w="264" w:type="dxa"/>
            <w:tcBorders/>
            <w:vAlign w:val="center"/>
          </w:tcPr>
          <w:p>
            <w:pPr>
              <w:pStyle w:val="TableContents"/>
              <w:bidi w:val="0"/>
              <w:spacing w:before="0" w:after="0"/>
              <w:ind w:left="0" w:right="0" w:hanging="0"/>
              <w:jc w:val="left"/>
              <w:rPr/>
            </w:pPr>
            <w:r>
              <w:rPr/>
              <w:t xml:space="preserve">  </w:t>
            </w:r>
          </w:p>
        </w:tc>
        <w:tc>
          <w:tcPr>
            <w:tcW w:w="1544" w:type="dxa"/>
            <w:gridSpan w:val="2"/>
            <w:tcBorders/>
            <w:vAlign w:val="center"/>
          </w:tcPr>
          <w:p>
            <w:pPr>
              <w:pStyle w:val="TableContents"/>
              <w:bidi w:val="0"/>
              <w:spacing w:before="0" w:after="0"/>
              <w:ind w:left="0" w:right="0" w:hanging="0"/>
              <w:jc w:val="center"/>
              <w:rPr>
                <w:rFonts w:ascii="Times New Roman" w:hAnsi="Times New Roman"/>
                <w:b/>
                <w:sz w:val="20"/>
              </w:rPr>
            </w:pPr>
            <w:bookmarkStart w:id="136" w:name="fs_L37JDHN7TC00000000000000000000fs"/>
            <w:bookmarkEnd w:id="136"/>
            <w:r>
              <w:rPr>
                <w:rFonts w:ascii="Times New Roman" w:hAnsi="Times New Roman"/>
                <w:b/>
                <w:sz w:val="20"/>
              </w:rPr>
              <w:t xml:space="preserve">2024 </w:t>
            </w:r>
          </w:p>
        </w:tc>
        <w:tc>
          <w:tcPr>
            <w:tcW w:w="143" w:type="dxa"/>
            <w:tcBorders/>
            <w:vAlign w:val="center"/>
          </w:tcPr>
          <w:p>
            <w:pPr>
              <w:pStyle w:val="TableContents"/>
              <w:bidi w:val="0"/>
              <w:spacing w:before="0" w:after="0"/>
              <w:ind w:left="0" w:right="0" w:hanging="0"/>
              <w:jc w:val="left"/>
              <w:rPr/>
            </w:pPr>
            <w:r>
              <w:rPr/>
              <w:t xml:space="preserve">  </w:t>
            </w:r>
          </w:p>
        </w:tc>
        <w:tc>
          <w:tcPr>
            <w:tcW w:w="28" w:type="dxa"/>
            <w:tcBorders/>
            <w:vAlign w:val="center"/>
          </w:tcPr>
          <w:p>
            <w:pPr>
              <w:pStyle w:val="TableContents"/>
              <w:bidi w:val="0"/>
              <w:spacing w:before="0" w:after="283"/>
              <w:jc w:val="left"/>
              <w:rPr/>
            </w:pPr>
            <w:r>
              <w:rPr/>
            </w:r>
          </w:p>
        </w:tc>
        <w:tc>
          <w:tcPr>
            <w:tcW w:w="2028" w:type="dxa"/>
            <w:gridSpan w:val="2"/>
            <w:tcBorders/>
            <w:vAlign w:val="center"/>
          </w:tcPr>
          <w:p>
            <w:pPr>
              <w:pStyle w:val="TableContents"/>
              <w:bidi w:val="0"/>
              <w:spacing w:before="0" w:after="283"/>
              <w:jc w:val="center"/>
              <w:rPr>
                <w:b/>
              </w:rPr>
            </w:pPr>
            <w:bookmarkStart w:id="137" w:name="fs_NMNK6GU6KG00000000000000000000FM"/>
            <w:bookmarkEnd w:id="137"/>
            <w:r>
              <w:rPr>
                <w:b/>
              </w:rPr>
              <w:t>2025</w:t>
            </w:r>
          </w:p>
        </w:tc>
        <w:tc>
          <w:tcPr>
            <w:tcW w:w="67" w:type="dxa"/>
            <w:tcBorders/>
            <w:vAlign w:val="center"/>
          </w:tcPr>
          <w:p>
            <w:pPr>
              <w:pStyle w:val="TableContents"/>
              <w:bidi w:val="0"/>
              <w:spacing w:before="0" w:after="283"/>
              <w:jc w:val="left"/>
              <w:rPr/>
            </w:pPr>
            <w:r>
              <w:rPr/>
            </w:r>
          </w:p>
        </w:tc>
        <w:tc>
          <w:tcPr>
            <w:tcW w:w="68" w:type="dxa"/>
            <w:tcBorders/>
            <w:vAlign w:val="center"/>
          </w:tcPr>
          <w:p>
            <w:pPr>
              <w:pStyle w:val="TableContents"/>
              <w:bidi w:val="0"/>
              <w:spacing w:before="0" w:after="283"/>
              <w:jc w:val="left"/>
              <w:rPr/>
            </w:pPr>
            <w:r>
              <w:rPr/>
            </w:r>
          </w:p>
        </w:tc>
        <w:tc>
          <w:tcPr>
            <w:tcW w:w="2028" w:type="dxa"/>
            <w:gridSpan w:val="2"/>
            <w:tcBorders/>
            <w:vAlign w:val="center"/>
          </w:tcPr>
          <w:p>
            <w:pPr>
              <w:pStyle w:val="TableContents"/>
              <w:widowControl/>
              <w:bidi w:val="0"/>
              <w:spacing w:before="0" w:after="283"/>
              <w:ind w:left="0" w:right="0" w:hanging="0"/>
              <w:jc w:val="center"/>
              <w:rPr>
                <w:rFonts w:ascii="times new roman" w:hAnsi="times new roman"/>
                <w:b/>
                <w:color w:val="000000"/>
                <w:spacing w:val="0"/>
                <w:sz w:val="20"/>
              </w:rPr>
            </w:pPr>
            <w:bookmarkStart w:id="138" w:name="fs_MADNN3TZRK00000000000000000000FM"/>
            <w:bookmarkEnd w:id="138"/>
            <w:r>
              <w:rPr>
                <w:rFonts w:ascii="times new roman" w:hAnsi="times new roman"/>
                <w:b/>
                <w:color w:val="000000"/>
                <w:spacing w:val="0"/>
                <w:sz w:val="20"/>
              </w:rPr>
              <w:t>2024</w:t>
            </w:r>
          </w:p>
        </w:tc>
        <w:tc>
          <w:tcPr>
            <w:tcW w:w="46" w:type="dxa"/>
            <w:tcBorders/>
            <w:vAlign w:val="center"/>
          </w:tcPr>
          <w:p>
            <w:pPr>
              <w:pStyle w:val="TableContents"/>
              <w:bidi w:val="0"/>
              <w:spacing w:before="0" w:after="283"/>
              <w:jc w:val="left"/>
              <w:rPr/>
            </w:pPr>
            <w:r>
              <w:rPr/>
            </w:r>
          </w:p>
        </w:tc>
      </w:tr>
      <w:tr>
        <w:trPr/>
        <w:tc>
          <w:tcPr>
            <w:tcW w:w="203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Audio conferencing </w:t>
            </w:r>
          </w:p>
        </w:tc>
        <w:tc>
          <w:tcPr>
            <w:tcW w:w="144" w:type="dxa"/>
            <w:tcBorders/>
            <w:shd w:fill="CCEEFF" w:val="clear"/>
            <w:vAlign w:val="center"/>
          </w:tcPr>
          <w:p>
            <w:pPr>
              <w:pStyle w:val="TableContents"/>
              <w:bidi w:val="0"/>
              <w:spacing w:before="0" w:after="0"/>
              <w:ind w:left="0" w:right="0" w:hanging="0"/>
              <w:jc w:val="left"/>
              <w:rPr/>
            </w:pPr>
            <w:r>
              <w:rPr/>
              <w:t xml:space="preserve">  </w:t>
            </w:r>
          </w:p>
        </w:tc>
        <w:tc>
          <w:tcPr>
            <w:tcW w:w="37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16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259 </w:t>
            </w:r>
          </w:p>
        </w:tc>
        <w:tc>
          <w:tcPr>
            <w:tcW w:w="264" w:type="dxa"/>
            <w:tcBorders/>
            <w:shd w:fill="CCEEFF" w:val="clear"/>
            <w:vAlign w:val="center"/>
          </w:tcPr>
          <w:p>
            <w:pPr>
              <w:pStyle w:val="TableContents"/>
              <w:bidi w:val="0"/>
              <w:spacing w:before="0" w:after="0"/>
              <w:ind w:left="0" w:right="0" w:hanging="0"/>
              <w:jc w:val="left"/>
              <w:rPr/>
            </w:pPr>
            <w:r>
              <w:rPr/>
              <w:t xml:space="preserve">  </w:t>
            </w:r>
          </w:p>
        </w:tc>
        <w:tc>
          <w:tcPr>
            <w:tcW w:w="264" w:type="dxa"/>
            <w:tcBorders/>
            <w:shd w:fill="CCEEFF" w:val="clear"/>
            <w:vAlign w:val="center"/>
          </w:tcPr>
          <w:p>
            <w:pPr>
              <w:pStyle w:val="TableContents"/>
              <w:bidi w:val="0"/>
              <w:spacing w:before="0" w:after="0"/>
              <w:ind w:left="0" w:right="0" w:hanging="0"/>
              <w:jc w:val="left"/>
              <w:rPr/>
            </w:pPr>
            <w:r>
              <w:rPr/>
              <w:t xml:space="preserve">  </w:t>
            </w:r>
          </w:p>
        </w:tc>
        <w:tc>
          <w:tcPr>
            <w:tcW w:w="37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16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929 </w:t>
            </w:r>
          </w:p>
        </w:tc>
        <w:tc>
          <w:tcPr>
            <w:tcW w:w="143" w:type="dxa"/>
            <w:tcBorders/>
            <w:shd w:fill="CCEEFF" w:val="clear"/>
            <w:vAlign w:val="center"/>
          </w:tcPr>
          <w:p>
            <w:pPr>
              <w:pStyle w:val="TableContents"/>
              <w:bidi w:val="0"/>
              <w:spacing w:before="0" w:after="0"/>
              <w:ind w:left="0" w:right="0" w:hanging="0"/>
              <w:jc w:val="left"/>
              <w:rPr/>
            </w:pPr>
            <w:r>
              <w:rPr/>
              <w:t xml:space="preserve">  </w:t>
            </w:r>
          </w:p>
        </w:tc>
        <w:tc>
          <w:tcPr>
            <w:tcW w:w="28" w:type="dxa"/>
            <w:tcBorders/>
            <w:shd w:fill="CCEEFF" w:val="clear"/>
            <w:vAlign w:val="center"/>
          </w:tcPr>
          <w:p>
            <w:pPr>
              <w:pStyle w:val="TableContents"/>
              <w:bidi w:val="0"/>
              <w:spacing w:before="0" w:after="283"/>
              <w:jc w:val="left"/>
              <w:rPr/>
            </w:pPr>
            <w:r>
              <w:rPr/>
            </w:r>
          </w:p>
        </w:tc>
        <w:tc>
          <w:tcPr>
            <w:tcW w:w="369" w:type="dxa"/>
            <w:tcBorders/>
            <w:shd w:fill="CCEEFF" w:val="clear"/>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659" w:type="dxa"/>
            <w:tcBorders/>
            <w:shd w:fill="CCEEFF" w:val="clear"/>
            <w:vAlign w:val="center"/>
          </w:tcPr>
          <w:p>
            <w:pPr>
              <w:pStyle w:val="TableContents"/>
              <w:bidi w:val="0"/>
              <w:spacing w:before="0" w:after="283"/>
              <w:jc w:val="right"/>
              <w:rPr/>
            </w:pPr>
            <w:r>
              <w:rPr/>
              <w:t>1,838</w:t>
            </w:r>
          </w:p>
        </w:tc>
        <w:tc>
          <w:tcPr>
            <w:tcW w:w="67" w:type="dxa"/>
            <w:tcBorders/>
            <w:shd w:fill="CCEEFF" w:val="clear"/>
            <w:vAlign w:val="center"/>
          </w:tcPr>
          <w:p>
            <w:pPr>
              <w:pStyle w:val="TableContents"/>
              <w:bidi w:val="0"/>
              <w:spacing w:before="0" w:after="283"/>
              <w:jc w:val="left"/>
              <w:rPr/>
            </w:pPr>
            <w:r>
              <w:rPr/>
            </w:r>
          </w:p>
        </w:tc>
        <w:tc>
          <w:tcPr>
            <w:tcW w:w="68" w:type="dxa"/>
            <w:tcBorders/>
            <w:shd w:fill="CCEEFF" w:val="clear"/>
            <w:vAlign w:val="center"/>
          </w:tcPr>
          <w:p>
            <w:pPr>
              <w:pStyle w:val="TableContents"/>
              <w:bidi w:val="0"/>
              <w:spacing w:before="0" w:after="283"/>
              <w:jc w:val="left"/>
              <w:rPr/>
            </w:pPr>
            <w:r>
              <w:rPr/>
            </w:r>
          </w:p>
        </w:tc>
        <w:tc>
          <w:tcPr>
            <w:tcW w:w="369" w:type="dxa"/>
            <w:tcBorders/>
            <w:shd w:fill="CCEEFF" w:val="clear"/>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659" w:type="dxa"/>
            <w:tcBorders/>
            <w:shd w:fill="CCEEFF" w:val="clear"/>
            <w:vAlign w:val="center"/>
          </w:tcPr>
          <w:p>
            <w:pPr>
              <w:pStyle w:val="TableContents"/>
              <w:bidi w:val="0"/>
              <w:spacing w:before="0" w:after="283"/>
              <w:jc w:val="right"/>
              <w:rPr/>
            </w:pPr>
            <w:r>
              <w:rPr/>
              <w:t>3,357</w:t>
            </w:r>
          </w:p>
        </w:tc>
        <w:tc>
          <w:tcPr>
            <w:tcW w:w="46" w:type="dxa"/>
            <w:tcBorders/>
            <w:shd w:fill="CCEEFF" w:val="clear"/>
            <w:vAlign w:val="center"/>
          </w:tcPr>
          <w:p>
            <w:pPr>
              <w:pStyle w:val="TableContents"/>
              <w:bidi w:val="0"/>
              <w:spacing w:before="0" w:after="283"/>
              <w:jc w:val="left"/>
              <w:rPr/>
            </w:pPr>
            <w:r>
              <w:rPr/>
            </w:r>
          </w:p>
        </w:tc>
      </w:tr>
      <w:tr>
        <w:trPr/>
        <w:tc>
          <w:tcPr>
            <w:tcW w:w="203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Microphones </w:t>
            </w:r>
          </w:p>
        </w:tc>
        <w:tc>
          <w:tcPr>
            <w:tcW w:w="144" w:type="dxa"/>
            <w:tcBorders/>
            <w:vAlign w:val="center"/>
          </w:tcPr>
          <w:p>
            <w:pPr>
              <w:pStyle w:val="TableContents"/>
              <w:bidi w:val="0"/>
              <w:spacing w:before="0" w:after="0"/>
              <w:ind w:left="0" w:right="0" w:hanging="0"/>
              <w:jc w:val="left"/>
              <w:rPr/>
            </w:pPr>
            <w:r>
              <w:rPr/>
              <w:t xml:space="preserve">  </w:t>
            </w:r>
          </w:p>
        </w:tc>
        <w:tc>
          <w:tcPr>
            <w:tcW w:w="375" w:type="dxa"/>
            <w:tcBorders/>
            <w:vAlign w:val="center"/>
          </w:tcPr>
          <w:p>
            <w:pPr>
              <w:pStyle w:val="TableContents"/>
              <w:bidi w:val="0"/>
              <w:spacing w:before="0" w:after="0"/>
              <w:ind w:left="0" w:right="0" w:hanging="0"/>
              <w:jc w:val="left"/>
              <w:rPr/>
            </w:pPr>
            <w:r>
              <w:rPr/>
              <w:t xml:space="preserve">  </w:t>
            </w:r>
          </w:p>
        </w:tc>
        <w:tc>
          <w:tcPr>
            <w:tcW w:w="1169"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798 </w:t>
            </w:r>
          </w:p>
        </w:tc>
        <w:tc>
          <w:tcPr>
            <w:tcW w:w="264" w:type="dxa"/>
            <w:tcBorders/>
            <w:vAlign w:val="center"/>
          </w:tcPr>
          <w:p>
            <w:pPr>
              <w:pStyle w:val="TableContents"/>
              <w:bidi w:val="0"/>
              <w:spacing w:before="0" w:after="0"/>
              <w:ind w:left="0" w:right="0" w:hanging="0"/>
              <w:jc w:val="left"/>
              <w:rPr/>
            </w:pPr>
            <w:r>
              <w:rPr/>
              <w:t xml:space="preserve">  </w:t>
            </w:r>
          </w:p>
        </w:tc>
        <w:tc>
          <w:tcPr>
            <w:tcW w:w="264" w:type="dxa"/>
            <w:tcBorders/>
            <w:vAlign w:val="center"/>
          </w:tcPr>
          <w:p>
            <w:pPr>
              <w:pStyle w:val="TableContents"/>
              <w:bidi w:val="0"/>
              <w:spacing w:before="0" w:after="0"/>
              <w:ind w:left="0" w:right="0" w:hanging="0"/>
              <w:jc w:val="left"/>
              <w:rPr/>
            </w:pPr>
            <w:r>
              <w:rPr/>
              <w:t xml:space="preserve">  </w:t>
            </w:r>
          </w:p>
        </w:tc>
        <w:tc>
          <w:tcPr>
            <w:tcW w:w="375" w:type="dxa"/>
            <w:tcBorders/>
            <w:vAlign w:val="center"/>
          </w:tcPr>
          <w:p>
            <w:pPr>
              <w:pStyle w:val="TableContents"/>
              <w:bidi w:val="0"/>
              <w:spacing w:before="0" w:after="0"/>
              <w:ind w:left="0" w:right="0" w:hanging="0"/>
              <w:jc w:val="left"/>
              <w:rPr/>
            </w:pPr>
            <w:r>
              <w:rPr/>
              <w:t xml:space="preserve">  </w:t>
            </w:r>
          </w:p>
        </w:tc>
        <w:tc>
          <w:tcPr>
            <w:tcW w:w="1169"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1,172 </w:t>
            </w:r>
          </w:p>
        </w:tc>
        <w:tc>
          <w:tcPr>
            <w:tcW w:w="143" w:type="dxa"/>
            <w:tcBorders/>
            <w:vAlign w:val="center"/>
          </w:tcPr>
          <w:p>
            <w:pPr>
              <w:pStyle w:val="TableContents"/>
              <w:bidi w:val="0"/>
              <w:spacing w:before="0" w:after="0"/>
              <w:ind w:left="0" w:right="0" w:hanging="0"/>
              <w:jc w:val="left"/>
              <w:rPr/>
            </w:pPr>
            <w:r>
              <w:rPr/>
              <w:t xml:space="preserve">  </w:t>
            </w:r>
          </w:p>
        </w:tc>
        <w:tc>
          <w:tcPr>
            <w:tcW w:w="28" w:type="dxa"/>
            <w:tcBorders/>
            <w:vAlign w:val="center"/>
          </w:tcPr>
          <w:p>
            <w:pPr>
              <w:pStyle w:val="TableContents"/>
              <w:bidi w:val="0"/>
              <w:spacing w:before="0" w:after="283"/>
              <w:jc w:val="left"/>
              <w:rPr/>
            </w:pPr>
            <w:r>
              <w:rPr/>
            </w:r>
          </w:p>
        </w:tc>
        <w:tc>
          <w:tcPr>
            <w:tcW w:w="369" w:type="dxa"/>
            <w:tcBorders/>
            <w:vAlign w:val="center"/>
          </w:tcPr>
          <w:p>
            <w:pPr>
              <w:pStyle w:val="TableContents"/>
              <w:bidi w:val="0"/>
              <w:spacing w:before="0" w:after="283"/>
              <w:jc w:val="left"/>
              <w:rPr/>
            </w:pPr>
            <w:r>
              <w:rPr/>
            </w:r>
          </w:p>
        </w:tc>
        <w:tc>
          <w:tcPr>
            <w:tcW w:w="1659" w:type="dxa"/>
            <w:tcBorders/>
            <w:vAlign w:val="center"/>
          </w:tcPr>
          <w:p>
            <w:pPr>
              <w:pStyle w:val="TableContents"/>
              <w:bidi w:val="0"/>
              <w:spacing w:before="0" w:after="283"/>
              <w:jc w:val="right"/>
              <w:rPr/>
            </w:pPr>
            <w:r>
              <w:rPr/>
              <w:t>2,885</w:t>
            </w:r>
          </w:p>
        </w:tc>
        <w:tc>
          <w:tcPr>
            <w:tcW w:w="67" w:type="dxa"/>
            <w:tcBorders/>
            <w:vAlign w:val="center"/>
          </w:tcPr>
          <w:p>
            <w:pPr>
              <w:pStyle w:val="TableContents"/>
              <w:bidi w:val="0"/>
              <w:spacing w:before="0" w:after="283"/>
              <w:jc w:val="left"/>
              <w:rPr/>
            </w:pPr>
            <w:r>
              <w:rPr/>
            </w:r>
          </w:p>
        </w:tc>
        <w:tc>
          <w:tcPr>
            <w:tcW w:w="68" w:type="dxa"/>
            <w:tcBorders/>
            <w:vAlign w:val="center"/>
          </w:tcPr>
          <w:p>
            <w:pPr>
              <w:pStyle w:val="TableContents"/>
              <w:bidi w:val="0"/>
              <w:spacing w:before="0" w:after="283"/>
              <w:jc w:val="left"/>
              <w:rPr/>
            </w:pPr>
            <w:r>
              <w:rPr/>
            </w:r>
          </w:p>
        </w:tc>
        <w:tc>
          <w:tcPr>
            <w:tcW w:w="369" w:type="dxa"/>
            <w:tcBorders/>
            <w:vAlign w:val="center"/>
          </w:tcPr>
          <w:p>
            <w:pPr>
              <w:pStyle w:val="TableContents"/>
              <w:bidi w:val="0"/>
              <w:spacing w:before="0" w:after="283"/>
              <w:jc w:val="left"/>
              <w:rPr/>
            </w:pPr>
            <w:r>
              <w:rPr/>
            </w:r>
          </w:p>
        </w:tc>
        <w:tc>
          <w:tcPr>
            <w:tcW w:w="1659" w:type="dxa"/>
            <w:tcBorders/>
            <w:vAlign w:val="center"/>
          </w:tcPr>
          <w:p>
            <w:pPr>
              <w:pStyle w:val="TableContents"/>
              <w:bidi w:val="0"/>
              <w:spacing w:before="0" w:after="283"/>
              <w:jc w:val="right"/>
              <w:rPr/>
            </w:pPr>
            <w:r>
              <w:rPr/>
              <w:t>3,786</w:t>
            </w:r>
          </w:p>
        </w:tc>
        <w:tc>
          <w:tcPr>
            <w:tcW w:w="46" w:type="dxa"/>
            <w:tcBorders/>
            <w:vAlign w:val="center"/>
          </w:tcPr>
          <w:p>
            <w:pPr>
              <w:pStyle w:val="TableContents"/>
              <w:bidi w:val="0"/>
              <w:spacing w:before="0" w:after="283"/>
              <w:jc w:val="left"/>
              <w:rPr/>
            </w:pPr>
            <w:r>
              <w:rPr/>
            </w:r>
          </w:p>
        </w:tc>
      </w:tr>
      <w:tr>
        <w:trPr/>
        <w:tc>
          <w:tcPr>
            <w:tcW w:w="203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Video products </w:t>
            </w:r>
          </w:p>
        </w:tc>
        <w:tc>
          <w:tcPr>
            <w:tcW w:w="144" w:type="dxa"/>
            <w:tcBorders/>
            <w:shd w:fill="CCEEFF" w:val="clear"/>
            <w:vAlign w:val="center"/>
          </w:tcPr>
          <w:p>
            <w:pPr>
              <w:pStyle w:val="TableContents"/>
              <w:bidi w:val="0"/>
              <w:spacing w:before="0" w:after="0"/>
              <w:ind w:left="0" w:right="0" w:hanging="0"/>
              <w:jc w:val="left"/>
              <w:rPr/>
            </w:pPr>
            <w:r>
              <w:rPr/>
              <w:t xml:space="preserve">  </w:t>
            </w:r>
          </w:p>
        </w:tc>
        <w:tc>
          <w:tcPr>
            <w:tcW w:w="375" w:type="dxa"/>
            <w:tcBorders/>
            <w:shd w:fill="CCEEFF" w:val="clear"/>
            <w:vAlign w:val="center"/>
          </w:tcPr>
          <w:p>
            <w:pPr>
              <w:pStyle w:val="TableContents"/>
              <w:bidi w:val="0"/>
              <w:spacing w:before="0" w:after="0"/>
              <w:ind w:left="0" w:right="0" w:hanging="0"/>
              <w:jc w:val="left"/>
              <w:rPr/>
            </w:pPr>
            <w:r>
              <w:rPr/>
              <w:t xml:space="preserve">  </w:t>
            </w:r>
          </w:p>
        </w:tc>
        <w:tc>
          <w:tcPr>
            <w:tcW w:w="116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205 </w:t>
            </w:r>
          </w:p>
        </w:tc>
        <w:tc>
          <w:tcPr>
            <w:tcW w:w="264" w:type="dxa"/>
            <w:tcBorders/>
            <w:shd w:fill="CCEEFF" w:val="clear"/>
            <w:vAlign w:val="center"/>
          </w:tcPr>
          <w:p>
            <w:pPr>
              <w:pStyle w:val="TableContents"/>
              <w:bidi w:val="0"/>
              <w:spacing w:before="0" w:after="0"/>
              <w:ind w:left="0" w:right="0" w:hanging="0"/>
              <w:jc w:val="left"/>
              <w:rPr/>
            </w:pPr>
            <w:r>
              <w:rPr/>
              <w:t xml:space="preserve">  </w:t>
            </w:r>
          </w:p>
        </w:tc>
        <w:tc>
          <w:tcPr>
            <w:tcW w:w="264" w:type="dxa"/>
            <w:tcBorders/>
            <w:shd w:fill="CCEEFF" w:val="clear"/>
            <w:vAlign w:val="center"/>
          </w:tcPr>
          <w:p>
            <w:pPr>
              <w:pStyle w:val="TableContents"/>
              <w:bidi w:val="0"/>
              <w:spacing w:before="0" w:after="0"/>
              <w:ind w:left="0" w:right="0" w:hanging="0"/>
              <w:jc w:val="left"/>
              <w:rPr/>
            </w:pPr>
            <w:r>
              <w:rPr/>
              <w:t xml:space="preserve">  </w:t>
            </w:r>
          </w:p>
        </w:tc>
        <w:tc>
          <w:tcPr>
            <w:tcW w:w="375" w:type="dxa"/>
            <w:tcBorders/>
            <w:shd w:fill="CCEEFF" w:val="clear"/>
            <w:vAlign w:val="center"/>
          </w:tcPr>
          <w:p>
            <w:pPr>
              <w:pStyle w:val="TableContents"/>
              <w:bidi w:val="0"/>
              <w:spacing w:before="0" w:after="0"/>
              <w:ind w:left="0" w:right="0" w:hanging="0"/>
              <w:jc w:val="left"/>
              <w:rPr/>
            </w:pPr>
            <w:r>
              <w:rPr/>
              <w:t xml:space="preserve">  </w:t>
            </w:r>
          </w:p>
        </w:tc>
        <w:tc>
          <w:tcPr>
            <w:tcW w:w="116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403 </w:t>
            </w:r>
          </w:p>
        </w:tc>
        <w:tc>
          <w:tcPr>
            <w:tcW w:w="143" w:type="dxa"/>
            <w:tcBorders/>
            <w:shd w:fill="CCEEFF" w:val="clear"/>
            <w:vAlign w:val="center"/>
          </w:tcPr>
          <w:p>
            <w:pPr>
              <w:pStyle w:val="TableContents"/>
              <w:bidi w:val="0"/>
              <w:spacing w:before="0" w:after="0"/>
              <w:ind w:left="0" w:right="0" w:hanging="0"/>
              <w:jc w:val="left"/>
              <w:rPr/>
            </w:pPr>
            <w:r>
              <w:rPr/>
              <w:t xml:space="preserve">  </w:t>
            </w:r>
          </w:p>
        </w:tc>
        <w:tc>
          <w:tcPr>
            <w:tcW w:w="28" w:type="dxa"/>
            <w:tcBorders/>
            <w:shd w:fill="CCEEFF" w:val="clear"/>
            <w:vAlign w:val="center"/>
          </w:tcPr>
          <w:p>
            <w:pPr>
              <w:pStyle w:val="TableContents"/>
              <w:bidi w:val="0"/>
              <w:spacing w:before="0" w:after="283"/>
              <w:jc w:val="left"/>
              <w:rPr/>
            </w:pPr>
            <w:r>
              <w:rPr/>
            </w:r>
          </w:p>
        </w:tc>
        <w:tc>
          <w:tcPr>
            <w:tcW w:w="369" w:type="dxa"/>
            <w:tcBorders/>
            <w:shd w:fill="CCEEFF" w:val="clear"/>
            <w:vAlign w:val="center"/>
          </w:tcPr>
          <w:p>
            <w:pPr>
              <w:pStyle w:val="TableContents"/>
              <w:bidi w:val="0"/>
              <w:spacing w:before="0" w:after="283"/>
              <w:jc w:val="left"/>
              <w:rPr/>
            </w:pPr>
            <w:r>
              <w:rPr/>
            </w:r>
          </w:p>
        </w:tc>
        <w:tc>
          <w:tcPr>
            <w:tcW w:w="1659" w:type="dxa"/>
            <w:tcBorders/>
            <w:shd w:fill="CCEEFF" w:val="clear"/>
            <w:vAlign w:val="center"/>
          </w:tcPr>
          <w:p>
            <w:pPr>
              <w:pStyle w:val="TableContents"/>
              <w:bidi w:val="0"/>
              <w:spacing w:before="0" w:after="283"/>
              <w:jc w:val="right"/>
              <w:rPr/>
            </w:pPr>
            <w:r>
              <w:rPr/>
              <w:t>768</w:t>
            </w:r>
          </w:p>
        </w:tc>
        <w:tc>
          <w:tcPr>
            <w:tcW w:w="67" w:type="dxa"/>
            <w:tcBorders/>
            <w:shd w:fill="CCEEFF" w:val="clear"/>
            <w:vAlign w:val="center"/>
          </w:tcPr>
          <w:p>
            <w:pPr>
              <w:pStyle w:val="TableContents"/>
              <w:bidi w:val="0"/>
              <w:spacing w:before="0" w:after="283"/>
              <w:jc w:val="left"/>
              <w:rPr/>
            </w:pPr>
            <w:r>
              <w:rPr/>
            </w:r>
          </w:p>
        </w:tc>
        <w:tc>
          <w:tcPr>
            <w:tcW w:w="68" w:type="dxa"/>
            <w:tcBorders/>
            <w:shd w:fill="CCEEFF" w:val="clear"/>
            <w:vAlign w:val="center"/>
          </w:tcPr>
          <w:p>
            <w:pPr>
              <w:pStyle w:val="TableContents"/>
              <w:bidi w:val="0"/>
              <w:spacing w:before="0" w:after="283"/>
              <w:jc w:val="left"/>
              <w:rPr/>
            </w:pPr>
            <w:r>
              <w:rPr/>
            </w:r>
          </w:p>
        </w:tc>
        <w:tc>
          <w:tcPr>
            <w:tcW w:w="369" w:type="dxa"/>
            <w:tcBorders/>
            <w:shd w:fill="CCEEFF" w:val="clear"/>
            <w:vAlign w:val="center"/>
          </w:tcPr>
          <w:p>
            <w:pPr>
              <w:pStyle w:val="TableContents"/>
              <w:bidi w:val="0"/>
              <w:spacing w:before="0" w:after="283"/>
              <w:jc w:val="left"/>
              <w:rPr/>
            </w:pPr>
            <w:r>
              <w:rPr/>
            </w:r>
          </w:p>
        </w:tc>
        <w:tc>
          <w:tcPr>
            <w:tcW w:w="1659" w:type="dxa"/>
            <w:tcBorders/>
            <w:shd w:fill="CCEEFF" w:val="clear"/>
            <w:vAlign w:val="center"/>
          </w:tcPr>
          <w:p>
            <w:pPr>
              <w:pStyle w:val="TableContents"/>
              <w:bidi w:val="0"/>
              <w:spacing w:before="0" w:after="283"/>
              <w:jc w:val="right"/>
              <w:rPr/>
            </w:pPr>
            <w:r>
              <w:rPr/>
              <w:t>1,287</w:t>
            </w:r>
          </w:p>
        </w:tc>
        <w:tc>
          <w:tcPr>
            <w:tcW w:w="46" w:type="dxa"/>
            <w:tcBorders/>
            <w:shd w:fill="CCEEFF" w:val="clear"/>
            <w:vAlign w:val="center"/>
          </w:tcPr>
          <w:p>
            <w:pPr>
              <w:pStyle w:val="TableContents"/>
              <w:bidi w:val="0"/>
              <w:spacing w:before="0" w:after="283"/>
              <w:jc w:val="left"/>
              <w:rPr/>
            </w:pPr>
            <w:r>
              <w:rPr/>
            </w:r>
          </w:p>
        </w:tc>
      </w:tr>
      <w:tr>
        <w:trPr/>
        <w:tc>
          <w:tcPr>
            <w:tcW w:w="2037" w:type="dxa"/>
            <w:tcBorders/>
            <w:vAlign w:val="center"/>
          </w:tcPr>
          <w:p>
            <w:pPr>
              <w:pStyle w:val="TableContents"/>
              <w:bidi w:val="0"/>
              <w:spacing w:before="0" w:after="0"/>
              <w:ind w:left="0" w:right="0" w:hanging="0"/>
              <w:jc w:val="left"/>
              <w:rPr/>
            </w:pPr>
            <w:r>
              <w:rPr/>
              <w:t xml:space="preserve">  </w:t>
            </w:r>
          </w:p>
        </w:tc>
        <w:tc>
          <w:tcPr>
            <w:tcW w:w="144" w:type="dxa"/>
            <w:tcBorders/>
            <w:vAlign w:val="center"/>
          </w:tcPr>
          <w:p>
            <w:pPr>
              <w:pStyle w:val="TableContents"/>
              <w:bidi w:val="0"/>
              <w:spacing w:before="0" w:after="0"/>
              <w:ind w:left="0" w:right="0" w:hanging="0"/>
              <w:jc w:val="left"/>
              <w:rPr/>
            </w:pPr>
            <w:r>
              <w:rPr/>
              <w:t xml:space="preserve">  </w:t>
            </w:r>
          </w:p>
        </w:tc>
        <w:tc>
          <w:tcPr>
            <w:tcW w:w="37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169"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1,262 </w:t>
            </w:r>
          </w:p>
        </w:tc>
        <w:tc>
          <w:tcPr>
            <w:tcW w:w="264" w:type="dxa"/>
            <w:tcBorders/>
            <w:vAlign w:val="center"/>
          </w:tcPr>
          <w:p>
            <w:pPr>
              <w:pStyle w:val="TableContents"/>
              <w:bidi w:val="0"/>
              <w:spacing w:before="0" w:after="0"/>
              <w:ind w:left="0" w:right="0" w:hanging="0"/>
              <w:jc w:val="left"/>
              <w:rPr/>
            </w:pPr>
            <w:r>
              <w:rPr/>
              <w:t xml:space="preserve">  </w:t>
            </w:r>
          </w:p>
        </w:tc>
        <w:tc>
          <w:tcPr>
            <w:tcW w:w="264" w:type="dxa"/>
            <w:tcBorders/>
            <w:vAlign w:val="center"/>
          </w:tcPr>
          <w:p>
            <w:pPr>
              <w:pStyle w:val="TableContents"/>
              <w:bidi w:val="0"/>
              <w:spacing w:before="0" w:after="0"/>
              <w:ind w:left="0" w:right="0" w:hanging="0"/>
              <w:jc w:val="left"/>
              <w:rPr/>
            </w:pPr>
            <w:r>
              <w:rPr/>
              <w:t xml:space="preserve">  </w:t>
            </w:r>
          </w:p>
        </w:tc>
        <w:tc>
          <w:tcPr>
            <w:tcW w:w="37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169"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2,504 </w:t>
            </w:r>
          </w:p>
        </w:tc>
        <w:tc>
          <w:tcPr>
            <w:tcW w:w="143" w:type="dxa"/>
            <w:tcBorders/>
            <w:vAlign w:val="center"/>
          </w:tcPr>
          <w:p>
            <w:pPr>
              <w:pStyle w:val="TableContents"/>
              <w:bidi w:val="0"/>
              <w:spacing w:before="0" w:after="0"/>
              <w:ind w:left="0" w:right="0" w:hanging="0"/>
              <w:jc w:val="left"/>
              <w:rPr/>
            </w:pPr>
            <w:r>
              <w:rPr/>
              <w:t xml:space="preserve">  </w:t>
            </w:r>
          </w:p>
        </w:tc>
        <w:tc>
          <w:tcPr>
            <w:tcW w:w="28" w:type="dxa"/>
            <w:tcBorders/>
            <w:vAlign w:val="center"/>
          </w:tcPr>
          <w:p>
            <w:pPr>
              <w:pStyle w:val="TableContents"/>
              <w:bidi w:val="0"/>
              <w:spacing w:before="0" w:after="283"/>
              <w:jc w:val="left"/>
              <w:rPr/>
            </w:pPr>
            <w:r>
              <w:rPr/>
            </w:r>
          </w:p>
        </w:tc>
        <w:tc>
          <w:tcPr>
            <w:tcW w:w="369" w:type="dxa"/>
            <w:tcBorders/>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659" w:type="dxa"/>
            <w:tcBorders/>
            <w:vAlign w:val="center"/>
          </w:tcPr>
          <w:p>
            <w:pPr>
              <w:pStyle w:val="TableContents"/>
              <w:bidi w:val="0"/>
              <w:spacing w:before="0" w:after="283"/>
              <w:jc w:val="right"/>
              <w:rPr/>
            </w:pPr>
            <w:r>
              <w:rPr/>
              <w:t>5,491</w:t>
            </w:r>
          </w:p>
        </w:tc>
        <w:tc>
          <w:tcPr>
            <w:tcW w:w="67" w:type="dxa"/>
            <w:tcBorders/>
            <w:vAlign w:val="center"/>
          </w:tcPr>
          <w:p>
            <w:pPr>
              <w:pStyle w:val="TableContents"/>
              <w:bidi w:val="0"/>
              <w:spacing w:before="0" w:after="283"/>
              <w:jc w:val="left"/>
              <w:rPr/>
            </w:pPr>
            <w:r>
              <w:rPr/>
            </w:r>
          </w:p>
        </w:tc>
        <w:tc>
          <w:tcPr>
            <w:tcW w:w="68" w:type="dxa"/>
            <w:tcBorders/>
            <w:vAlign w:val="center"/>
          </w:tcPr>
          <w:p>
            <w:pPr>
              <w:pStyle w:val="TableContents"/>
              <w:bidi w:val="0"/>
              <w:spacing w:before="0" w:after="283"/>
              <w:jc w:val="left"/>
              <w:rPr/>
            </w:pPr>
            <w:r>
              <w:rPr/>
            </w:r>
          </w:p>
        </w:tc>
        <w:tc>
          <w:tcPr>
            <w:tcW w:w="369" w:type="dxa"/>
            <w:tcBorders/>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659" w:type="dxa"/>
            <w:tcBorders/>
            <w:vAlign w:val="center"/>
          </w:tcPr>
          <w:p>
            <w:pPr>
              <w:pStyle w:val="TableContents"/>
              <w:bidi w:val="0"/>
              <w:spacing w:before="0" w:after="283"/>
              <w:jc w:val="right"/>
              <w:rPr/>
            </w:pPr>
            <w:r>
              <w:rPr/>
              <w:t>8,430</w:t>
            </w:r>
          </w:p>
        </w:tc>
        <w:tc>
          <w:tcPr>
            <w:tcW w:w="46" w:type="dxa"/>
            <w:tcBorders/>
            <w:vAlign w:val="center"/>
          </w:tcPr>
          <w:p>
            <w:pPr>
              <w:pStyle w:val="TableContents"/>
              <w:bidi w:val="0"/>
              <w:spacing w:before="0" w:after="283"/>
              <w:jc w:val="left"/>
              <w:rPr/>
            </w:pPr>
            <w:r>
              <w:rPr/>
            </w:r>
          </w:p>
        </w:tc>
      </w:tr>
    </w:tbl>
    <w:p>
      <w:pPr>
        <w:pStyle w:val="TextBody"/>
        <w:bidi w:val="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144" w:right="144" w:hanging="0"/>
        <w:jc w:val="both"/>
        <w:rPr/>
      </w:pPr>
      <w:r>
        <w:rPr/>
      </w:r>
    </w:p>
    <w:p>
      <w:pPr>
        <w:pStyle w:val="TextBody"/>
        <w:bidi w:val="0"/>
        <w:spacing w:before="0" w:after="0"/>
        <w:ind w:left="0" w:right="0" w:hanging="0"/>
        <w:jc w:val="both"/>
        <w:rPr>
          <w:rFonts w:ascii="Times New Roman" w:hAnsi="Times New Roman"/>
          <w:sz w:val="20"/>
        </w:rPr>
      </w:pPr>
      <w:r>
        <w:rPr>
          <w:rFonts w:ascii="Times New Roman" w:hAnsi="Times New Roman"/>
          <w:sz w:val="20"/>
        </w:rPr>
        <w:t>The following table disaggregates the Company’s revenue into major regions: </w:t>
      </w:r>
    </w:p>
    <w:p>
      <w:pPr>
        <w:pStyle w:val="TextBody"/>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3984"/>
        <w:gridCol w:w="110"/>
        <w:gridCol w:w="284"/>
        <w:gridCol w:w="899"/>
        <w:gridCol w:w="195"/>
        <w:gridCol w:w="195"/>
        <w:gridCol w:w="284"/>
        <w:gridCol w:w="899"/>
        <w:gridCol w:w="110"/>
        <w:gridCol w:w="23"/>
        <w:gridCol w:w="279"/>
        <w:gridCol w:w="1257"/>
        <w:gridCol w:w="50"/>
        <w:gridCol w:w="50"/>
        <w:gridCol w:w="279"/>
        <w:gridCol w:w="1257"/>
        <w:gridCol w:w="50"/>
      </w:tblGrid>
      <w:tr>
        <w:trPr/>
        <w:tc>
          <w:tcPr>
            <w:tcW w:w="3984" w:type="dxa"/>
            <w:tcBorders/>
            <w:vAlign w:val="center"/>
          </w:tcPr>
          <w:p>
            <w:pPr>
              <w:pStyle w:val="TableContents"/>
              <w:bidi w:val="0"/>
              <w:spacing w:before="0" w:after="0"/>
              <w:ind w:left="0" w:right="0" w:hanging="0"/>
              <w:jc w:val="left"/>
              <w:rPr/>
            </w:pPr>
            <w:r>
              <w:rPr/>
              <w:t xml:space="preserve">  </w:t>
            </w:r>
          </w:p>
        </w:tc>
        <w:tc>
          <w:tcPr>
            <w:tcW w:w="110" w:type="dxa"/>
            <w:tcBorders/>
            <w:vAlign w:val="center"/>
          </w:tcPr>
          <w:p>
            <w:pPr>
              <w:pStyle w:val="TableContents"/>
              <w:bidi w:val="0"/>
              <w:spacing w:before="0" w:after="0"/>
              <w:ind w:left="0" w:right="0" w:hanging="0"/>
              <w:jc w:val="left"/>
              <w:rPr/>
            </w:pPr>
            <w:r>
              <w:rPr/>
              <w:t xml:space="preserve">  </w:t>
            </w:r>
          </w:p>
        </w:tc>
        <w:tc>
          <w:tcPr>
            <w:tcW w:w="2756" w:type="dxa"/>
            <w:gridSpan w:val="6"/>
            <w:tcBorders/>
            <w:vAlign w:val="center"/>
          </w:tcPr>
          <w:p>
            <w:pPr>
              <w:pStyle w:val="TableContents"/>
              <w:bidi w:val="0"/>
              <w:spacing w:before="0" w:after="0"/>
              <w:ind w:left="0" w:right="0" w:hanging="0"/>
              <w:jc w:val="center"/>
              <w:rPr>
                <w:rFonts w:ascii="Times New Roman" w:hAnsi="Times New Roman"/>
                <w:b/>
                <w:sz w:val="20"/>
              </w:rPr>
            </w:pPr>
            <w:bookmarkStart w:id="139" w:name="fs_QZHA82SGE800000000000000000000FM"/>
            <w:bookmarkEnd w:id="139"/>
            <w:r>
              <w:rPr>
                <w:rFonts w:ascii="Times New Roman" w:hAnsi="Times New Roman"/>
                <w:b/>
                <w:sz w:val="20"/>
              </w:rPr>
              <w:t xml:space="preserve">Three months ended September 30, </w:t>
            </w:r>
          </w:p>
        </w:tc>
        <w:tc>
          <w:tcPr>
            <w:tcW w:w="110" w:type="dxa"/>
            <w:tcBorders/>
            <w:vAlign w:val="center"/>
          </w:tcPr>
          <w:p>
            <w:pPr>
              <w:pStyle w:val="TableContents"/>
              <w:bidi w:val="0"/>
              <w:spacing w:before="0" w:after="0"/>
              <w:ind w:left="0" w:right="0" w:hanging="0"/>
              <w:jc w:val="left"/>
              <w:rPr/>
            </w:pPr>
            <w:r>
              <w:rPr/>
              <w:t xml:space="preserve">  </w:t>
            </w:r>
          </w:p>
        </w:tc>
        <w:tc>
          <w:tcPr>
            <w:tcW w:w="23" w:type="dxa"/>
            <w:tcBorders/>
            <w:vAlign w:val="center"/>
          </w:tcPr>
          <w:p>
            <w:pPr>
              <w:pStyle w:val="TableContents"/>
              <w:bidi w:val="0"/>
              <w:spacing w:before="0" w:after="283"/>
              <w:jc w:val="left"/>
              <w:rPr/>
            </w:pPr>
            <w:r>
              <w:rPr/>
            </w:r>
          </w:p>
        </w:tc>
        <w:tc>
          <w:tcPr>
            <w:tcW w:w="3172" w:type="dxa"/>
            <w:gridSpan w:val="6"/>
            <w:tcBorders/>
            <w:vAlign w:val="center"/>
          </w:tcPr>
          <w:p>
            <w:pPr>
              <w:pStyle w:val="TableContents"/>
              <w:bidi w:val="0"/>
              <w:spacing w:before="0" w:after="283"/>
              <w:jc w:val="center"/>
              <w:rPr>
                <w:b/>
              </w:rPr>
            </w:pPr>
            <w:bookmarkStart w:id="140" w:name="fs_977MBFIULS00000000000000000000FM"/>
            <w:bookmarkEnd w:id="140"/>
            <w:r>
              <w:rPr>
                <w:b/>
              </w:rPr>
              <w:t>Nine months ended September 30,</w:t>
            </w:r>
          </w:p>
        </w:tc>
        <w:tc>
          <w:tcPr>
            <w:tcW w:w="50" w:type="dxa"/>
            <w:tcBorders/>
            <w:vAlign w:val="center"/>
          </w:tcPr>
          <w:p>
            <w:pPr>
              <w:pStyle w:val="TableContents"/>
              <w:bidi w:val="0"/>
              <w:spacing w:before="0" w:after="283"/>
              <w:jc w:val="left"/>
              <w:rPr/>
            </w:pPr>
            <w:r>
              <w:rPr/>
            </w:r>
          </w:p>
        </w:tc>
      </w:tr>
      <w:tr>
        <w:trPr/>
        <w:tc>
          <w:tcPr>
            <w:tcW w:w="3984" w:type="dxa"/>
            <w:tcBorders/>
            <w:vAlign w:val="center"/>
          </w:tcPr>
          <w:p>
            <w:pPr>
              <w:pStyle w:val="TableContents"/>
              <w:bidi w:val="0"/>
              <w:spacing w:before="0" w:after="0"/>
              <w:ind w:left="0" w:right="0" w:hanging="0"/>
              <w:jc w:val="left"/>
              <w:rPr/>
            </w:pPr>
            <w:r>
              <w:rPr/>
              <w:t xml:space="preserve">  </w:t>
            </w:r>
          </w:p>
        </w:tc>
        <w:tc>
          <w:tcPr>
            <w:tcW w:w="110" w:type="dxa"/>
            <w:tcBorders/>
            <w:vAlign w:val="center"/>
          </w:tcPr>
          <w:p>
            <w:pPr>
              <w:pStyle w:val="TableContents"/>
              <w:bidi w:val="0"/>
              <w:spacing w:before="0" w:after="0"/>
              <w:ind w:left="0" w:right="0" w:hanging="0"/>
              <w:jc w:val="left"/>
              <w:rPr/>
            </w:pPr>
            <w:r>
              <w:rPr/>
              <w:t xml:space="preserve">  </w:t>
            </w:r>
          </w:p>
        </w:tc>
        <w:tc>
          <w:tcPr>
            <w:tcW w:w="1183" w:type="dxa"/>
            <w:gridSpan w:val="2"/>
            <w:tcBorders/>
            <w:vAlign w:val="center"/>
          </w:tcPr>
          <w:p>
            <w:pPr>
              <w:pStyle w:val="TableContents"/>
              <w:bidi w:val="0"/>
              <w:spacing w:before="0" w:after="0"/>
              <w:ind w:left="0" w:right="0" w:hanging="0"/>
              <w:jc w:val="center"/>
              <w:rPr>
                <w:rFonts w:ascii="Times New Roman" w:hAnsi="Times New Roman"/>
                <w:b/>
                <w:sz w:val="20"/>
              </w:rPr>
            </w:pPr>
            <w:bookmarkStart w:id="141" w:name="fs_PD5GVYPZ8W00000000000000000000fs"/>
            <w:bookmarkEnd w:id="141"/>
            <w:r>
              <w:rPr>
                <w:rFonts w:ascii="Times New Roman" w:hAnsi="Times New Roman"/>
                <w:b/>
                <w:sz w:val="20"/>
              </w:rPr>
              <w:t xml:space="preserve">2025 </w:t>
            </w:r>
          </w:p>
        </w:tc>
        <w:tc>
          <w:tcPr>
            <w:tcW w:w="195" w:type="dxa"/>
            <w:tcBorders/>
            <w:vAlign w:val="center"/>
          </w:tcPr>
          <w:p>
            <w:pPr>
              <w:pStyle w:val="TableContents"/>
              <w:bidi w:val="0"/>
              <w:spacing w:before="0" w:after="0"/>
              <w:ind w:left="0" w:right="0" w:hanging="0"/>
              <w:jc w:val="left"/>
              <w:rPr/>
            </w:pPr>
            <w:r>
              <w:rPr/>
              <w:t xml:space="preserve">  </w:t>
            </w:r>
          </w:p>
        </w:tc>
        <w:tc>
          <w:tcPr>
            <w:tcW w:w="195" w:type="dxa"/>
            <w:tcBorders/>
            <w:vAlign w:val="center"/>
          </w:tcPr>
          <w:p>
            <w:pPr>
              <w:pStyle w:val="TableContents"/>
              <w:bidi w:val="0"/>
              <w:spacing w:before="0" w:after="0"/>
              <w:ind w:left="0" w:right="0" w:hanging="0"/>
              <w:jc w:val="left"/>
              <w:rPr/>
            </w:pPr>
            <w:r>
              <w:rPr/>
              <w:t xml:space="preserve">  </w:t>
            </w:r>
          </w:p>
        </w:tc>
        <w:tc>
          <w:tcPr>
            <w:tcW w:w="1183" w:type="dxa"/>
            <w:gridSpan w:val="2"/>
            <w:tcBorders/>
            <w:vAlign w:val="center"/>
          </w:tcPr>
          <w:p>
            <w:pPr>
              <w:pStyle w:val="TableContents"/>
              <w:bidi w:val="0"/>
              <w:spacing w:before="0" w:after="0"/>
              <w:ind w:left="0" w:right="0" w:hanging="0"/>
              <w:jc w:val="center"/>
              <w:rPr>
                <w:rFonts w:ascii="Times New Roman" w:hAnsi="Times New Roman"/>
                <w:b/>
                <w:sz w:val="20"/>
              </w:rPr>
            </w:pPr>
            <w:bookmarkStart w:id="142" w:name="fs_NY7LQ2EBHS00000000000000000000fs"/>
            <w:bookmarkEnd w:id="142"/>
            <w:r>
              <w:rPr>
                <w:rFonts w:ascii="Times New Roman" w:hAnsi="Times New Roman"/>
                <w:b/>
                <w:sz w:val="20"/>
              </w:rPr>
              <w:t xml:space="preserve">2024 </w:t>
            </w:r>
          </w:p>
        </w:tc>
        <w:tc>
          <w:tcPr>
            <w:tcW w:w="110" w:type="dxa"/>
            <w:tcBorders/>
            <w:vAlign w:val="center"/>
          </w:tcPr>
          <w:p>
            <w:pPr>
              <w:pStyle w:val="TableContents"/>
              <w:bidi w:val="0"/>
              <w:spacing w:before="0" w:after="0"/>
              <w:ind w:left="0" w:right="0" w:hanging="0"/>
              <w:jc w:val="left"/>
              <w:rPr/>
            </w:pPr>
            <w:r>
              <w:rPr/>
              <w:t xml:space="preserve">  </w:t>
            </w:r>
          </w:p>
        </w:tc>
        <w:tc>
          <w:tcPr>
            <w:tcW w:w="23" w:type="dxa"/>
            <w:tcBorders/>
            <w:vAlign w:val="center"/>
          </w:tcPr>
          <w:p>
            <w:pPr>
              <w:pStyle w:val="TableContents"/>
              <w:bidi w:val="0"/>
              <w:spacing w:before="0" w:after="283"/>
              <w:jc w:val="left"/>
              <w:rPr/>
            </w:pPr>
            <w:r>
              <w:rPr/>
            </w:r>
          </w:p>
        </w:tc>
        <w:tc>
          <w:tcPr>
            <w:tcW w:w="1536" w:type="dxa"/>
            <w:gridSpan w:val="2"/>
            <w:tcBorders/>
            <w:vAlign w:val="center"/>
          </w:tcPr>
          <w:p>
            <w:pPr>
              <w:pStyle w:val="TableContents"/>
              <w:bidi w:val="0"/>
              <w:spacing w:before="0" w:after="283"/>
              <w:jc w:val="center"/>
              <w:rPr>
                <w:b/>
              </w:rPr>
            </w:pPr>
            <w:bookmarkStart w:id="143" w:name="fs_XUYR60HWYO00000000000000000000fs"/>
            <w:bookmarkEnd w:id="143"/>
            <w:r>
              <w:rPr>
                <w:b/>
              </w:rPr>
              <w:t>2025</w:t>
            </w:r>
          </w:p>
        </w:tc>
        <w:tc>
          <w:tcPr>
            <w:tcW w:w="50" w:type="dxa"/>
            <w:tcBorders/>
            <w:vAlign w:val="center"/>
          </w:tcPr>
          <w:p>
            <w:pPr>
              <w:pStyle w:val="TableContents"/>
              <w:bidi w:val="0"/>
              <w:spacing w:before="0" w:after="283"/>
              <w:jc w:val="left"/>
              <w:rPr/>
            </w:pPr>
            <w:r>
              <w:rPr/>
            </w:r>
          </w:p>
        </w:tc>
        <w:tc>
          <w:tcPr>
            <w:tcW w:w="50" w:type="dxa"/>
            <w:tcBorders/>
            <w:vAlign w:val="center"/>
          </w:tcPr>
          <w:p>
            <w:pPr>
              <w:pStyle w:val="TableContents"/>
              <w:bidi w:val="0"/>
              <w:spacing w:before="0" w:after="283"/>
              <w:jc w:val="left"/>
              <w:rPr/>
            </w:pPr>
            <w:r>
              <w:rPr/>
            </w:r>
          </w:p>
        </w:tc>
        <w:tc>
          <w:tcPr>
            <w:tcW w:w="1536" w:type="dxa"/>
            <w:gridSpan w:val="2"/>
            <w:tcBorders/>
            <w:vAlign w:val="center"/>
          </w:tcPr>
          <w:p>
            <w:pPr>
              <w:pStyle w:val="TableContents"/>
              <w:bidi w:val="0"/>
              <w:spacing w:before="0" w:after="283"/>
              <w:jc w:val="center"/>
              <w:rPr>
                <w:b/>
              </w:rPr>
            </w:pPr>
            <w:bookmarkStart w:id="144" w:name="fs_48LMQLYDV400000000000000000000fs"/>
            <w:bookmarkEnd w:id="144"/>
            <w:r>
              <w:rPr>
                <w:b/>
              </w:rPr>
              <w:t>2024</w:t>
            </w:r>
          </w:p>
        </w:tc>
        <w:tc>
          <w:tcPr>
            <w:tcW w:w="50" w:type="dxa"/>
            <w:tcBorders/>
            <w:vAlign w:val="center"/>
          </w:tcPr>
          <w:p>
            <w:pPr>
              <w:pStyle w:val="TableContents"/>
              <w:bidi w:val="0"/>
              <w:spacing w:before="0" w:after="283"/>
              <w:jc w:val="left"/>
              <w:rPr/>
            </w:pPr>
            <w:r>
              <w:rPr/>
            </w:r>
          </w:p>
        </w:tc>
      </w:tr>
      <w:tr>
        <w:trPr/>
        <w:tc>
          <w:tcPr>
            <w:tcW w:w="398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North and South America  </w:t>
            </w:r>
          </w:p>
        </w:tc>
        <w:tc>
          <w:tcPr>
            <w:tcW w:w="110" w:type="dxa"/>
            <w:tcBorders/>
            <w:shd w:fill="CCEEFF" w:val="clear"/>
            <w:vAlign w:val="center"/>
          </w:tcPr>
          <w:p>
            <w:pPr>
              <w:pStyle w:val="TableContents"/>
              <w:bidi w:val="0"/>
              <w:spacing w:before="0" w:after="0"/>
              <w:ind w:left="0" w:right="0" w:hanging="0"/>
              <w:jc w:val="left"/>
              <w:rPr/>
            </w:pPr>
            <w:r>
              <w:rPr/>
              <w:t xml:space="preserve">  </w:t>
            </w:r>
          </w:p>
        </w:tc>
        <w:tc>
          <w:tcPr>
            <w:tcW w:w="28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89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981 </w:t>
            </w:r>
          </w:p>
        </w:tc>
        <w:tc>
          <w:tcPr>
            <w:tcW w:w="195" w:type="dxa"/>
            <w:tcBorders/>
            <w:shd w:fill="CCEEFF" w:val="clear"/>
            <w:vAlign w:val="center"/>
          </w:tcPr>
          <w:p>
            <w:pPr>
              <w:pStyle w:val="TableContents"/>
              <w:bidi w:val="0"/>
              <w:spacing w:before="0" w:after="0"/>
              <w:ind w:left="0" w:right="0" w:hanging="0"/>
              <w:jc w:val="left"/>
              <w:rPr/>
            </w:pPr>
            <w:r>
              <w:rPr/>
              <w:t xml:space="preserve">  </w:t>
            </w:r>
          </w:p>
        </w:tc>
        <w:tc>
          <w:tcPr>
            <w:tcW w:w="195" w:type="dxa"/>
            <w:tcBorders/>
            <w:shd w:fill="CCEEFF" w:val="clear"/>
            <w:vAlign w:val="center"/>
          </w:tcPr>
          <w:p>
            <w:pPr>
              <w:pStyle w:val="TableContents"/>
              <w:bidi w:val="0"/>
              <w:spacing w:before="0" w:after="0"/>
              <w:ind w:left="0" w:right="0" w:hanging="0"/>
              <w:jc w:val="left"/>
              <w:rPr/>
            </w:pPr>
            <w:r>
              <w:rPr/>
              <w:t xml:space="preserve">  </w:t>
            </w:r>
          </w:p>
        </w:tc>
        <w:tc>
          <w:tcPr>
            <w:tcW w:w="28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89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932 </w:t>
            </w:r>
          </w:p>
        </w:tc>
        <w:tc>
          <w:tcPr>
            <w:tcW w:w="110" w:type="dxa"/>
            <w:tcBorders/>
            <w:shd w:fill="CCEEFF" w:val="clear"/>
            <w:vAlign w:val="center"/>
          </w:tcPr>
          <w:p>
            <w:pPr>
              <w:pStyle w:val="TableContents"/>
              <w:bidi w:val="0"/>
              <w:spacing w:before="0" w:after="0"/>
              <w:ind w:left="0" w:right="0" w:hanging="0"/>
              <w:jc w:val="left"/>
              <w:rPr/>
            </w:pPr>
            <w:r>
              <w:rPr/>
              <w:t xml:space="preserve">  </w:t>
            </w:r>
          </w:p>
        </w:tc>
        <w:tc>
          <w:tcPr>
            <w:tcW w:w="23" w:type="dxa"/>
            <w:tcBorders/>
            <w:shd w:fill="CCEEFF" w:val="clear"/>
            <w:vAlign w:val="center"/>
          </w:tcPr>
          <w:p>
            <w:pPr>
              <w:pStyle w:val="TableContents"/>
              <w:bidi w:val="0"/>
              <w:spacing w:before="0" w:after="283"/>
              <w:jc w:val="left"/>
              <w:rPr/>
            </w:pPr>
            <w:r>
              <w:rPr/>
            </w:r>
          </w:p>
        </w:tc>
        <w:tc>
          <w:tcPr>
            <w:tcW w:w="279" w:type="dxa"/>
            <w:tcBorders/>
            <w:shd w:fill="CCEEFF" w:val="clear"/>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257" w:type="dxa"/>
            <w:tcBorders/>
            <w:shd w:fill="CCEEFF" w:val="clear"/>
            <w:vAlign w:val="center"/>
          </w:tcPr>
          <w:p>
            <w:pPr>
              <w:pStyle w:val="TableContents"/>
              <w:bidi w:val="0"/>
              <w:spacing w:before="0" w:after="283"/>
              <w:jc w:val="right"/>
              <w:rPr/>
            </w:pPr>
            <w:r>
              <w:rPr/>
              <w:t>3,271</w:t>
            </w:r>
          </w:p>
        </w:tc>
        <w:tc>
          <w:tcPr>
            <w:tcW w:w="50" w:type="dxa"/>
            <w:tcBorders/>
            <w:shd w:fill="CCEEFF" w:val="clear"/>
            <w:vAlign w:val="center"/>
          </w:tcPr>
          <w:p>
            <w:pPr>
              <w:pStyle w:val="TableContents"/>
              <w:bidi w:val="0"/>
              <w:spacing w:before="0" w:after="283"/>
              <w:jc w:val="left"/>
              <w:rPr/>
            </w:pPr>
            <w:r>
              <w:rPr/>
            </w:r>
          </w:p>
        </w:tc>
        <w:tc>
          <w:tcPr>
            <w:tcW w:w="50" w:type="dxa"/>
            <w:tcBorders/>
            <w:shd w:fill="CCEEFF" w:val="clear"/>
            <w:vAlign w:val="center"/>
          </w:tcPr>
          <w:p>
            <w:pPr>
              <w:pStyle w:val="TableContents"/>
              <w:bidi w:val="0"/>
              <w:spacing w:before="0" w:after="283"/>
              <w:jc w:val="left"/>
              <w:rPr/>
            </w:pPr>
            <w:r>
              <w:rPr/>
            </w:r>
          </w:p>
        </w:tc>
        <w:tc>
          <w:tcPr>
            <w:tcW w:w="279" w:type="dxa"/>
            <w:tcBorders/>
            <w:shd w:fill="CCEEFF" w:val="clear"/>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257" w:type="dxa"/>
            <w:tcBorders/>
            <w:shd w:fill="CCEEFF" w:val="clear"/>
            <w:vAlign w:val="center"/>
          </w:tcPr>
          <w:p>
            <w:pPr>
              <w:pStyle w:val="TableContents"/>
              <w:bidi w:val="0"/>
              <w:spacing w:before="0" w:after="283"/>
              <w:jc w:val="right"/>
              <w:rPr/>
            </w:pPr>
            <w:r>
              <w:rPr/>
              <w:t>3,236</w:t>
            </w:r>
          </w:p>
        </w:tc>
        <w:tc>
          <w:tcPr>
            <w:tcW w:w="50" w:type="dxa"/>
            <w:tcBorders/>
            <w:shd w:fill="CCEEFF" w:val="clear"/>
            <w:vAlign w:val="center"/>
          </w:tcPr>
          <w:p>
            <w:pPr>
              <w:pStyle w:val="TableContents"/>
              <w:bidi w:val="0"/>
              <w:spacing w:before="0" w:after="283"/>
              <w:jc w:val="left"/>
              <w:rPr/>
            </w:pPr>
            <w:r>
              <w:rPr/>
            </w:r>
          </w:p>
        </w:tc>
      </w:tr>
      <w:tr>
        <w:trPr/>
        <w:tc>
          <w:tcPr>
            <w:tcW w:w="398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Asia Pacific (includes Middle East, India and Australia) </w:t>
            </w:r>
          </w:p>
        </w:tc>
        <w:tc>
          <w:tcPr>
            <w:tcW w:w="110" w:type="dxa"/>
            <w:tcBorders/>
            <w:vAlign w:val="center"/>
          </w:tcPr>
          <w:p>
            <w:pPr>
              <w:pStyle w:val="TableContents"/>
              <w:bidi w:val="0"/>
              <w:spacing w:before="0" w:after="0"/>
              <w:ind w:left="0" w:right="0" w:hanging="0"/>
              <w:jc w:val="left"/>
              <w:rPr/>
            </w:pPr>
            <w:r>
              <w:rPr/>
              <w:t xml:space="preserve">  </w:t>
            </w:r>
          </w:p>
        </w:tc>
        <w:tc>
          <w:tcPr>
            <w:tcW w:w="284" w:type="dxa"/>
            <w:tcBorders/>
            <w:vAlign w:val="center"/>
          </w:tcPr>
          <w:p>
            <w:pPr>
              <w:pStyle w:val="TableContents"/>
              <w:bidi w:val="0"/>
              <w:spacing w:before="0" w:after="0"/>
              <w:ind w:left="0" w:right="0" w:hanging="0"/>
              <w:jc w:val="left"/>
              <w:rPr/>
            </w:pPr>
            <w:r>
              <w:rPr/>
              <w:t xml:space="preserve">  </w:t>
            </w:r>
          </w:p>
        </w:tc>
        <w:tc>
          <w:tcPr>
            <w:tcW w:w="899"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15 </w:t>
            </w:r>
          </w:p>
        </w:tc>
        <w:tc>
          <w:tcPr>
            <w:tcW w:w="195" w:type="dxa"/>
            <w:tcBorders/>
            <w:vAlign w:val="center"/>
          </w:tcPr>
          <w:p>
            <w:pPr>
              <w:pStyle w:val="TableContents"/>
              <w:bidi w:val="0"/>
              <w:spacing w:before="0" w:after="0"/>
              <w:ind w:left="0" w:right="0" w:hanging="0"/>
              <w:jc w:val="left"/>
              <w:rPr/>
            </w:pPr>
            <w:r>
              <w:rPr/>
              <w:t xml:space="preserve">  </w:t>
            </w:r>
          </w:p>
        </w:tc>
        <w:tc>
          <w:tcPr>
            <w:tcW w:w="195" w:type="dxa"/>
            <w:tcBorders/>
            <w:vAlign w:val="center"/>
          </w:tcPr>
          <w:p>
            <w:pPr>
              <w:pStyle w:val="TableContents"/>
              <w:bidi w:val="0"/>
              <w:spacing w:before="0" w:after="0"/>
              <w:ind w:left="0" w:right="0" w:hanging="0"/>
              <w:jc w:val="left"/>
              <w:rPr/>
            </w:pPr>
            <w:r>
              <w:rPr/>
              <w:t xml:space="preserve">  </w:t>
            </w:r>
          </w:p>
        </w:tc>
        <w:tc>
          <w:tcPr>
            <w:tcW w:w="284" w:type="dxa"/>
            <w:tcBorders/>
            <w:vAlign w:val="center"/>
          </w:tcPr>
          <w:p>
            <w:pPr>
              <w:pStyle w:val="TableContents"/>
              <w:bidi w:val="0"/>
              <w:spacing w:before="0" w:after="0"/>
              <w:ind w:left="0" w:right="0" w:hanging="0"/>
              <w:jc w:val="left"/>
              <w:rPr/>
            </w:pPr>
            <w:r>
              <w:rPr/>
              <w:t xml:space="preserve">  </w:t>
            </w:r>
          </w:p>
        </w:tc>
        <w:tc>
          <w:tcPr>
            <w:tcW w:w="899"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1,358 </w:t>
            </w:r>
          </w:p>
        </w:tc>
        <w:tc>
          <w:tcPr>
            <w:tcW w:w="110" w:type="dxa"/>
            <w:tcBorders/>
            <w:vAlign w:val="center"/>
          </w:tcPr>
          <w:p>
            <w:pPr>
              <w:pStyle w:val="TableContents"/>
              <w:bidi w:val="0"/>
              <w:spacing w:before="0" w:after="0"/>
              <w:ind w:left="0" w:right="0" w:hanging="0"/>
              <w:jc w:val="left"/>
              <w:rPr/>
            </w:pPr>
            <w:r>
              <w:rPr/>
              <w:t xml:space="preserve">  </w:t>
            </w:r>
          </w:p>
        </w:tc>
        <w:tc>
          <w:tcPr>
            <w:tcW w:w="23" w:type="dxa"/>
            <w:tcBorders/>
            <w:vAlign w:val="center"/>
          </w:tcPr>
          <w:p>
            <w:pPr>
              <w:pStyle w:val="TableContents"/>
              <w:bidi w:val="0"/>
              <w:spacing w:before="0" w:after="283"/>
              <w:jc w:val="left"/>
              <w:rPr/>
            </w:pPr>
            <w:r>
              <w:rPr/>
            </w:r>
          </w:p>
        </w:tc>
        <w:tc>
          <w:tcPr>
            <w:tcW w:w="279" w:type="dxa"/>
            <w:tcBorders/>
            <w:vAlign w:val="center"/>
          </w:tcPr>
          <w:p>
            <w:pPr>
              <w:pStyle w:val="TableContents"/>
              <w:bidi w:val="0"/>
              <w:spacing w:before="0" w:after="283"/>
              <w:jc w:val="left"/>
              <w:rPr/>
            </w:pPr>
            <w:r>
              <w:rPr/>
            </w:r>
          </w:p>
        </w:tc>
        <w:tc>
          <w:tcPr>
            <w:tcW w:w="1257" w:type="dxa"/>
            <w:tcBorders/>
            <w:vAlign w:val="center"/>
          </w:tcPr>
          <w:p>
            <w:pPr>
              <w:pStyle w:val="TableContents"/>
              <w:bidi w:val="0"/>
              <w:spacing w:before="0" w:after="283"/>
              <w:jc w:val="right"/>
              <w:rPr/>
            </w:pPr>
            <w:r>
              <w:rPr/>
              <w:t>1,433</w:t>
            </w:r>
          </w:p>
        </w:tc>
        <w:tc>
          <w:tcPr>
            <w:tcW w:w="50" w:type="dxa"/>
            <w:tcBorders/>
            <w:vAlign w:val="center"/>
          </w:tcPr>
          <w:p>
            <w:pPr>
              <w:pStyle w:val="TableContents"/>
              <w:bidi w:val="0"/>
              <w:spacing w:before="0" w:after="283"/>
              <w:jc w:val="left"/>
              <w:rPr/>
            </w:pPr>
            <w:r>
              <w:rPr/>
            </w:r>
          </w:p>
        </w:tc>
        <w:tc>
          <w:tcPr>
            <w:tcW w:w="50" w:type="dxa"/>
            <w:tcBorders/>
            <w:vAlign w:val="center"/>
          </w:tcPr>
          <w:p>
            <w:pPr>
              <w:pStyle w:val="TableContents"/>
              <w:bidi w:val="0"/>
              <w:spacing w:before="0" w:after="283"/>
              <w:jc w:val="left"/>
              <w:rPr/>
            </w:pPr>
            <w:r>
              <w:rPr/>
            </w:r>
          </w:p>
        </w:tc>
        <w:tc>
          <w:tcPr>
            <w:tcW w:w="279" w:type="dxa"/>
            <w:tcBorders/>
            <w:vAlign w:val="center"/>
          </w:tcPr>
          <w:p>
            <w:pPr>
              <w:pStyle w:val="TableContents"/>
              <w:bidi w:val="0"/>
              <w:spacing w:before="0" w:after="283"/>
              <w:jc w:val="left"/>
              <w:rPr/>
            </w:pPr>
            <w:r>
              <w:rPr/>
            </w:r>
          </w:p>
        </w:tc>
        <w:tc>
          <w:tcPr>
            <w:tcW w:w="1257" w:type="dxa"/>
            <w:tcBorders/>
            <w:vAlign w:val="center"/>
          </w:tcPr>
          <w:p>
            <w:pPr>
              <w:pStyle w:val="TableContents"/>
              <w:bidi w:val="0"/>
              <w:spacing w:before="0" w:after="283"/>
              <w:jc w:val="right"/>
              <w:rPr/>
            </w:pPr>
            <w:r>
              <w:rPr/>
              <w:t>4,200</w:t>
            </w:r>
          </w:p>
        </w:tc>
        <w:tc>
          <w:tcPr>
            <w:tcW w:w="50" w:type="dxa"/>
            <w:tcBorders/>
            <w:vAlign w:val="center"/>
          </w:tcPr>
          <w:p>
            <w:pPr>
              <w:pStyle w:val="TableContents"/>
              <w:bidi w:val="0"/>
              <w:spacing w:before="0" w:after="283"/>
              <w:jc w:val="left"/>
              <w:rPr/>
            </w:pPr>
            <w:r>
              <w:rPr/>
            </w:r>
          </w:p>
        </w:tc>
      </w:tr>
      <w:tr>
        <w:trPr/>
        <w:tc>
          <w:tcPr>
            <w:tcW w:w="398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Europe and Africa </w:t>
            </w:r>
          </w:p>
        </w:tc>
        <w:tc>
          <w:tcPr>
            <w:tcW w:w="110" w:type="dxa"/>
            <w:tcBorders/>
            <w:shd w:fill="CCEEFF" w:val="clear"/>
            <w:vAlign w:val="center"/>
          </w:tcPr>
          <w:p>
            <w:pPr>
              <w:pStyle w:val="TableContents"/>
              <w:bidi w:val="0"/>
              <w:spacing w:before="0" w:after="0"/>
              <w:ind w:left="0" w:right="0" w:hanging="0"/>
              <w:jc w:val="left"/>
              <w:rPr/>
            </w:pPr>
            <w:r>
              <w:rPr/>
              <w:t xml:space="preserve">  </w:t>
            </w:r>
          </w:p>
        </w:tc>
        <w:tc>
          <w:tcPr>
            <w:tcW w:w="284" w:type="dxa"/>
            <w:tcBorders/>
            <w:shd w:fill="CCEEFF" w:val="clear"/>
            <w:vAlign w:val="center"/>
          </w:tcPr>
          <w:p>
            <w:pPr>
              <w:pStyle w:val="TableContents"/>
              <w:bidi w:val="0"/>
              <w:spacing w:before="0" w:after="0"/>
              <w:ind w:left="0" w:right="0" w:hanging="0"/>
              <w:jc w:val="left"/>
              <w:rPr/>
            </w:pPr>
            <w:r>
              <w:rPr/>
              <w:t xml:space="preserve">  </w:t>
            </w:r>
          </w:p>
        </w:tc>
        <w:tc>
          <w:tcPr>
            <w:tcW w:w="89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266 </w:t>
            </w:r>
          </w:p>
        </w:tc>
        <w:tc>
          <w:tcPr>
            <w:tcW w:w="195" w:type="dxa"/>
            <w:tcBorders/>
            <w:shd w:fill="CCEEFF" w:val="clear"/>
            <w:vAlign w:val="center"/>
          </w:tcPr>
          <w:p>
            <w:pPr>
              <w:pStyle w:val="TableContents"/>
              <w:bidi w:val="0"/>
              <w:spacing w:before="0" w:after="0"/>
              <w:ind w:left="0" w:right="0" w:hanging="0"/>
              <w:jc w:val="left"/>
              <w:rPr/>
            </w:pPr>
            <w:r>
              <w:rPr/>
              <w:t xml:space="preserve">  </w:t>
            </w:r>
          </w:p>
        </w:tc>
        <w:tc>
          <w:tcPr>
            <w:tcW w:w="195" w:type="dxa"/>
            <w:tcBorders/>
            <w:shd w:fill="CCEEFF" w:val="clear"/>
            <w:vAlign w:val="center"/>
          </w:tcPr>
          <w:p>
            <w:pPr>
              <w:pStyle w:val="TableContents"/>
              <w:bidi w:val="0"/>
              <w:spacing w:before="0" w:after="0"/>
              <w:ind w:left="0" w:right="0" w:hanging="0"/>
              <w:jc w:val="left"/>
              <w:rPr/>
            </w:pPr>
            <w:r>
              <w:rPr/>
              <w:t xml:space="preserve">  </w:t>
            </w:r>
          </w:p>
        </w:tc>
        <w:tc>
          <w:tcPr>
            <w:tcW w:w="284" w:type="dxa"/>
            <w:tcBorders/>
            <w:shd w:fill="CCEEFF" w:val="clear"/>
            <w:vAlign w:val="center"/>
          </w:tcPr>
          <w:p>
            <w:pPr>
              <w:pStyle w:val="TableContents"/>
              <w:bidi w:val="0"/>
              <w:spacing w:before="0" w:after="0"/>
              <w:ind w:left="0" w:right="0" w:hanging="0"/>
              <w:jc w:val="left"/>
              <w:rPr/>
            </w:pPr>
            <w:r>
              <w:rPr/>
              <w:t xml:space="preserve">  </w:t>
            </w:r>
          </w:p>
        </w:tc>
        <w:tc>
          <w:tcPr>
            <w:tcW w:w="89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214 </w:t>
            </w:r>
          </w:p>
        </w:tc>
        <w:tc>
          <w:tcPr>
            <w:tcW w:w="110" w:type="dxa"/>
            <w:tcBorders/>
            <w:shd w:fill="CCEEFF" w:val="clear"/>
            <w:vAlign w:val="center"/>
          </w:tcPr>
          <w:p>
            <w:pPr>
              <w:pStyle w:val="TableContents"/>
              <w:bidi w:val="0"/>
              <w:spacing w:before="0" w:after="0"/>
              <w:ind w:left="0" w:right="0" w:hanging="0"/>
              <w:jc w:val="left"/>
              <w:rPr/>
            </w:pPr>
            <w:r>
              <w:rPr/>
              <w:t xml:space="preserve">  </w:t>
            </w:r>
          </w:p>
        </w:tc>
        <w:tc>
          <w:tcPr>
            <w:tcW w:w="23" w:type="dxa"/>
            <w:tcBorders/>
            <w:shd w:fill="CCEEFF" w:val="clear"/>
            <w:vAlign w:val="center"/>
          </w:tcPr>
          <w:p>
            <w:pPr>
              <w:pStyle w:val="TableContents"/>
              <w:bidi w:val="0"/>
              <w:spacing w:before="0" w:after="283"/>
              <w:jc w:val="left"/>
              <w:rPr/>
            </w:pPr>
            <w:r>
              <w:rPr/>
            </w:r>
          </w:p>
        </w:tc>
        <w:tc>
          <w:tcPr>
            <w:tcW w:w="279" w:type="dxa"/>
            <w:tcBorders/>
            <w:shd w:fill="CCEEFF" w:val="clear"/>
            <w:vAlign w:val="center"/>
          </w:tcPr>
          <w:p>
            <w:pPr>
              <w:pStyle w:val="TableContents"/>
              <w:bidi w:val="0"/>
              <w:spacing w:before="0" w:after="283"/>
              <w:jc w:val="left"/>
              <w:rPr/>
            </w:pPr>
            <w:r>
              <w:rPr/>
            </w:r>
          </w:p>
        </w:tc>
        <w:tc>
          <w:tcPr>
            <w:tcW w:w="1257" w:type="dxa"/>
            <w:tcBorders/>
            <w:shd w:fill="CCEEFF" w:val="clear"/>
            <w:vAlign w:val="center"/>
          </w:tcPr>
          <w:p>
            <w:pPr>
              <w:pStyle w:val="TableContents"/>
              <w:bidi w:val="0"/>
              <w:spacing w:before="0" w:after="283"/>
              <w:jc w:val="right"/>
              <w:rPr/>
            </w:pPr>
            <w:r>
              <w:rPr/>
              <w:t>787</w:t>
            </w:r>
          </w:p>
        </w:tc>
        <w:tc>
          <w:tcPr>
            <w:tcW w:w="50" w:type="dxa"/>
            <w:tcBorders/>
            <w:shd w:fill="CCEEFF" w:val="clear"/>
            <w:vAlign w:val="center"/>
          </w:tcPr>
          <w:p>
            <w:pPr>
              <w:pStyle w:val="TableContents"/>
              <w:bidi w:val="0"/>
              <w:spacing w:before="0" w:after="283"/>
              <w:jc w:val="left"/>
              <w:rPr/>
            </w:pPr>
            <w:r>
              <w:rPr/>
            </w:r>
          </w:p>
        </w:tc>
        <w:tc>
          <w:tcPr>
            <w:tcW w:w="50" w:type="dxa"/>
            <w:tcBorders/>
            <w:shd w:fill="CCEEFF" w:val="clear"/>
            <w:vAlign w:val="center"/>
          </w:tcPr>
          <w:p>
            <w:pPr>
              <w:pStyle w:val="TableContents"/>
              <w:bidi w:val="0"/>
              <w:spacing w:before="0" w:after="283"/>
              <w:jc w:val="left"/>
              <w:rPr/>
            </w:pPr>
            <w:r>
              <w:rPr/>
            </w:r>
          </w:p>
        </w:tc>
        <w:tc>
          <w:tcPr>
            <w:tcW w:w="279" w:type="dxa"/>
            <w:tcBorders/>
            <w:shd w:fill="CCEEFF" w:val="clear"/>
            <w:vAlign w:val="center"/>
          </w:tcPr>
          <w:p>
            <w:pPr>
              <w:pStyle w:val="TableContents"/>
              <w:bidi w:val="0"/>
              <w:spacing w:before="0" w:after="283"/>
              <w:jc w:val="left"/>
              <w:rPr/>
            </w:pPr>
            <w:r>
              <w:rPr/>
            </w:r>
          </w:p>
        </w:tc>
        <w:tc>
          <w:tcPr>
            <w:tcW w:w="1257" w:type="dxa"/>
            <w:tcBorders/>
            <w:shd w:fill="CCEEFF" w:val="clear"/>
            <w:vAlign w:val="center"/>
          </w:tcPr>
          <w:p>
            <w:pPr>
              <w:pStyle w:val="TableContents"/>
              <w:bidi w:val="0"/>
              <w:spacing w:before="0" w:after="283"/>
              <w:jc w:val="right"/>
              <w:rPr/>
            </w:pPr>
            <w:r>
              <w:rPr/>
              <w:t>994</w:t>
            </w:r>
          </w:p>
        </w:tc>
        <w:tc>
          <w:tcPr>
            <w:tcW w:w="50" w:type="dxa"/>
            <w:tcBorders/>
            <w:shd w:fill="CCEEFF" w:val="clear"/>
            <w:vAlign w:val="center"/>
          </w:tcPr>
          <w:p>
            <w:pPr>
              <w:pStyle w:val="TableContents"/>
              <w:bidi w:val="0"/>
              <w:spacing w:before="0" w:after="283"/>
              <w:jc w:val="left"/>
              <w:rPr/>
            </w:pPr>
            <w:r>
              <w:rPr/>
            </w:r>
          </w:p>
        </w:tc>
      </w:tr>
      <w:tr>
        <w:trPr/>
        <w:tc>
          <w:tcPr>
            <w:tcW w:w="3984" w:type="dxa"/>
            <w:tcBorders/>
            <w:vAlign w:val="center"/>
          </w:tcPr>
          <w:p>
            <w:pPr>
              <w:pStyle w:val="TableContents"/>
              <w:bidi w:val="0"/>
              <w:spacing w:before="0" w:after="0"/>
              <w:ind w:left="0" w:right="0" w:hanging="0"/>
              <w:jc w:val="left"/>
              <w:rPr/>
            </w:pPr>
            <w:r>
              <w:rPr/>
              <w:t xml:space="preserve">  </w:t>
            </w:r>
          </w:p>
        </w:tc>
        <w:tc>
          <w:tcPr>
            <w:tcW w:w="110" w:type="dxa"/>
            <w:tcBorders/>
            <w:vAlign w:val="center"/>
          </w:tcPr>
          <w:p>
            <w:pPr>
              <w:pStyle w:val="TableContents"/>
              <w:bidi w:val="0"/>
              <w:spacing w:before="0" w:after="0"/>
              <w:ind w:left="0" w:right="0" w:hanging="0"/>
              <w:jc w:val="left"/>
              <w:rPr/>
            </w:pPr>
            <w:r>
              <w:rPr/>
              <w:t xml:space="preserve">  </w:t>
            </w:r>
          </w:p>
        </w:tc>
        <w:tc>
          <w:tcPr>
            <w:tcW w:w="28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899"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1,262 </w:t>
            </w:r>
          </w:p>
        </w:tc>
        <w:tc>
          <w:tcPr>
            <w:tcW w:w="195" w:type="dxa"/>
            <w:tcBorders/>
            <w:vAlign w:val="center"/>
          </w:tcPr>
          <w:p>
            <w:pPr>
              <w:pStyle w:val="TableContents"/>
              <w:bidi w:val="0"/>
              <w:spacing w:before="0" w:after="0"/>
              <w:ind w:left="0" w:right="0" w:hanging="0"/>
              <w:jc w:val="left"/>
              <w:rPr/>
            </w:pPr>
            <w:r>
              <w:rPr/>
              <w:t xml:space="preserve">  </w:t>
            </w:r>
          </w:p>
        </w:tc>
        <w:tc>
          <w:tcPr>
            <w:tcW w:w="195" w:type="dxa"/>
            <w:tcBorders/>
            <w:vAlign w:val="center"/>
          </w:tcPr>
          <w:p>
            <w:pPr>
              <w:pStyle w:val="TableContents"/>
              <w:bidi w:val="0"/>
              <w:spacing w:before="0" w:after="0"/>
              <w:ind w:left="0" w:right="0" w:hanging="0"/>
              <w:jc w:val="left"/>
              <w:rPr/>
            </w:pPr>
            <w:r>
              <w:rPr/>
              <w:t xml:space="preserve">  </w:t>
            </w:r>
          </w:p>
        </w:tc>
        <w:tc>
          <w:tcPr>
            <w:tcW w:w="28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899"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2,504 </w:t>
            </w:r>
          </w:p>
        </w:tc>
        <w:tc>
          <w:tcPr>
            <w:tcW w:w="110" w:type="dxa"/>
            <w:tcBorders/>
            <w:vAlign w:val="center"/>
          </w:tcPr>
          <w:p>
            <w:pPr>
              <w:pStyle w:val="TableContents"/>
              <w:bidi w:val="0"/>
              <w:spacing w:before="0" w:after="0"/>
              <w:ind w:left="0" w:right="0" w:hanging="0"/>
              <w:jc w:val="left"/>
              <w:rPr/>
            </w:pPr>
            <w:r>
              <w:rPr/>
              <w:t xml:space="preserve">  </w:t>
            </w:r>
          </w:p>
        </w:tc>
        <w:tc>
          <w:tcPr>
            <w:tcW w:w="23" w:type="dxa"/>
            <w:tcBorders/>
            <w:vAlign w:val="center"/>
          </w:tcPr>
          <w:p>
            <w:pPr>
              <w:pStyle w:val="TableContents"/>
              <w:bidi w:val="0"/>
              <w:spacing w:before="0" w:after="283"/>
              <w:jc w:val="left"/>
              <w:rPr/>
            </w:pPr>
            <w:r>
              <w:rPr/>
            </w:r>
          </w:p>
        </w:tc>
        <w:tc>
          <w:tcPr>
            <w:tcW w:w="279" w:type="dxa"/>
            <w:tcBorders/>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257" w:type="dxa"/>
            <w:tcBorders/>
            <w:vAlign w:val="center"/>
          </w:tcPr>
          <w:p>
            <w:pPr>
              <w:pStyle w:val="TableContents"/>
              <w:bidi w:val="0"/>
              <w:spacing w:before="0" w:after="283"/>
              <w:jc w:val="right"/>
              <w:rPr/>
            </w:pPr>
            <w:r>
              <w:rPr/>
              <w:t>5,491</w:t>
            </w:r>
          </w:p>
        </w:tc>
        <w:tc>
          <w:tcPr>
            <w:tcW w:w="50" w:type="dxa"/>
            <w:tcBorders/>
            <w:vAlign w:val="center"/>
          </w:tcPr>
          <w:p>
            <w:pPr>
              <w:pStyle w:val="TableContents"/>
              <w:bidi w:val="0"/>
              <w:spacing w:before="0" w:after="283"/>
              <w:jc w:val="left"/>
              <w:rPr/>
            </w:pPr>
            <w:r>
              <w:rPr/>
            </w:r>
          </w:p>
        </w:tc>
        <w:tc>
          <w:tcPr>
            <w:tcW w:w="50" w:type="dxa"/>
            <w:tcBorders/>
            <w:vAlign w:val="center"/>
          </w:tcPr>
          <w:p>
            <w:pPr>
              <w:pStyle w:val="TableContents"/>
              <w:bidi w:val="0"/>
              <w:spacing w:before="0" w:after="283"/>
              <w:jc w:val="left"/>
              <w:rPr/>
            </w:pPr>
            <w:r>
              <w:rPr/>
            </w:r>
          </w:p>
        </w:tc>
        <w:tc>
          <w:tcPr>
            <w:tcW w:w="279" w:type="dxa"/>
            <w:tcBorders/>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257" w:type="dxa"/>
            <w:tcBorders/>
            <w:vAlign w:val="center"/>
          </w:tcPr>
          <w:p>
            <w:pPr>
              <w:pStyle w:val="TableContents"/>
              <w:bidi w:val="0"/>
              <w:spacing w:before="0" w:after="283"/>
              <w:jc w:val="right"/>
              <w:rPr>
                <w:sz w:val="20"/>
              </w:rPr>
            </w:pPr>
            <w:r>
              <w:rPr>
                <w:sz w:val="20"/>
              </w:rPr>
              <w:t>8,430</w:t>
            </w:r>
          </w:p>
        </w:tc>
        <w:tc>
          <w:tcPr>
            <w:tcW w:w="50" w:type="dxa"/>
            <w:tcBorders/>
            <w:vAlign w:val="center"/>
          </w:tcPr>
          <w:p>
            <w:pPr>
              <w:pStyle w:val="TableContents"/>
              <w:bidi w:val="0"/>
              <w:spacing w:before="0" w:after="283"/>
              <w:jc w:val="left"/>
              <w:rPr/>
            </w:pPr>
            <w:r>
              <w:rPr/>
            </w:r>
          </w:p>
        </w:tc>
      </w:tr>
    </w:tbl>
    <w:p>
      <w:pPr>
        <w:pStyle w:val="TextBody"/>
        <w:bidi w:val="0"/>
        <w:spacing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bookmarkStart w:id="145" w:name="PageBreakNo10"/>
            <w:bookmarkEnd w:id="145"/>
            <w:r>
              <w:rPr>
                <w:sz w:val="20"/>
              </w:rPr>
              <w:t>10</w:t>
            </w:r>
          </w:p>
        </w:tc>
      </w:tr>
    </w:tbl>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0" w:after="0"/>
        <w:jc w:val="left"/>
        <w:rPr/>
      </w:pPr>
      <w:r>
        <w:rPr/>
      </w:r>
    </w:p>
    <w:p>
      <w:pPr>
        <w:pStyle w:val="TextBody"/>
        <w:bidi w:val="0"/>
        <w:spacing w:before="0" w:after="0"/>
        <w:jc w:val="left"/>
        <w:rPr/>
      </w:pPr>
      <w:hyperlink w:anchor="TOC">
        <w:r>
          <w:rPr>
            <w:rStyle w:val="InternetLink"/>
            <w:rFonts w:ascii="times new roman;times" w:hAnsi="times new roman;times"/>
            <w:sz w:val="20"/>
          </w:rPr>
          <w:t>Table of Contents</w:t>
        </w:r>
      </w:hyperlink>
    </w:p>
    <w:p>
      <w:pPr>
        <w:pStyle w:val="TextBody"/>
        <w:bidi w:val="0"/>
        <w:spacing w:lineRule="auto" w:line="288" w:before="0" w:after="0"/>
        <w:ind w:left="0" w:right="0" w:hanging="0"/>
        <w:jc w:val="both"/>
        <w:rPr/>
      </w:pPr>
      <w:r>
        <w:rPr/>
      </w:r>
    </w:p>
    <w:p>
      <w:pPr>
        <w:pStyle w:val="TextBody"/>
        <w:widowControl/>
        <w:bidi w:val="0"/>
        <w:spacing w:before="0" w:after="0"/>
        <w:ind w:left="0" w:right="0" w:hanging="0"/>
        <w:jc w:val="lef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UNAUDITED NOTES TO CONDENSED CONSOLIDATED FINANCIAL STATEMENTS</w:t>
      </w:r>
    </w:p>
    <w:p>
      <w:pPr>
        <w:pStyle w:val="TextBody"/>
        <w:widowControl/>
        <w:bidi w:val="0"/>
        <w:spacing w:before="0" w:after="0"/>
        <w:ind w:left="144" w:right="144"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(Unaudited - Dollars in thousands, except per share amounts)</w:t>
      </w:r>
    </w:p>
    <w:p>
      <w:pPr>
        <w:pStyle w:val="TextBody"/>
        <w:bidi w:val="0"/>
        <w:spacing w:before="0" w:after="0"/>
        <w:ind w:left="0" w:right="0" w:hanging="0"/>
        <w:jc w:val="left"/>
        <w:rPr/>
      </w:pPr>
      <w:r>
        <w:rPr/>
      </w:r>
    </w:p>
    <w:p>
      <w:pPr>
        <w:pStyle w:val="TextBody"/>
        <w:numPr>
          <w:ilvl w:val="0"/>
          <w:numId w:val="4"/>
        </w:numPr>
        <w:pBdr/>
        <w:tabs>
          <w:tab w:val="clear" w:pos="1134"/>
          <w:tab w:val="left" w:pos="0" w:leader="none"/>
        </w:tabs>
        <w:bidi w:val="0"/>
        <w:spacing w:lineRule="auto" w:line="288" w:before="0" w:after="0"/>
        <w:ind w:left="0" w:right="0" w:hanging="283"/>
        <w:jc w:val="both"/>
        <w:rPr>
          <w:rFonts w:ascii="times new roman;times" w:hAnsi="times new roman;times"/>
          <w:sz w:val="20"/>
        </w:rPr>
      </w:pPr>
      <w:r>
        <w:rPr>
          <w:rFonts w:ascii="Times New Roman" w:hAnsi="Times New Roman"/>
          <w:sz w:val="20"/>
        </w:rPr>
        <w:t xml:space="preserve">Cost of goods sold — $2,148 and $6,435 for the </w:t>
      </w:r>
      <w:bookmarkStart w:id="146" w:name="fs_M81K2FWM4G00000000000000000000fs"/>
      <w:bookmarkEnd w:id="146"/>
      <w:r>
        <w:rPr>
          <w:rFonts w:ascii="Times New Roman" w:hAnsi="Times New Roman"/>
          <w:sz w:val="20"/>
        </w:rPr>
        <w:t xml:space="preserve">three and </w:t>
      </w:r>
      <w:bookmarkStart w:id="147" w:name="fs_OP9W4R8LXC00000000000000000000FM"/>
      <w:bookmarkEnd w:id="147"/>
      <w:r>
        <w:rPr>
          <w:rFonts w:ascii="Times New Roman" w:hAnsi="Times New Roman"/>
          <w:sz w:val="20"/>
        </w:rPr>
        <w:t xml:space="preserve">nine months ended September 30, 2025, respectively; $1,865 and $6,607 for the comparable </w:t>
      </w:r>
      <w:bookmarkStart w:id="148" w:name="fs_91PFXWWXJ400000000000000000000fs"/>
      <w:bookmarkEnd w:id="148"/>
      <w:r>
        <w:rPr>
          <w:rFonts w:ascii="Times New Roman" w:hAnsi="Times New Roman"/>
          <w:sz w:val="20"/>
        </w:rPr>
        <w:t>2024 periods.</w:t>
      </w:r>
      <w:r>
        <w:rPr>
          <w:rFonts w:ascii="times new roman;times" w:hAnsi="times new roman;times"/>
          <w:sz w:val="20"/>
        </w:rPr>
        <w:t xml:space="preserve"> </w:t>
      </w:r>
    </w:p>
    <w:p>
      <w:pPr>
        <w:pStyle w:val="TextBody"/>
        <w:numPr>
          <w:ilvl w:val="0"/>
          <w:numId w:val="4"/>
        </w:numPr>
        <w:pBdr/>
        <w:tabs>
          <w:tab w:val="clear" w:pos="1134"/>
          <w:tab w:val="left" w:pos="0" w:leader="none"/>
        </w:tabs>
        <w:bidi w:val="0"/>
        <w:spacing w:lineRule="auto" w:line="288" w:before="0" w:after="0"/>
        <w:ind w:left="0" w:hanging="283"/>
        <w:jc w:val="both"/>
        <w:rPr>
          <w:rFonts w:ascii="times new roman;times" w:hAnsi="times new roman;times"/>
          <w:sz w:val="20"/>
        </w:rPr>
      </w:pPr>
      <w:r>
        <w:rPr>
          <w:rFonts w:ascii="Times New Roman" w:hAnsi="Times New Roman"/>
          <w:sz w:val="20"/>
        </w:rPr>
        <w:t xml:space="preserve">Gross profit / (loss) — ($886) and ($944) for the </w:t>
      </w:r>
      <w:bookmarkStart w:id="149" w:name="fs_B0STC9FFYO00000000000000000000fs"/>
      <w:bookmarkEnd w:id="149"/>
      <w:r>
        <w:rPr>
          <w:rFonts w:ascii="Times New Roman" w:hAnsi="Times New Roman"/>
          <w:sz w:val="20"/>
        </w:rPr>
        <w:t xml:space="preserve">three and </w:t>
      </w:r>
      <w:bookmarkStart w:id="150" w:name="fs_H12MEEY2EO00000000000000000000FM"/>
      <w:bookmarkEnd w:id="150"/>
      <w:r>
        <w:rPr>
          <w:rFonts w:ascii="Times New Roman" w:hAnsi="Times New Roman"/>
          <w:sz w:val="20"/>
        </w:rPr>
        <w:t xml:space="preserve">nine months ended September 30, 2025, respectively; $639 and $1,823 for the comparable </w:t>
      </w:r>
      <w:bookmarkStart w:id="151" w:name="fs_YDKUM6A05S00000000000000000000fs"/>
      <w:bookmarkEnd w:id="151"/>
      <w:r>
        <w:rPr>
          <w:rFonts w:ascii="Times New Roman" w:hAnsi="Times New Roman"/>
          <w:sz w:val="20"/>
        </w:rPr>
        <w:t>2024 periods.</w:t>
      </w:r>
      <w:r>
        <w:rPr>
          <w:rFonts w:ascii="times new roman;times" w:hAnsi="times new roman;times"/>
          <w:sz w:val="20"/>
        </w:rPr>
        <w:t xml:space="preserve"> </w:t>
      </w:r>
    </w:p>
    <w:p>
      <w:pPr>
        <w:pStyle w:val="TextBody"/>
        <w:numPr>
          <w:ilvl w:val="0"/>
          <w:numId w:val="4"/>
        </w:numPr>
        <w:pBdr/>
        <w:tabs>
          <w:tab w:val="clear" w:pos="1134"/>
          <w:tab w:val="left" w:pos="0" w:leader="none"/>
        </w:tabs>
        <w:bidi w:val="0"/>
        <w:spacing w:lineRule="auto" w:line="288" w:before="0" w:after="0"/>
        <w:ind w:left="0" w:hanging="283"/>
        <w:jc w:val="both"/>
        <w:rPr>
          <w:rFonts w:ascii="times new roman;times" w:hAnsi="times new roman;times"/>
          <w:sz w:val="20"/>
        </w:rPr>
      </w:pPr>
      <w:r>
        <w:rPr>
          <w:rFonts w:ascii="Times New Roman" w:hAnsi="Times New Roman"/>
          <w:sz w:val="20"/>
        </w:rPr>
        <w:t xml:space="preserve">Operating expenses directly attributable — $1,238 and $6,179 for the </w:t>
      </w:r>
      <w:bookmarkStart w:id="152" w:name="fs_9NGVJ4D44G00000000000000000000fs"/>
      <w:bookmarkEnd w:id="152"/>
      <w:r>
        <w:rPr>
          <w:rFonts w:ascii="Times New Roman" w:hAnsi="Times New Roman"/>
          <w:sz w:val="20"/>
        </w:rPr>
        <w:t xml:space="preserve">three and </w:t>
      </w:r>
      <w:bookmarkStart w:id="153" w:name="fs_J7E98GHPYO00000000000000000000FM"/>
      <w:bookmarkEnd w:id="153"/>
      <w:r>
        <w:rPr>
          <w:rFonts w:ascii="Times New Roman" w:hAnsi="Times New Roman"/>
          <w:sz w:val="20"/>
        </w:rPr>
        <w:t xml:space="preserve">nine months ended September 30, 2025, respectively; $1,985 and $6,517 for the comparable </w:t>
      </w:r>
      <w:bookmarkStart w:id="154" w:name="fs_6S68T403SW00000000000000000000fs"/>
      <w:bookmarkEnd w:id="154"/>
      <w:r>
        <w:rPr>
          <w:rFonts w:ascii="Times New Roman" w:hAnsi="Times New Roman"/>
          <w:sz w:val="20"/>
        </w:rPr>
        <w:t>2024 periods.</w:t>
      </w:r>
      <w:r>
        <w:rPr>
          <w:rFonts w:ascii="times new roman;times" w:hAnsi="times new roman;times"/>
          <w:sz w:val="20"/>
        </w:rPr>
        <w:t xml:space="preserve"> </w:t>
      </w:r>
    </w:p>
    <w:p>
      <w:pPr>
        <w:pStyle w:val="TextBody"/>
        <w:numPr>
          <w:ilvl w:val="0"/>
          <w:numId w:val="4"/>
        </w:numPr>
        <w:pBdr/>
        <w:tabs>
          <w:tab w:val="clear" w:pos="1134"/>
          <w:tab w:val="left" w:pos="0" w:leader="none"/>
        </w:tabs>
        <w:bidi w:val="0"/>
        <w:spacing w:lineRule="auto" w:line="288" w:before="0" w:after="0"/>
        <w:ind w:left="0" w:hanging="283"/>
        <w:jc w:val="both"/>
        <w:rPr>
          <w:rFonts w:ascii="times new roman;times" w:hAnsi="times new roman;times"/>
          <w:sz w:val="20"/>
        </w:rPr>
      </w:pPr>
      <w:r>
        <w:rPr>
          <w:rFonts w:ascii="Times New Roman" w:hAnsi="Times New Roman"/>
          <w:sz w:val="20"/>
        </w:rPr>
        <w:t>Impairment on held for sale — $10,741 (Q</w:t>
      </w:r>
      <w:bookmarkStart w:id="155" w:name="fs_1IPOZDRUOW00000000000000000000fs"/>
      <w:bookmarkEnd w:id="155"/>
      <w:r>
        <w:rPr>
          <w:rFonts w:ascii="Times New Roman" w:hAnsi="Times New Roman"/>
          <w:sz w:val="20"/>
        </w:rPr>
        <w:t xml:space="preserve">3 </w:t>
      </w:r>
      <w:bookmarkStart w:id="156" w:name="fs_DEQXXWAXJ400000000000000000000fs"/>
      <w:bookmarkEnd w:id="156"/>
      <w:r>
        <w:rPr>
          <w:rFonts w:ascii="Times New Roman" w:hAnsi="Times New Roman"/>
          <w:sz w:val="20"/>
        </w:rPr>
        <w:t>2025 only).</w:t>
      </w:r>
      <w:r>
        <w:rPr>
          <w:rFonts w:ascii="times new roman;times" w:hAnsi="times new roman;times"/>
          <w:sz w:val="20"/>
        </w:rPr>
        <w:t xml:space="preserve"> </w:t>
      </w:r>
    </w:p>
    <w:p>
      <w:pPr>
        <w:pStyle w:val="TextBody"/>
        <w:numPr>
          <w:ilvl w:val="0"/>
          <w:numId w:val="4"/>
        </w:numPr>
        <w:pBdr/>
        <w:tabs>
          <w:tab w:val="clear" w:pos="1134"/>
          <w:tab w:val="left" w:pos="0" w:leader="none"/>
        </w:tabs>
        <w:bidi w:val="0"/>
        <w:spacing w:lineRule="auto" w:line="288" w:before="0" w:after="0"/>
        <w:ind w:left="0" w:hanging="283"/>
        <w:jc w:val="both"/>
        <w:rPr>
          <w:rFonts w:ascii="times new roman;times" w:hAnsi="times new roman;times"/>
          <w:sz w:val="20"/>
        </w:rPr>
      </w:pPr>
      <w:r>
        <w:rPr>
          <w:rFonts w:ascii="Times New Roman" w:hAnsi="Times New Roman"/>
          <w:sz w:val="20"/>
        </w:rPr>
        <w:t xml:space="preserve">(Loss) income before income taxes — ($12,865) and ($17,864) for the </w:t>
      </w:r>
      <w:bookmarkStart w:id="157" w:name="fs_AQCX1Z17TS00000000000000000000fs"/>
      <w:bookmarkEnd w:id="157"/>
      <w:r>
        <w:rPr>
          <w:rFonts w:ascii="Times New Roman" w:hAnsi="Times New Roman"/>
          <w:sz w:val="20"/>
        </w:rPr>
        <w:t xml:space="preserve">three and </w:t>
      </w:r>
      <w:bookmarkStart w:id="158" w:name="fs_RV0GUSC3G000000000000000000000FM"/>
      <w:bookmarkEnd w:id="158"/>
      <w:r>
        <w:rPr>
          <w:rFonts w:ascii="Times New Roman" w:hAnsi="Times New Roman"/>
          <w:sz w:val="20"/>
        </w:rPr>
        <w:t xml:space="preserve">nine months ended September 30, 2025, respectively; ($1,346) and ($4,694) for the comparable </w:t>
      </w:r>
      <w:bookmarkStart w:id="159" w:name="fs_S3TTL0QKJ400000000000000000000fs"/>
      <w:bookmarkEnd w:id="159"/>
      <w:r>
        <w:rPr>
          <w:rFonts w:ascii="Times New Roman" w:hAnsi="Times New Roman"/>
          <w:sz w:val="20"/>
        </w:rPr>
        <w:t>2024 periods.</w:t>
      </w:r>
      <w:r>
        <w:rPr>
          <w:rFonts w:ascii="times new roman;times" w:hAnsi="times new roman;times"/>
          <w:sz w:val="20"/>
        </w:rPr>
        <w:t xml:space="preserve"> </w:t>
      </w:r>
    </w:p>
    <w:p>
      <w:pPr>
        <w:pStyle w:val="TextBody"/>
        <w:numPr>
          <w:ilvl w:val="0"/>
          <w:numId w:val="4"/>
        </w:numPr>
        <w:pBdr/>
        <w:tabs>
          <w:tab w:val="clear" w:pos="1134"/>
          <w:tab w:val="left" w:pos="0" w:leader="none"/>
        </w:tabs>
        <w:bidi w:val="0"/>
        <w:spacing w:lineRule="auto" w:line="288" w:before="0" w:after="0"/>
        <w:ind w:left="0" w:hanging="283"/>
        <w:jc w:val="both"/>
        <w:rPr>
          <w:rFonts w:ascii="times new roman;times" w:hAnsi="times new roman;times"/>
          <w:sz w:val="20"/>
        </w:rPr>
      </w:pPr>
      <w:r>
        <w:rPr>
          <w:rFonts w:ascii="Times New Roman" w:hAnsi="Times New Roman"/>
          <w:sz w:val="20"/>
        </w:rPr>
        <w:t xml:space="preserve">(Loss) income from discontinued operations, net of tax — ($12,865) and ($17,864) for the </w:t>
      </w:r>
      <w:bookmarkStart w:id="160" w:name="fs_BYNR2FU7SW00000000000000000000fs"/>
      <w:bookmarkEnd w:id="160"/>
      <w:r>
        <w:rPr>
          <w:rFonts w:ascii="Times New Roman" w:hAnsi="Times New Roman"/>
          <w:sz w:val="20"/>
        </w:rPr>
        <w:t xml:space="preserve">three and </w:t>
      </w:r>
      <w:bookmarkStart w:id="161" w:name="fs_JLSRG3KRPS00000000000000000000FM"/>
      <w:bookmarkEnd w:id="161"/>
      <w:r>
        <w:rPr>
          <w:rFonts w:ascii="Times New Roman" w:hAnsi="Times New Roman"/>
          <w:sz w:val="20"/>
        </w:rPr>
        <w:t xml:space="preserve">nine months ended September 30, 2025, respectively; ($1,346) and ($4,694) for the comparable </w:t>
      </w:r>
      <w:bookmarkStart w:id="162" w:name="fs_4U0RDH5O8000000000000000000000fs"/>
      <w:bookmarkEnd w:id="162"/>
      <w:r>
        <w:rPr>
          <w:rFonts w:ascii="Times New Roman" w:hAnsi="Times New Roman"/>
          <w:sz w:val="20"/>
        </w:rPr>
        <w:t>2024 periods.</w:t>
      </w:r>
      <w:r>
        <w:rPr>
          <w:rFonts w:ascii="times new roman;times" w:hAnsi="times new roman;times"/>
          <w:sz w:val="20"/>
        </w:rPr>
        <w:t xml:space="preserve">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Assets grouped into discontinued operations (unaudited):</w:t>
      </w:r>
    </w:p>
    <w:p>
      <w:pPr>
        <w:pStyle w:val="TextBody"/>
        <w:numPr>
          <w:ilvl w:val="0"/>
          <w:numId w:val="5"/>
        </w:numPr>
        <w:pBdr/>
        <w:tabs>
          <w:tab w:val="clear" w:pos="1134"/>
          <w:tab w:val="left" w:pos="709" w:leader="none"/>
        </w:tabs>
        <w:bidi w:val="0"/>
        <w:spacing w:lineRule="auto" w:line="288" w:before="0" w:after="0"/>
        <w:ind w:left="709" w:hanging="283"/>
        <w:jc w:val="both"/>
        <w:rPr>
          <w:rFonts w:ascii="times new roman;times" w:hAnsi="times new roman;times"/>
          <w:sz w:val="20"/>
        </w:rPr>
      </w:pPr>
      <w:r>
        <w:rPr>
          <w:rFonts w:ascii="times new roman;times" w:hAnsi="times new roman;times"/>
          <w:sz w:val="20"/>
        </w:rPr>
        <w:t xml:space="preserve">Accounts receivable, net - $865 and $2,218 for the periods ended </w:t>
      </w:r>
      <w:bookmarkStart w:id="163" w:name="fs_1NE3T9AW8G00000000000000000000FM"/>
      <w:bookmarkEnd w:id="163"/>
      <w:r>
        <w:rPr>
          <w:rFonts w:ascii="times new roman;times" w:hAnsi="times new roman;times"/>
          <w:sz w:val="20"/>
        </w:rPr>
        <w:t xml:space="preserve">September 30, 2025 and </w:t>
      </w:r>
      <w:bookmarkStart w:id="164" w:name="fs_UVLE3BLYWW00000000000000000000FM"/>
      <w:bookmarkEnd w:id="164"/>
      <w:r>
        <w:rPr>
          <w:rFonts w:ascii="times new roman;times" w:hAnsi="times new roman;times"/>
          <w:sz w:val="20"/>
        </w:rPr>
        <w:t xml:space="preserve">December 31, 2024, respectively. </w:t>
      </w:r>
    </w:p>
    <w:p>
      <w:pPr>
        <w:pStyle w:val="TextBody"/>
        <w:numPr>
          <w:ilvl w:val="0"/>
          <w:numId w:val="5"/>
        </w:numPr>
        <w:pBdr/>
        <w:tabs>
          <w:tab w:val="clear" w:pos="1134"/>
          <w:tab w:val="left" w:pos="709" w:leader="none"/>
        </w:tabs>
        <w:bidi w:val="0"/>
        <w:spacing w:lineRule="auto" w:line="288" w:before="0" w:after="0"/>
        <w:ind w:left="709" w:hanging="283"/>
        <w:jc w:val="both"/>
        <w:rPr>
          <w:rFonts w:ascii="times new roman;times" w:hAnsi="times new roman;times"/>
          <w:sz w:val="20"/>
        </w:rPr>
      </w:pPr>
      <w:r>
        <w:rPr>
          <w:rFonts w:ascii="times new roman;times" w:hAnsi="times new roman;times"/>
          <w:sz w:val="20"/>
        </w:rPr>
        <w:t xml:space="preserve">Inventories short and long term and intangible assets - $0 and $14,391 for the periods ended </w:t>
      </w:r>
      <w:bookmarkStart w:id="165" w:name="fs_DQJBURCYHC00000000000000000000FM"/>
      <w:bookmarkEnd w:id="165"/>
      <w:r>
        <w:rPr>
          <w:rFonts w:ascii="times new roman;times" w:hAnsi="times new roman;times"/>
          <w:sz w:val="20"/>
        </w:rPr>
        <w:t xml:space="preserve">September 30, 2025 and </w:t>
      </w:r>
      <w:bookmarkStart w:id="166" w:name="fs_DSDN965JSG00000000000000000000FM"/>
      <w:bookmarkEnd w:id="166"/>
      <w:r>
        <w:rPr>
          <w:rFonts w:ascii="times new roman;times" w:hAnsi="times new roman;times"/>
          <w:sz w:val="20"/>
        </w:rPr>
        <w:t xml:space="preserve">December 31, 2024, respectively. </w:t>
      </w:r>
    </w:p>
    <w:p>
      <w:pPr>
        <w:pStyle w:val="TextBody"/>
        <w:numPr>
          <w:ilvl w:val="0"/>
          <w:numId w:val="5"/>
        </w:numPr>
        <w:pBdr/>
        <w:tabs>
          <w:tab w:val="clear" w:pos="1134"/>
          <w:tab w:val="left" w:pos="709" w:leader="none"/>
        </w:tabs>
        <w:bidi w:val="0"/>
        <w:spacing w:lineRule="auto" w:line="288" w:before="0" w:after="0"/>
        <w:ind w:left="709" w:right="0" w:hanging="283"/>
        <w:jc w:val="both"/>
        <w:rPr>
          <w:rFonts w:ascii="times new roman;times" w:hAnsi="times new roman;times"/>
          <w:sz w:val="20"/>
        </w:rPr>
      </w:pPr>
      <w:r>
        <w:rPr>
          <w:rFonts w:ascii="times new roman;times" w:hAnsi="times new roman;times"/>
          <w:sz w:val="20"/>
        </w:rPr>
        <w:t xml:space="preserve">Prepaids and other current assets - $3,678 and $3,894 for the periods ended </w:t>
      </w:r>
      <w:bookmarkStart w:id="167" w:name="fs_FMSCFSCRLS00000000000000000000FM"/>
      <w:bookmarkEnd w:id="167"/>
      <w:r>
        <w:rPr>
          <w:rFonts w:ascii="times new roman;times" w:hAnsi="times new roman;times"/>
          <w:sz w:val="20"/>
        </w:rPr>
        <w:t xml:space="preserve">September 30, 2025 and </w:t>
      </w:r>
      <w:bookmarkStart w:id="168" w:name="fs_9RWA8HDM7K00000000000000000000FM"/>
      <w:bookmarkEnd w:id="168"/>
      <w:r>
        <w:rPr>
          <w:rFonts w:ascii="times new roman;times" w:hAnsi="times new roman;times"/>
          <w:sz w:val="20"/>
        </w:rPr>
        <w:t xml:space="preserve">December 31, 2024, respectively. </w:t>
      </w:r>
    </w:p>
    <w:p>
      <w:pPr>
        <w:pStyle w:val="TextBody"/>
        <w:numPr>
          <w:ilvl w:val="0"/>
          <w:numId w:val="5"/>
        </w:numPr>
        <w:pBdr/>
        <w:tabs>
          <w:tab w:val="clear" w:pos="1134"/>
          <w:tab w:val="left" w:pos="709" w:leader="none"/>
        </w:tabs>
        <w:bidi w:val="0"/>
        <w:spacing w:lineRule="auto" w:line="288" w:before="0" w:after="0"/>
        <w:ind w:left="709" w:right="0" w:hanging="283"/>
        <w:jc w:val="both"/>
        <w:rPr>
          <w:rFonts w:ascii="times new roman;times" w:hAnsi="times new roman;times"/>
          <w:sz w:val="20"/>
        </w:rPr>
      </w:pPr>
      <w:r>
        <w:rPr>
          <w:rFonts w:ascii="times new roman;times" w:hAnsi="times new roman;times"/>
          <w:sz w:val="20"/>
        </w:rPr>
        <w:t xml:space="preserve">Property, plant and equipment, net - $259 and $500 for the periods ended </w:t>
      </w:r>
      <w:bookmarkStart w:id="169" w:name="fs_U22KR6O1V400000000000000000000FM"/>
      <w:bookmarkEnd w:id="169"/>
      <w:r>
        <w:rPr>
          <w:rFonts w:ascii="times new roman;times" w:hAnsi="times new roman;times"/>
          <w:sz w:val="20"/>
        </w:rPr>
        <w:t xml:space="preserve">September 30, 2025 and </w:t>
      </w:r>
      <w:bookmarkStart w:id="170" w:name="fs_1UUI4MKAQ800000000000000000000FM"/>
      <w:bookmarkEnd w:id="170"/>
      <w:r>
        <w:rPr>
          <w:rFonts w:ascii="times new roman;times" w:hAnsi="times new roman;times"/>
          <w:sz w:val="20"/>
        </w:rPr>
        <w:t xml:space="preserve">December 31, 2024, respectively. </w:t>
      </w:r>
    </w:p>
    <w:p>
      <w:pPr>
        <w:pStyle w:val="TextBody"/>
        <w:numPr>
          <w:ilvl w:val="0"/>
          <w:numId w:val="5"/>
        </w:numPr>
        <w:pBdr/>
        <w:tabs>
          <w:tab w:val="clear" w:pos="1134"/>
          <w:tab w:val="left" w:pos="709" w:leader="none"/>
        </w:tabs>
        <w:bidi w:val="0"/>
        <w:spacing w:lineRule="auto" w:line="288" w:before="0" w:after="0"/>
        <w:ind w:left="709" w:right="0" w:hanging="283"/>
        <w:jc w:val="both"/>
        <w:rPr>
          <w:rFonts w:ascii="times new roman;times" w:hAnsi="times new roman;times"/>
          <w:sz w:val="20"/>
        </w:rPr>
      </w:pPr>
      <w:r>
        <w:rPr>
          <w:rFonts w:ascii="times new roman;times" w:hAnsi="times new roman;times"/>
          <w:sz w:val="20"/>
        </w:rPr>
        <w:t xml:space="preserve">Other long-term assets - $69 and $82 for the periods ended </w:t>
      </w:r>
      <w:bookmarkStart w:id="171" w:name="fs_L18AE395A800000000000000000000FM"/>
      <w:bookmarkEnd w:id="171"/>
      <w:r>
        <w:rPr>
          <w:rFonts w:ascii="times new roman;times" w:hAnsi="times new roman;times"/>
          <w:sz w:val="20"/>
        </w:rPr>
        <w:t xml:space="preserve">September 30, 2025 and </w:t>
      </w:r>
      <w:bookmarkStart w:id="172" w:name="fs_RWM4J2ESOG00000000000000000000FM"/>
      <w:bookmarkEnd w:id="172"/>
      <w:r>
        <w:rPr>
          <w:rFonts w:ascii="times new roman;times" w:hAnsi="times new roman;times"/>
          <w:sz w:val="20"/>
        </w:rPr>
        <w:t xml:space="preserve">December 31, 2024, respectively. </w:t>
      </w:r>
    </w:p>
    <w:p>
      <w:pPr>
        <w:pStyle w:val="TextBody"/>
        <w:bidi w:val="0"/>
        <w:spacing w:lineRule="auto" w:line="288" w:before="200" w:after="200"/>
        <w:ind w:left="0" w:right="0" w:hanging="0"/>
        <w:jc w:val="left"/>
        <w:rPr>
          <w:rFonts w:ascii="times new roman;times" w:hAnsi="times new roman;times"/>
          <w:sz w:val="20"/>
        </w:rPr>
      </w:pPr>
      <w:r>
        <w:rPr>
          <w:rFonts w:ascii="times new roman;times" w:hAnsi="times new roman;times"/>
          <w:sz w:val="20"/>
        </w:rPr>
        <w:t>Liabilities grouped into discontinued operations (unaudited):</w:t>
      </w:r>
    </w:p>
    <w:p>
      <w:pPr>
        <w:pStyle w:val="TextBody"/>
        <w:numPr>
          <w:ilvl w:val="0"/>
          <w:numId w:val="6"/>
        </w:numPr>
        <w:pBdr/>
        <w:tabs>
          <w:tab w:val="clear" w:pos="1134"/>
          <w:tab w:val="left" w:pos="709" w:leader="none"/>
        </w:tabs>
        <w:bidi w:val="0"/>
        <w:spacing w:lineRule="auto" w:line="288" w:before="0" w:after="0"/>
        <w:ind w:left="709" w:hanging="283"/>
        <w:jc w:val="both"/>
        <w:rPr>
          <w:rFonts w:ascii="times new roman;times" w:hAnsi="times new roman;times"/>
          <w:sz w:val="20"/>
        </w:rPr>
      </w:pPr>
      <w:r>
        <w:rPr>
          <w:rFonts w:ascii="times new roman;times" w:hAnsi="times new roman;times"/>
          <w:sz w:val="20"/>
        </w:rPr>
        <w:t xml:space="preserve">Accounts payable - $2,778 and $1,728 for the periods ended </w:t>
      </w:r>
      <w:bookmarkStart w:id="173" w:name="fs_0RWIJLBTC000000000000000000000FM"/>
      <w:bookmarkEnd w:id="173"/>
      <w:r>
        <w:rPr>
          <w:rFonts w:ascii="times new roman;times" w:hAnsi="times new roman;times"/>
          <w:sz w:val="20"/>
        </w:rPr>
        <w:t xml:space="preserve">September 30, 2025 and </w:t>
      </w:r>
      <w:bookmarkStart w:id="174" w:name="fs_EH03C0T18000000000000000000000FM"/>
      <w:bookmarkEnd w:id="174"/>
      <w:r>
        <w:rPr>
          <w:rFonts w:ascii="times new roman;times" w:hAnsi="times new roman;times"/>
          <w:sz w:val="20"/>
        </w:rPr>
        <w:t xml:space="preserve">December 31, 2024, respectively. </w:t>
      </w:r>
    </w:p>
    <w:p>
      <w:pPr>
        <w:pStyle w:val="TextBody"/>
        <w:numPr>
          <w:ilvl w:val="0"/>
          <w:numId w:val="6"/>
        </w:numPr>
        <w:pBdr/>
        <w:tabs>
          <w:tab w:val="clear" w:pos="1134"/>
          <w:tab w:val="left" w:pos="709" w:leader="none"/>
        </w:tabs>
        <w:bidi w:val="0"/>
        <w:spacing w:lineRule="auto" w:line="288" w:before="0" w:after="0"/>
        <w:ind w:left="709" w:right="0" w:hanging="283"/>
        <w:jc w:val="both"/>
        <w:rPr>
          <w:rFonts w:ascii="times new roman;times" w:hAnsi="times new roman;times"/>
          <w:sz w:val="20"/>
        </w:rPr>
      </w:pPr>
      <w:r>
        <w:rPr>
          <w:rFonts w:ascii="times new roman;times" w:hAnsi="times new roman;times"/>
          <w:sz w:val="20"/>
        </w:rPr>
        <w:t xml:space="preserve">Accrued liabilities, current - $444 and $1,107 for the periods ended </w:t>
      </w:r>
      <w:bookmarkStart w:id="175" w:name="fs_X5U7E1CDFK00000000000000000000FM"/>
      <w:bookmarkEnd w:id="175"/>
      <w:r>
        <w:rPr>
          <w:rFonts w:ascii="times new roman;times" w:hAnsi="times new roman;times"/>
          <w:sz w:val="20"/>
        </w:rPr>
        <w:t xml:space="preserve">September 30, 2025 and </w:t>
      </w:r>
      <w:bookmarkStart w:id="176" w:name="fs_M9TIP396S000000000000000000000FM"/>
      <w:bookmarkEnd w:id="176"/>
      <w:r>
        <w:rPr>
          <w:rFonts w:ascii="times new roman;times" w:hAnsi="times new roman;times"/>
          <w:sz w:val="20"/>
        </w:rPr>
        <w:t xml:space="preserve">December 31, 2024, respectively. </w:t>
      </w:r>
    </w:p>
    <w:p>
      <w:pPr>
        <w:pStyle w:val="TextBody"/>
        <w:numPr>
          <w:ilvl w:val="0"/>
          <w:numId w:val="6"/>
        </w:numPr>
        <w:pBdr/>
        <w:tabs>
          <w:tab w:val="clear" w:pos="1134"/>
          <w:tab w:val="left" w:pos="709" w:leader="none"/>
        </w:tabs>
        <w:bidi w:val="0"/>
        <w:spacing w:lineRule="auto" w:line="288" w:before="0" w:after="0"/>
        <w:ind w:left="709" w:right="0" w:hanging="283"/>
        <w:jc w:val="both"/>
        <w:rPr>
          <w:rFonts w:ascii="times new roman;times" w:hAnsi="times new roman;times"/>
          <w:sz w:val="20"/>
        </w:rPr>
      </w:pPr>
      <w:r>
        <w:rPr>
          <w:rFonts w:ascii="times new roman;times" w:hAnsi="times new roman;times"/>
          <w:sz w:val="20"/>
        </w:rPr>
        <w:t xml:space="preserve">Deferred revenue - $12 and $17 for the periods ended </w:t>
      </w:r>
      <w:bookmarkStart w:id="177" w:name="fs_BNLABCIN1C00000000000000000000FM"/>
      <w:bookmarkEnd w:id="177"/>
      <w:r>
        <w:rPr>
          <w:rFonts w:ascii="times new roman;times" w:hAnsi="times new roman;times"/>
          <w:sz w:val="20"/>
        </w:rPr>
        <w:t xml:space="preserve">September 30, 2025 and </w:t>
      </w:r>
      <w:bookmarkStart w:id="178" w:name="fs_032SNGNQ8W00000000000000000000FM"/>
      <w:bookmarkEnd w:id="178"/>
      <w:r>
        <w:rPr>
          <w:rFonts w:ascii="times new roman;times" w:hAnsi="times new roman;times"/>
          <w:sz w:val="20"/>
        </w:rPr>
        <w:t xml:space="preserve">December 31, 2024, respectively. </w:t>
      </w:r>
    </w:p>
    <w:p>
      <w:pPr>
        <w:pStyle w:val="TextBody"/>
        <w:numPr>
          <w:ilvl w:val="0"/>
          <w:numId w:val="6"/>
        </w:numPr>
        <w:pBdr/>
        <w:tabs>
          <w:tab w:val="clear" w:pos="1134"/>
          <w:tab w:val="left" w:pos="709" w:leader="none"/>
        </w:tabs>
        <w:bidi w:val="0"/>
        <w:spacing w:lineRule="auto" w:line="288" w:before="0" w:after="0"/>
        <w:ind w:left="709" w:right="0" w:hanging="283"/>
        <w:jc w:val="both"/>
        <w:rPr>
          <w:rFonts w:ascii="times new roman;times" w:hAnsi="times new roman;times"/>
          <w:sz w:val="20"/>
        </w:rPr>
      </w:pPr>
      <w:r>
        <w:rPr>
          <w:rFonts w:ascii="times new roman;times" w:hAnsi="times new roman;times"/>
          <w:sz w:val="20"/>
        </w:rPr>
        <w:t xml:space="preserve">Other long-term liabilities - $1,155 and $1,154 for the periods ended </w:t>
      </w:r>
      <w:bookmarkStart w:id="179" w:name="fs_QNIMAHAEO000000000000000000000FM"/>
      <w:bookmarkEnd w:id="179"/>
      <w:r>
        <w:rPr>
          <w:rFonts w:ascii="times new roman;times" w:hAnsi="times new roman;times"/>
          <w:sz w:val="20"/>
        </w:rPr>
        <w:t xml:space="preserve">September 30, 2025 and </w:t>
      </w:r>
      <w:bookmarkStart w:id="180" w:name="fs_FLQNFHDFLS00000000000000000000FM"/>
      <w:bookmarkEnd w:id="180"/>
      <w:r>
        <w:rPr>
          <w:rFonts w:ascii="times new roman;times" w:hAnsi="times new roman;times"/>
          <w:sz w:val="20"/>
        </w:rPr>
        <w:t xml:space="preserve">December 31, 2024, respectively.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 xml:space="preserve">Management concluded the disposal constitutes a component and a strategic shift since it eliminates significant revenue-generating activities. The Company will continue to provide product support and warranty services as it pursues a Strategic Transaction in the fourth quarter of </w:t>
      </w:r>
      <w:bookmarkStart w:id="181" w:name="fs_QJRBS83TSG00000000000000000000fs"/>
      <w:bookmarkEnd w:id="181"/>
      <w:r>
        <w:rPr>
          <w:rFonts w:ascii="Times New Roman" w:hAnsi="Times New Roman"/>
          <w:sz w:val="20"/>
        </w:rPr>
        <w:t>2025.</w:t>
      </w:r>
      <w:r>
        <w:rPr>
          <w:rFonts w:ascii="times new roman;times" w:hAnsi="times new roman;times"/>
          <w:sz w:val="20"/>
        </w:rPr>
        <w:t> </w:t>
      </w:r>
    </w:p>
    <w:p>
      <w:pPr>
        <w:pStyle w:val="TextBody"/>
        <w:widowControl/>
        <w:bidi w:val="0"/>
        <w:spacing w:before="200" w:after="0"/>
        <w:ind w:left="0" w:right="0" w:hanging="0"/>
        <w:jc w:val="left"/>
        <w:rPr>
          <w:rFonts w:ascii="times new roman;times" w:hAnsi="times new roman;times"/>
          <w:b/>
          <w:color w:val="000000"/>
          <w:spacing w:val="0"/>
          <w:sz w:val="20"/>
        </w:rPr>
      </w:pPr>
      <w:r>
        <w:rPr>
          <w:rFonts w:ascii="times new roman;times" w:hAnsi="times new roman;times"/>
          <w:b/>
          <w:color w:val="000000"/>
          <w:spacing w:val="0"/>
          <w:sz w:val="20"/>
        </w:rPr>
        <w:t>3. Capital Structure: Class A Redeemable Preferred Stock (Temporary Equity)</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 w:hAnsi="Times New Roman"/>
          <w:sz w:val="20"/>
        </w:rPr>
      </w:pPr>
      <w:r>
        <w:rPr>
          <w:rFonts w:ascii="Times New Roman;serif" w:hAnsi="Times New Roman;serif"/>
          <w:sz w:val="20"/>
        </w:rPr>
        <w:t>On July 18, 2025, following Board authorization on June 20, 2025, filing of the Certificate of Designation on June 24, 2025, and Nasdaq Corporate Data Operations approval on July 11, 2025 (the record date),</w:t>
      </w:r>
      <w:r>
        <w:rPr>
          <w:rFonts w:ascii="Times New Roman" w:hAnsi="Times New Roman"/>
          <w:sz w:val="20"/>
        </w:rPr>
        <w:t xml:space="preserve">  the Company issued 2,069,065 shares of its Class A Redeemable Preferred Stock as a </w:t>
      </w:r>
      <w:bookmarkStart w:id="182" w:name="fs_684VP74AO000000000000000000000fs"/>
      <w:bookmarkEnd w:id="182"/>
      <w:r>
        <w:rPr>
          <w:rFonts w:ascii="Times New Roman" w:hAnsi="Times New Roman"/>
          <w:sz w:val="20"/>
        </w:rPr>
        <w:t>one-time special stock dividend (</w:t>
      </w:r>
      <w:bookmarkStart w:id="183" w:name="fs_E6PTTCP77K00000000000000000000fs"/>
      <w:bookmarkEnd w:id="183"/>
      <w:r>
        <w:rPr>
          <w:rFonts w:ascii="Times New Roman" w:hAnsi="Times New Roman"/>
          <w:sz w:val="20"/>
        </w:rPr>
        <w:t xml:space="preserve">one Class A share for each common share and common stock equivalent outstanding as of the record date); 2,069,066 shares </w:t>
      </w:r>
      <w:r>
        <w:rPr>
          <w:rFonts w:ascii="Times New Roman;serif" w:hAnsi="Times New Roman;serif"/>
          <w:sz w:val="20"/>
        </w:rPr>
        <w:t>are authorized and</w:t>
      </w:r>
      <w:r>
        <w:rPr>
          <w:rFonts w:ascii="Times New Roman" w:hAnsi="Times New Roman"/>
          <w:sz w:val="20"/>
        </w:rPr>
        <w:t> 2,069,065 were issued and outstanding as of September 30, 2025. </w:t>
      </w:r>
      <w:r>
        <w:rPr>
          <w:rFonts w:ascii="Times New Roman;serif" w:hAnsi="Times New Roman;serif"/>
          <w:sz w:val="20"/>
        </w:rPr>
        <w:t>Under the Certificate of Designation, the Class A shares are mandatorily redeemable upon an Asset Sale for</w:t>
      </w:r>
      <w:r>
        <w:rPr>
          <w:rFonts w:ascii="Times New Roman" w:hAnsi="Times New Roman"/>
          <w:sz w:val="20"/>
        </w:rPr>
        <w:t xml:space="preserve"> 100% </w:t>
      </w:r>
      <w:r>
        <w:rPr>
          <w:rFonts w:ascii="Times New Roman;serif" w:hAnsi="Times New Roman;serif"/>
          <w:sz w:val="20"/>
        </w:rPr>
        <w:t xml:space="preserve">of the net proceeds as defined therein; accordingly, the Class A is presented in temporary equity (mezzanine) in accordance with ASC </w:t>
      </w:r>
      <w:bookmarkStart w:id="184" w:name="fs_4M9O8W9EVK00000000000000000000fs"/>
      <w:bookmarkEnd w:id="184"/>
      <w:r>
        <w:rPr>
          <w:rFonts w:ascii="Times New Roman;serif" w:hAnsi="Times New Roman;serif"/>
          <w:sz w:val="20"/>
        </w:rPr>
        <w:t>480-10-S</w:t>
      </w:r>
      <w:bookmarkStart w:id="185" w:name="fs_FS2HIDEHFK00000000000000000000fs"/>
      <w:bookmarkEnd w:id="185"/>
      <w:r>
        <w:rPr>
          <w:rFonts w:ascii="Times New Roman;serif" w:hAnsi="Times New Roman;serif"/>
          <w:sz w:val="20"/>
        </w:rPr>
        <w:t>99. As of </w:t>
      </w:r>
      <w:bookmarkStart w:id="186" w:name="fs_ZS8N8W7QRK00000000000000000000FM"/>
      <w:bookmarkEnd w:id="186"/>
      <w:r>
        <w:rPr>
          <w:rFonts w:ascii="Times New Roman;serif" w:hAnsi="Times New Roman;serif"/>
          <w:sz w:val="20"/>
        </w:rPr>
        <w:t xml:space="preserve">September 30, 2025, the Company recorded the fair value of the Series A preferred stock as its expected redemption amount (based on anticipated proceeds of a qualifying asset sale after payment of other liabilities). The Class A is a participating security only in the liquidation of sale proceeds and does not receive dividends other than redemption; therefore it is excluded from diluted EPS as anti-dilutive for the periods presented. As of </w:t>
      </w:r>
      <w:bookmarkStart w:id="187" w:name="fs_HKGXZP2V9C00000000000000000000FM"/>
      <w:bookmarkEnd w:id="187"/>
      <w:r>
        <w:rPr>
          <w:rFonts w:ascii="Times New Roman;serif" w:hAnsi="Times New Roman;serif"/>
          <w:sz w:val="20"/>
        </w:rPr>
        <w:t xml:space="preserve">September 30, 2025, the Asset Sale was probable and estimable at $3.0 million, </w:t>
      </w:r>
      <w:r>
        <w:rPr>
          <w:rFonts w:ascii="times new roman;times" w:hAnsi="times new roman;times"/>
          <w:sz w:val="20"/>
        </w:rPr>
        <w:t>and the Company recorded $756 as Preferred stock Class A redeemable preferred stock in temporary equity and a reduction to retained earnings. The ultimate redemption amount will equal the actual net proceeds received</w:t>
      </w:r>
      <w:r>
        <w:rPr>
          <w:rFonts w:ascii="Times New Roman;serif" w:hAnsi="Times New Roman;serif"/>
          <w:sz w:val="20"/>
        </w:rPr>
        <w:t xml:space="preserve">. See Note </w:t>
      </w:r>
      <w:bookmarkStart w:id="188" w:name="fs_GM0EY54YVK00000000000000000000fs"/>
      <w:bookmarkEnd w:id="188"/>
      <w:r>
        <w:rPr>
          <w:rFonts w:ascii="Times New Roman;serif" w:hAnsi="Times New Roman;serif"/>
          <w:sz w:val="20"/>
        </w:rPr>
        <w:t xml:space="preserve">2 — Discontinued Operations and Assets Held for Sale and Note </w:t>
      </w:r>
      <w:bookmarkStart w:id="189" w:name="fs_JLYX5O5RUO00000000000000000000fs"/>
      <w:bookmarkEnd w:id="189"/>
      <w:r>
        <w:rPr>
          <w:rFonts w:ascii="Times New Roman;serif" w:hAnsi="Times New Roman;serif"/>
          <w:sz w:val="20"/>
        </w:rPr>
        <w:t>16 for additional information regarding the asset sale and redemption mechanics</w:t>
      </w:r>
      <w:r>
        <w:rPr>
          <w:rFonts w:ascii="Times New Roman" w:hAnsi="Times New Roman"/>
          <w:sz w:val="20"/>
        </w:rPr>
        <w:t>.</w:t>
      </w:r>
    </w:p>
    <w:tbl>
      <w:tblPr>
        <w:tblW w:w="7445" w:type="dxa"/>
        <w:jc w:val="left"/>
        <w:tblInd w:w="0" w:type="dxa"/>
        <w:tblLayout w:type="fixed"/>
        <w:tblCellMar>
          <w:top w:w="0" w:type="dxa"/>
          <w:left w:w="0" w:type="dxa"/>
          <w:bottom w:w="0" w:type="dxa"/>
          <w:right w:w="0" w:type="dxa"/>
        </w:tblCellMar>
      </w:tblPr>
      <w:tblGrid>
        <w:gridCol w:w="4891"/>
        <w:gridCol w:w="109"/>
        <w:gridCol w:w="256"/>
        <w:gridCol w:w="886"/>
        <w:gridCol w:w="109"/>
        <w:gridCol w:w="109"/>
        <w:gridCol w:w="931"/>
        <w:gridCol w:w="154"/>
      </w:tblGrid>
      <w:tr>
        <w:trPr/>
        <w:tc>
          <w:tcPr>
            <w:tcW w:w="4891" w:type="dxa"/>
            <w:tcBorders/>
            <w:vAlign w:val="bottom"/>
          </w:tcPr>
          <w:p>
            <w:pPr>
              <w:pStyle w:val="TableContents"/>
              <w:bidi w:val="0"/>
              <w:spacing w:before="0" w:after="0"/>
              <w:ind w:left="0" w:right="0" w:hanging="0"/>
              <w:jc w:val="left"/>
              <w:rPr>
                <w:rFonts w:ascii="times new roman;times" w:hAnsi="times new roman;times"/>
                <w:b/>
                <w:sz w:val="20"/>
              </w:rPr>
            </w:pPr>
            <w:r>
              <w:rPr>
                <w:rFonts w:ascii="times new roman;times" w:hAnsi="times new roman;times"/>
                <w:b/>
                <w:sz w:val="20"/>
              </w:rPr>
              <w:t xml:space="preserve">Temporary equity — Class A Redeemable Preferred </w:t>
            </w:r>
          </w:p>
        </w:tc>
        <w:tc>
          <w:tcPr>
            <w:tcW w:w="109" w:type="dxa"/>
            <w:tcBorders/>
            <w:vAlign w:val="bottom"/>
          </w:tcPr>
          <w:p>
            <w:pPr>
              <w:pStyle w:val="TableContents"/>
              <w:bidi w:val="0"/>
              <w:spacing w:before="0" w:after="283"/>
              <w:ind w:left="0" w:right="0" w:hanging="0"/>
              <w:jc w:val="left"/>
              <w:rPr/>
            </w:pPr>
            <w:r>
              <w:rPr/>
            </w:r>
          </w:p>
        </w:tc>
        <w:tc>
          <w:tcPr>
            <w:tcW w:w="256" w:type="dxa"/>
            <w:tcBorders/>
            <w:vAlign w:val="bottom"/>
          </w:tcPr>
          <w:p>
            <w:pPr>
              <w:pStyle w:val="TableContents"/>
              <w:bidi w:val="0"/>
              <w:spacing w:before="0" w:after="283"/>
              <w:ind w:left="0" w:right="0" w:hanging="0"/>
              <w:jc w:val="left"/>
              <w:rPr/>
            </w:pPr>
            <w:r>
              <w:rPr/>
            </w:r>
          </w:p>
        </w:tc>
        <w:tc>
          <w:tcPr>
            <w:tcW w:w="886" w:type="dxa"/>
            <w:tcBorders/>
            <w:vAlign w:val="bottom"/>
          </w:tcPr>
          <w:p>
            <w:pPr>
              <w:pStyle w:val="TableContents"/>
              <w:bidi w:val="0"/>
              <w:spacing w:before="0" w:after="283"/>
              <w:ind w:left="0" w:right="0" w:hanging="0"/>
              <w:jc w:val="left"/>
              <w:rPr/>
            </w:pPr>
            <w:r>
              <w:rPr/>
            </w:r>
          </w:p>
        </w:tc>
        <w:tc>
          <w:tcPr>
            <w:tcW w:w="109" w:type="dxa"/>
            <w:tcBorders/>
            <w:vAlign w:val="center"/>
          </w:tcPr>
          <w:p>
            <w:pPr>
              <w:pStyle w:val="TableContents"/>
              <w:bidi w:val="0"/>
              <w:spacing w:before="0" w:after="283"/>
              <w:ind w:left="0" w:right="0" w:hanging="0"/>
              <w:jc w:val="left"/>
              <w:rPr/>
            </w:pPr>
            <w:r>
              <w:rPr/>
            </w:r>
          </w:p>
        </w:tc>
        <w:tc>
          <w:tcPr>
            <w:tcW w:w="109" w:type="dxa"/>
            <w:tcBorders/>
            <w:vAlign w:val="center"/>
          </w:tcPr>
          <w:p>
            <w:pPr>
              <w:pStyle w:val="TableContents"/>
              <w:bidi w:val="0"/>
              <w:spacing w:before="0" w:after="283"/>
              <w:ind w:left="0" w:right="0" w:hanging="0"/>
              <w:jc w:val="left"/>
              <w:rPr/>
            </w:pPr>
            <w:r>
              <w:rPr/>
            </w:r>
          </w:p>
        </w:tc>
        <w:tc>
          <w:tcPr>
            <w:tcW w:w="931" w:type="dxa"/>
            <w:tcBorders/>
            <w:vAlign w:val="bottom"/>
          </w:tcPr>
          <w:p>
            <w:pPr>
              <w:pStyle w:val="TableContents"/>
              <w:bidi w:val="0"/>
              <w:spacing w:before="0" w:after="283"/>
              <w:ind w:left="0" w:right="0" w:hanging="0"/>
              <w:jc w:val="left"/>
              <w:rPr/>
            </w:pPr>
            <w:r>
              <w:rPr/>
            </w:r>
          </w:p>
        </w:tc>
        <w:tc>
          <w:tcPr>
            <w:tcW w:w="154" w:type="dxa"/>
            <w:tcBorders/>
            <w:vAlign w:val="center"/>
          </w:tcPr>
          <w:p>
            <w:pPr>
              <w:pStyle w:val="TableContents"/>
              <w:bidi w:val="0"/>
              <w:spacing w:before="0" w:after="283"/>
              <w:ind w:left="0" w:right="0" w:hanging="0"/>
              <w:jc w:val="left"/>
              <w:rPr/>
            </w:pPr>
            <w:r>
              <w:rPr/>
            </w:r>
          </w:p>
        </w:tc>
      </w:tr>
      <w:tr>
        <w:trPr/>
        <w:tc>
          <w:tcPr>
            <w:tcW w:w="4891" w:type="dxa"/>
            <w:tcBorders/>
            <w:vAlign w:val="bottom"/>
          </w:tcPr>
          <w:p>
            <w:pPr>
              <w:pStyle w:val="TableContents"/>
              <w:bidi w:val="0"/>
              <w:spacing w:before="0" w:after="0"/>
              <w:ind w:left="0" w:right="0" w:hanging="0"/>
              <w:jc w:val="left"/>
              <w:rPr>
                <w:rFonts w:ascii="times new roman;times" w:hAnsi="times new roman;times"/>
                <w:b/>
                <w:sz w:val="20"/>
              </w:rPr>
            </w:pPr>
            <w:r>
              <w:rPr>
                <w:rFonts w:ascii="times new roman;times" w:hAnsi="times new roman;times"/>
                <w:b/>
                <w:sz w:val="20"/>
              </w:rPr>
              <w:t xml:space="preserve">(dollars in thousands, shares in whole amounts) </w:t>
            </w:r>
          </w:p>
        </w:tc>
        <w:tc>
          <w:tcPr>
            <w:tcW w:w="109" w:type="dxa"/>
            <w:tcBorders/>
            <w:vAlign w:val="bottom"/>
          </w:tcPr>
          <w:p>
            <w:pPr>
              <w:pStyle w:val="TableContents"/>
              <w:bidi w:val="0"/>
              <w:spacing w:before="0" w:after="283"/>
              <w:ind w:left="0" w:right="0" w:hanging="0"/>
              <w:jc w:val="left"/>
              <w:rPr/>
            </w:pPr>
            <w:r>
              <w:rPr/>
            </w:r>
          </w:p>
        </w:tc>
        <w:tc>
          <w:tcPr>
            <w:tcW w:w="256" w:type="dxa"/>
            <w:tcBorders/>
            <w:vAlign w:val="bottom"/>
          </w:tcPr>
          <w:p>
            <w:pPr>
              <w:pStyle w:val="TableContents"/>
              <w:bidi w:val="0"/>
              <w:spacing w:before="0" w:after="283"/>
              <w:ind w:left="0" w:right="0" w:hanging="0"/>
              <w:jc w:val="left"/>
              <w:rPr/>
            </w:pPr>
            <w:r>
              <w:rPr/>
            </w:r>
          </w:p>
        </w:tc>
        <w:tc>
          <w:tcPr>
            <w:tcW w:w="886" w:type="dxa"/>
            <w:tcBorders/>
            <w:vAlign w:val="bottom"/>
          </w:tcPr>
          <w:p>
            <w:pPr>
              <w:pStyle w:val="TableContents"/>
              <w:bidi w:val="0"/>
              <w:spacing w:before="0" w:after="0"/>
              <w:ind w:left="0" w:right="0" w:hanging="0"/>
              <w:jc w:val="center"/>
              <w:rPr/>
            </w:pPr>
            <w:r>
              <w:rPr/>
              <w:t> </w:t>
            </w:r>
            <w:r>
              <w:rPr>
                <w:rFonts w:ascii="times new roman;times" w:hAnsi="times new roman;times"/>
                <w:b/>
                <w:sz w:val="20"/>
              </w:rPr>
              <w:t xml:space="preserve">Amount </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931" w:type="dxa"/>
            <w:tcBorders/>
            <w:vAlign w:val="bottom"/>
          </w:tcPr>
          <w:p>
            <w:pPr>
              <w:pStyle w:val="TableContents"/>
              <w:bidi w:val="0"/>
              <w:spacing w:before="0" w:after="0"/>
              <w:ind w:left="0" w:right="0" w:hanging="0"/>
              <w:jc w:val="center"/>
              <w:rPr/>
            </w:pPr>
            <w:r>
              <w:rPr/>
              <w:t> </w:t>
            </w:r>
            <w:r>
              <w:rPr>
                <w:rFonts w:ascii="times new roman;times" w:hAnsi="times new roman;times"/>
                <w:b/>
                <w:sz w:val="20"/>
              </w:rPr>
              <w:t xml:space="preserve">Shares </w:t>
            </w:r>
          </w:p>
        </w:tc>
        <w:tc>
          <w:tcPr>
            <w:tcW w:w="154" w:type="dxa"/>
            <w:tcBorders/>
            <w:vAlign w:val="center"/>
          </w:tcPr>
          <w:p>
            <w:pPr>
              <w:pStyle w:val="TableContents"/>
              <w:bidi w:val="0"/>
              <w:spacing w:before="0" w:after="283"/>
              <w:ind w:left="0" w:right="0" w:hanging="0"/>
              <w:jc w:val="left"/>
              <w:rPr/>
            </w:pPr>
            <w:r>
              <w:rPr/>
            </w:r>
          </w:p>
        </w:tc>
      </w:tr>
      <w:tr>
        <w:trPr/>
        <w:tc>
          <w:tcPr>
            <w:tcW w:w="4891" w:type="dxa"/>
            <w:tcBorders/>
            <w:shd w:fill="CCEEFF" w:val="clear"/>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Beginning balance, July 1, 2025 </w:t>
            </w:r>
          </w:p>
        </w:tc>
        <w:tc>
          <w:tcPr>
            <w:tcW w:w="109" w:type="dxa"/>
            <w:tcBorders/>
            <w:shd w:fill="CCEEFF" w:val="clear"/>
            <w:vAlign w:val="bottom"/>
          </w:tcPr>
          <w:p>
            <w:pPr>
              <w:pStyle w:val="TableContents"/>
              <w:bidi w:val="0"/>
              <w:spacing w:before="0" w:after="283"/>
              <w:ind w:left="0" w:right="0" w:hanging="0"/>
              <w:jc w:val="left"/>
              <w:rPr/>
            </w:pPr>
            <w:r>
              <w:rPr/>
            </w:r>
          </w:p>
        </w:tc>
        <w:tc>
          <w:tcPr>
            <w:tcW w:w="256" w:type="dxa"/>
            <w:tcBorders/>
            <w:shd w:fill="CCEEFF" w:val="clear"/>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886" w:type="dxa"/>
            <w:tcBorders/>
            <w:shd w:fill="CCEEFF" w:val="clear"/>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0</w:t>
            </w:r>
          </w:p>
        </w:tc>
        <w:tc>
          <w:tcPr>
            <w:tcW w:w="109" w:type="dxa"/>
            <w:tcBorders/>
            <w:shd w:fill="CCEEFF" w:val="clear"/>
            <w:vAlign w:val="center"/>
          </w:tcPr>
          <w:p>
            <w:pPr>
              <w:pStyle w:val="TableContents"/>
              <w:bidi w:val="0"/>
              <w:spacing w:before="0" w:after="283"/>
              <w:ind w:left="0" w:right="0" w:hanging="0"/>
              <w:jc w:val="left"/>
              <w:rPr/>
            </w:pPr>
            <w:r>
              <w:rPr/>
            </w:r>
          </w:p>
        </w:tc>
        <w:tc>
          <w:tcPr>
            <w:tcW w:w="109" w:type="dxa"/>
            <w:tcBorders/>
            <w:shd w:fill="CCEEFF" w:val="clear"/>
            <w:vAlign w:val="center"/>
          </w:tcPr>
          <w:p>
            <w:pPr>
              <w:pStyle w:val="TableContents"/>
              <w:bidi w:val="0"/>
              <w:spacing w:before="0" w:after="283"/>
              <w:ind w:left="0" w:right="0" w:hanging="0"/>
              <w:jc w:val="left"/>
              <w:rPr/>
            </w:pPr>
            <w:r>
              <w:rPr/>
            </w:r>
          </w:p>
        </w:tc>
        <w:tc>
          <w:tcPr>
            <w:tcW w:w="931" w:type="dxa"/>
            <w:tcBorders/>
            <w:shd w:fill="CCEEFF" w:val="clear"/>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0</w:t>
            </w:r>
          </w:p>
        </w:tc>
        <w:tc>
          <w:tcPr>
            <w:tcW w:w="154" w:type="dxa"/>
            <w:tcBorders/>
            <w:shd w:fill="CCEEFF" w:val="clear"/>
            <w:vAlign w:val="center"/>
          </w:tcPr>
          <w:p>
            <w:pPr>
              <w:pStyle w:val="TableContents"/>
              <w:bidi w:val="0"/>
              <w:spacing w:before="0" w:after="283"/>
              <w:ind w:left="0" w:right="0" w:hanging="0"/>
              <w:jc w:val="left"/>
              <w:rPr/>
            </w:pPr>
            <w:r>
              <w:rPr/>
            </w:r>
          </w:p>
        </w:tc>
      </w:tr>
      <w:tr>
        <w:trPr/>
        <w:tc>
          <w:tcPr>
            <w:tcW w:w="4891" w:type="dxa"/>
            <w:tcBorders/>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Issuance via special stock dividend, par value (7/18/2025) </w:t>
            </w:r>
          </w:p>
        </w:tc>
        <w:tc>
          <w:tcPr>
            <w:tcW w:w="109" w:type="dxa"/>
            <w:tcBorders/>
            <w:vAlign w:val="bottom"/>
          </w:tcPr>
          <w:p>
            <w:pPr>
              <w:pStyle w:val="TableContents"/>
              <w:bidi w:val="0"/>
              <w:spacing w:before="0" w:after="283"/>
              <w:ind w:left="0" w:right="0" w:hanging="0"/>
              <w:jc w:val="left"/>
              <w:rPr/>
            </w:pPr>
            <w:r>
              <w:rPr/>
            </w:r>
          </w:p>
        </w:tc>
        <w:tc>
          <w:tcPr>
            <w:tcW w:w="256" w:type="dxa"/>
            <w:tcBorders/>
            <w:vAlign w:val="bottom"/>
          </w:tcPr>
          <w:p>
            <w:pPr>
              <w:pStyle w:val="TableContents"/>
              <w:bidi w:val="0"/>
              <w:spacing w:before="0" w:after="283"/>
              <w:ind w:left="0" w:right="0" w:hanging="0"/>
              <w:jc w:val="left"/>
              <w:rPr/>
            </w:pPr>
            <w:r>
              <w:rPr/>
            </w:r>
          </w:p>
        </w:tc>
        <w:tc>
          <w:tcPr>
            <w:tcW w:w="886" w:type="dxa"/>
            <w:tcBorders/>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2</w:t>
            </w:r>
          </w:p>
        </w:tc>
        <w:tc>
          <w:tcPr>
            <w:tcW w:w="109" w:type="dxa"/>
            <w:tcBorders/>
            <w:vAlign w:val="center"/>
          </w:tcPr>
          <w:p>
            <w:pPr>
              <w:pStyle w:val="TableContents"/>
              <w:bidi w:val="0"/>
              <w:spacing w:before="0" w:after="283"/>
              <w:ind w:left="0" w:right="0" w:hanging="0"/>
              <w:jc w:val="left"/>
              <w:rPr/>
            </w:pPr>
            <w:r>
              <w:rPr/>
            </w:r>
          </w:p>
        </w:tc>
        <w:tc>
          <w:tcPr>
            <w:tcW w:w="109" w:type="dxa"/>
            <w:tcBorders/>
            <w:vAlign w:val="center"/>
          </w:tcPr>
          <w:p>
            <w:pPr>
              <w:pStyle w:val="TableContents"/>
              <w:bidi w:val="0"/>
              <w:spacing w:before="0" w:after="283"/>
              <w:ind w:left="0" w:right="0" w:hanging="0"/>
              <w:jc w:val="left"/>
              <w:rPr/>
            </w:pPr>
            <w:r>
              <w:rPr/>
            </w:r>
          </w:p>
        </w:tc>
        <w:tc>
          <w:tcPr>
            <w:tcW w:w="931" w:type="dxa"/>
            <w:tcBorders/>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2,069,065</w:t>
            </w:r>
          </w:p>
        </w:tc>
        <w:tc>
          <w:tcPr>
            <w:tcW w:w="154" w:type="dxa"/>
            <w:tcBorders/>
            <w:vAlign w:val="center"/>
          </w:tcPr>
          <w:p>
            <w:pPr>
              <w:pStyle w:val="TableContents"/>
              <w:bidi w:val="0"/>
              <w:spacing w:before="0" w:after="283"/>
              <w:ind w:left="0" w:right="0" w:hanging="0"/>
              <w:jc w:val="left"/>
              <w:rPr/>
            </w:pPr>
            <w:r>
              <w:rPr/>
            </w:r>
          </w:p>
        </w:tc>
      </w:tr>
      <w:tr>
        <w:trPr/>
        <w:tc>
          <w:tcPr>
            <w:tcW w:w="4891" w:type="dxa"/>
            <w:tcBorders/>
            <w:shd w:fill="CCEEFF" w:val="clear"/>
            <w:vAlign w:val="center"/>
          </w:tcPr>
          <w:p>
            <w:pPr>
              <w:pStyle w:val="TableContents"/>
              <w:bidi w:val="0"/>
              <w:spacing w:before="0" w:after="0"/>
              <w:ind w:left="0" w:right="0" w:hanging="0"/>
              <w:jc w:val="left"/>
              <w:rPr/>
            </w:pPr>
            <w:r>
              <w:rPr/>
              <w:t>Record temporary equity at fair value</w:t>
            </w:r>
          </w:p>
        </w:tc>
        <w:tc>
          <w:tcPr>
            <w:tcW w:w="109" w:type="dxa"/>
            <w:tcBorders/>
            <w:shd w:fill="CCEEFF" w:val="clear"/>
            <w:vAlign w:val="center"/>
          </w:tcPr>
          <w:p>
            <w:pPr>
              <w:pStyle w:val="TableContents"/>
              <w:bidi w:val="0"/>
              <w:spacing w:before="0" w:after="283"/>
              <w:ind w:left="0" w:right="0" w:hanging="0"/>
              <w:jc w:val="left"/>
              <w:rPr/>
            </w:pPr>
            <w:r>
              <w:rPr/>
            </w:r>
          </w:p>
        </w:tc>
        <w:tc>
          <w:tcPr>
            <w:tcW w:w="256" w:type="dxa"/>
            <w:tcBorders/>
            <w:shd w:fill="CCEEFF" w:val="clear"/>
            <w:vAlign w:val="center"/>
          </w:tcPr>
          <w:p>
            <w:pPr>
              <w:pStyle w:val="TableContents"/>
              <w:bidi w:val="0"/>
              <w:spacing w:before="0" w:after="283"/>
              <w:ind w:left="0" w:right="0" w:hanging="0"/>
              <w:jc w:val="left"/>
              <w:rPr/>
            </w:pPr>
            <w:r>
              <w:rPr/>
            </w:r>
          </w:p>
        </w:tc>
        <w:tc>
          <w:tcPr>
            <w:tcW w:w="886" w:type="dxa"/>
            <w:tcBorders/>
            <w:shd w:fill="CCEEFF" w:val="clear"/>
            <w:vAlign w:val="center"/>
          </w:tcPr>
          <w:p>
            <w:pPr>
              <w:pStyle w:val="TableContents"/>
              <w:bidi w:val="0"/>
              <w:spacing w:before="0" w:after="0"/>
              <w:ind w:left="0" w:right="0" w:hanging="0"/>
              <w:jc w:val="right"/>
              <w:rPr/>
            </w:pPr>
            <w:r>
              <w:rPr/>
              <w:t>756</w:t>
            </w:r>
          </w:p>
        </w:tc>
        <w:tc>
          <w:tcPr>
            <w:tcW w:w="109" w:type="dxa"/>
            <w:tcBorders/>
            <w:shd w:fill="CCEEFF" w:val="clear"/>
            <w:vAlign w:val="center"/>
          </w:tcPr>
          <w:p>
            <w:pPr>
              <w:pStyle w:val="TableContents"/>
              <w:bidi w:val="0"/>
              <w:spacing w:before="0" w:after="283"/>
              <w:ind w:left="0" w:right="0" w:hanging="0"/>
              <w:jc w:val="left"/>
              <w:rPr/>
            </w:pPr>
            <w:r>
              <w:rPr/>
            </w:r>
          </w:p>
        </w:tc>
        <w:tc>
          <w:tcPr>
            <w:tcW w:w="109" w:type="dxa"/>
            <w:tcBorders/>
            <w:shd w:fill="CCEEFF" w:val="clear"/>
            <w:vAlign w:val="center"/>
          </w:tcPr>
          <w:p>
            <w:pPr>
              <w:pStyle w:val="TableContents"/>
              <w:bidi w:val="0"/>
              <w:spacing w:before="0" w:after="283"/>
              <w:ind w:left="0" w:right="0" w:hanging="0"/>
              <w:jc w:val="left"/>
              <w:rPr/>
            </w:pPr>
            <w:r>
              <w:rPr/>
            </w:r>
          </w:p>
        </w:tc>
        <w:tc>
          <w:tcPr>
            <w:tcW w:w="931" w:type="dxa"/>
            <w:tcBorders/>
            <w:shd w:fill="CCEEFF" w:val="clear"/>
            <w:vAlign w:val="center"/>
          </w:tcPr>
          <w:p>
            <w:pPr>
              <w:pStyle w:val="TableContents"/>
              <w:bidi w:val="0"/>
              <w:spacing w:before="0" w:after="0"/>
              <w:ind w:left="0" w:right="0" w:hanging="0"/>
              <w:jc w:val="right"/>
              <w:rPr/>
            </w:pPr>
            <w:r>
              <w:rPr/>
              <w:t>0</w:t>
            </w:r>
          </w:p>
        </w:tc>
        <w:tc>
          <w:tcPr>
            <w:tcW w:w="154" w:type="dxa"/>
            <w:tcBorders/>
            <w:shd w:fill="CCEEFF" w:val="clear"/>
            <w:vAlign w:val="center"/>
          </w:tcPr>
          <w:p>
            <w:pPr>
              <w:pStyle w:val="TableContents"/>
              <w:bidi w:val="0"/>
              <w:spacing w:before="0" w:after="283"/>
              <w:ind w:left="0" w:right="0" w:hanging="0"/>
              <w:jc w:val="left"/>
              <w:rPr/>
            </w:pPr>
            <w:r>
              <w:rPr/>
            </w:r>
          </w:p>
        </w:tc>
      </w:tr>
      <w:tr>
        <w:trPr/>
        <w:tc>
          <w:tcPr>
            <w:tcW w:w="4891" w:type="dxa"/>
            <w:tcBorders/>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Ending balance, September 30, 2025 </w:t>
            </w:r>
          </w:p>
        </w:tc>
        <w:tc>
          <w:tcPr>
            <w:tcW w:w="109" w:type="dxa"/>
            <w:tcBorders/>
            <w:vAlign w:val="bottom"/>
          </w:tcPr>
          <w:p>
            <w:pPr>
              <w:pStyle w:val="TableContents"/>
              <w:bidi w:val="0"/>
              <w:spacing w:before="0" w:after="283"/>
              <w:ind w:left="0" w:right="0" w:hanging="0"/>
              <w:jc w:val="left"/>
              <w:rPr/>
            </w:pPr>
            <w:r>
              <w:rPr/>
            </w:r>
          </w:p>
        </w:tc>
        <w:tc>
          <w:tcPr>
            <w:tcW w:w="256" w:type="dxa"/>
            <w:tcBorders/>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886" w:type="dxa"/>
            <w:tcBorders/>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758</w:t>
            </w:r>
          </w:p>
        </w:tc>
        <w:tc>
          <w:tcPr>
            <w:tcW w:w="109" w:type="dxa"/>
            <w:tcBorders/>
            <w:vAlign w:val="center"/>
          </w:tcPr>
          <w:p>
            <w:pPr>
              <w:pStyle w:val="TableContents"/>
              <w:bidi w:val="0"/>
              <w:spacing w:before="0" w:after="283"/>
              <w:ind w:left="0" w:right="0" w:hanging="0"/>
              <w:jc w:val="left"/>
              <w:rPr/>
            </w:pPr>
            <w:r>
              <w:rPr/>
            </w:r>
          </w:p>
        </w:tc>
        <w:tc>
          <w:tcPr>
            <w:tcW w:w="109" w:type="dxa"/>
            <w:tcBorders/>
            <w:vAlign w:val="center"/>
          </w:tcPr>
          <w:p>
            <w:pPr>
              <w:pStyle w:val="TableContents"/>
              <w:bidi w:val="0"/>
              <w:spacing w:before="0" w:after="283"/>
              <w:ind w:left="0" w:right="0" w:hanging="0"/>
              <w:jc w:val="left"/>
              <w:rPr/>
            </w:pPr>
            <w:r>
              <w:rPr/>
            </w:r>
          </w:p>
        </w:tc>
        <w:tc>
          <w:tcPr>
            <w:tcW w:w="931" w:type="dxa"/>
            <w:tcBorders/>
            <w:vAlign w:val="bottom"/>
          </w:tcPr>
          <w:p>
            <w:pPr>
              <w:pStyle w:val="TableContents"/>
              <w:widowControl/>
              <w:bidi w:val="0"/>
              <w:spacing w:before="0" w:after="0"/>
              <w:ind w:left="0" w:right="0" w:hanging="0"/>
              <w:jc w:val="right"/>
              <w:rPr>
                <w:rFonts w:ascii="times new roman;times" w:hAnsi="times new roman;times"/>
                <w:b w:val="false"/>
                <w:color w:val="000000"/>
                <w:spacing w:val="0"/>
                <w:sz w:val="20"/>
              </w:rPr>
            </w:pPr>
            <w:r>
              <w:rPr>
                <w:rFonts w:ascii="times new roman;times" w:hAnsi="times new roman;times"/>
                <w:b w:val="false"/>
                <w:color w:val="000000"/>
                <w:spacing w:val="0"/>
                <w:sz w:val="20"/>
              </w:rPr>
              <w:t>2,069,065</w:t>
            </w:r>
          </w:p>
        </w:tc>
        <w:tc>
          <w:tcPr>
            <w:tcW w:w="154" w:type="dxa"/>
            <w:tcBorders/>
            <w:vAlign w:val="center"/>
          </w:tcPr>
          <w:p>
            <w:pPr>
              <w:pStyle w:val="TableContents"/>
              <w:bidi w:val="0"/>
              <w:spacing w:before="0" w:after="283"/>
              <w:jc w:val="left"/>
              <w:rPr/>
            </w:pPr>
            <w:r>
              <w:rPr/>
            </w:r>
          </w:p>
        </w:tc>
      </w:tr>
    </w:tbl>
    <w:p>
      <w:pPr>
        <w:pStyle w:val="TextBody"/>
        <w:bidi w:val="0"/>
        <w:spacing w:lineRule="auto" w:line="288" w:before="0" w:after="0"/>
        <w:ind w:left="0" w:right="0" w:hanging="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bookmarkStart w:id="190" w:name="PageBreakNo11"/>
            <w:bookmarkEnd w:id="190"/>
            <w:r>
              <w:rPr>
                <w:sz w:val="20"/>
              </w:rPr>
              <w:t>11</w:t>
            </w:r>
          </w:p>
        </w:tc>
      </w:tr>
    </w:tbl>
    <w:p>
      <w:pPr>
        <w:pStyle w:val="TextBody"/>
        <w:bidi w:val="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 w:hAnsi="times new roman;times"/>
            <w:sz w:val="20"/>
          </w:rPr>
          <w:t>Table of Contents</w:t>
        </w:r>
      </w:hyperlink>
    </w:p>
    <w:p>
      <w:pPr>
        <w:pStyle w:val="TextBody"/>
        <w:widowControl/>
        <w:bidi w:val="0"/>
        <w:spacing w:before="0" w:after="0"/>
        <w:ind w:left="0" w:right="0" w:hanging="0"/>
        <w:jc w:val="left"/>
        <w:rPr/>
      </w:pPr>
      <w:r>
        <w:rPr/>
      </w:r>
    </w:p>
    <w:p>
      <w:pPr>
        <w:pStyle w:val="TextBody"/>
        <w:widowControl/>
        <w:bidi w:val="0"/>
        <w:spacing w:before="0" w:after="0"/>
        <w:ind w:left="0" w:right="0" w:hanging="0"/>
        <w:jc w:val="lef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UNAUDITED NOTES TO CONDENSED CONSOLIDATED FINANCIAL STATEMENTS</w:t>
      </w:r>
    </w:p>
    <w:p>
      <w:pPr>
        <w:pStyle w:val="TextBody"/>
        <w:widowControl/>
        <w:bidi w:val="0"/>
        <w:spacing w:before="0" w:after="0"/>
        <w:ind w:left="144" w:right="144"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(Unaudited - Dollars in thousands, except per share amounts)</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b/>
          <w:sz w:val="20"/>
        </w:rPr>
      </w:pPr>
      <w:r>
        <w:rPr>
          <w:rFonts w:ascii="times new roman;times" w:hAnsi="times new roman;times"/>
          <w:b/>
          <w:sz w:val="20"/>
        </w:rPr>
        <w:t xml:space="preserve">4.  Debt and Equity: Conversion of Convertible Note </w:t>
      </w:r>
    </w:p>
    <w:p>
      <w:pPr>
        <w:pStyle w:val="TextBody"/>
        <w:bidi w:val="0"/>
        <w:spacing w:lineRule="auto" w:line="288" w:before="200" w:after="0"/>
        <w:ind w:left="0" w:right="0" w:hanging="0"/>
        <w:jc w:val="both"/>
        <w:rPr>
          <w:rFonts w:ascii="Times New Roman" w:hAnsi="Times New Roman"/>
          <w:sz w:val="20"/>
        </w:rPr>
      </w:pPr>
      <w:r>
        <w:rPr>
          <w:rFonts w:ascii="Times New Roman" w:hAnsi="Times New Roman"/>
          <w:sz w:val="20"/>
        </w:rPr>
        <w:t xml:space="preserve">On July 21, 2025, the Company’s $3.0 million convertible note issued on June 20, 2025 to First Finance Ltd. (together with $26 of accrued interest) automatically converted into 3,026 shares of Class B Convertible Preferred Stock pursuant to its original terms. The conversion ratio of 166.44474 common shares per Class B share was determined at issuance based on the Nasdaq closing price and 5-day average closing prices on June 19, 2025 (the trading day immediately preceding execution of the note and purchase agreement) and is fixed (subject only to customary anti-dilution). Because the conversion option is indexed to, and will be settled in, the Company’s own equity, it qualifies for the ASC </w:t>
      </w:r>
      <w:bookmarkStart w:id="191" w:name="fs_X8WKJWEJ7400000000000000000000fs"/>
      <w:bookmarkEnd w:id="191"/>
      <w:r>
        <w:rPr>
          <w:rFonts w:ascii="Times New Roman" w:hAnsi="Times New Roman"/>
          <w:sz w:val="20"/>
        </w:rPr>
        <w:t>815-</w:t>
      </w:r>
      <w:bookmarkStart w:id="192" w:name="fs_L8XIP7QB3K00000000000000000000fs"/>
      <w:bookmarkEnd w:id="192"/>
      <w:r>
        <w:rPr>
          <w:rFonts w:ascii="Times New Roman" w:hAnsi="Times New Roman"/>
          <w:sz w:val="20"/>
        </w:rPr>
        <w:t xml:space="preserve">40 “own-equity” scope exception; accordingly, no derivative liability was recorded and the full conversion amount was recognized in equity, with no gain or loss recognized on conversion. The Company has 5,100 Class B shares authorized and 3,026 issued and outstanding as of </w:t>
      </w:r>
      <w:bookmarkStart w:id="193" w:name="fs_IUMZ5XZ03K00000000000000000000FM"/>
      <w:bookmarkEnd w:id="193"/>
      <w:r>
        <w:rPr>
          <w:rFonts w:ascii="Times New Roman" w:hAnsi="Times New Roman"/>
          <w:sz w:val="20"/>
        </w:rPr>
        <w:t xml:space="preserve">September 30, 2025. This conversion represents a non-cash financing activity and is disclosed in the supplemental cash flow information. Class B Convertible Preferred Stock is convertible into common stock in accordance with its Certificate of Designation filed as Exhibit </w:t>
      </w:r>
      <w:bookmarkStart w:id="194" w:name="fs_WVI59KGRTS00000000000000000000fs"/>
      <w:bookmarkEnd w:id="194"/>
      <w:r>
        <w:rPr>
          <w:rFonts w:ascii="Times New Roman" w:hAnsi="Times New Roman"/>
          <w:sz w:val="20"/>
        </w:rPr>
        <w:t>3.2 to the Company’s Current Report on Form 8-K as filed with the SEC on June 25, 2025</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b/>
          <w:sz w:val="20"/>
        </w:rPr>
      </w:pPr>
      <w:r>
        <w:rPr>
          <w:rFonts w:ascii="times new roman;times" w:hAnsi="times new roman;times"/>
          <w:b/>
          <w:sz w:val="20"/>
        </w:rPr>
        <w:t>5. Warrants Repurchased (and Related Party)</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During September 2025, the Company repurchased and cancelled outstanding warrants from (i) Intracoastal Capital, LLC (6,039 underlying shares) on September 2, 2025 for an aggregate purchase price of $4, (ii) Lind Global Fund II, LP (24,155 underlying shares) on September 10, 2025 for $15, (iii) Edward Dallin Bagley (related party; 18,940 underlying shares) on September 17, 2025 for $12, and (iv) Edward Bryan Bagley (3,788 underlying shares) on September 16, 2025 for $2. The repurchased warrants were cancelled upon settlement and accounted for as equity transactions with no effect on the statement of operations. As of </w:t>
      </w:r>
      <w:bookmarkStart w:id="195" w:name="fs_0GVE8GDCN400000000000000000000FM"/>
      <w:bookmarkEnd w:id="195"/>
      <w:r>
        <w:rPr>
          <w:rFonts w:ascii="times new roman;times" w:hAnsi="times new roman;times"/>
          <w:sz w:val="20"/>
        </w:rPr>
        <w:t xml:space="preserve">September 30, 2025, warrants to purchase an aggregate of 218,887 shares of common stock remained outstanding. The Company did not issue new warrants during the quarter. </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The repurchase price and other terms of the warrants repurchase from Edward Dallin Bagley were approved by the Board of Directors in accordance with the Company’s policy regarding related person transactions. No amounts were outstanding with Mr. Bagley related to these warrants as of </w:t>
      </w:r>
      <w:bookmarkStart w:id="196" w:name="fs_NV7UUCQ37400000000000000000000FM"/>
      <w:bookmarkEnd w:id="196"/>
      <w:r>
        <w:rPr>
          <w:rFonts w:ascii="times new roman;times" w:hAnsi="times new roman;times"/>
          <w:sz w:val="20"/>
        </w:rPr>
        <w:t>September 30, 2025.</w:t>
      </w:r>
    </w:p>
    <w:p>
      <w:pPr>
        <w:pStyle w:val="TextBody"/>
        <w:widowControl/>
        <w:bidi w:val="0"/>
        <w:spacing w:before="0" w:after="0"/>
        <w:ind w:left="144" w:right="144" w:hanging="0"/>
        <w:jc w:val="left"/>
        <w:rPr/>
      </w:pPr>
      <w:r>
        <w:rPr/>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6. Revenue Information</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 xml:space="preserve">The Company recognized no revenue from continuing operations for the three and </w:t>
      </w:r>
      <w:bookmarkStart w:id="197" w:name="fs_SNMR8JDNOG00000000000000000000FM"/>
      <w:bookmarkEnd w:id="197"/>
      <w:r>
        <w:rPr>
          <w:rFonts w:ascii="Times New Roman" w:hAnsi="Times New Roman"/>
          <w:sz w:val="20"/>
        </w:rPr>
        <w:t xml:space="preserve">nine months ended September 30, 2025 and the comparable </w:t>
      </w:r>
      <w:bookmarkStart w:id="198" w:name="fs_QWO5MUP2Z400000000000000000000FM"/>
      <w:bookmarkEnd w:id="198"/>
      <w:r>
        <w:rPr>
          <w:rFonts w:ascii="Times New Roman" w:hAnsi="Times New Roman"/>
          <w:sz w:val="20"/>
        </w:rPr>
        <w:t>2024 periods. Revenue formerly reported by product group and region is presented within discontinued operations (see Note 2).</w:t>
      </w:r>
    </w:p>
    <w:p>
      <w:pPr>
        <w:pStyle w:val="TextBody"/>
        <w:bidi w:val="0"/>
        <w:spacing w:lineRule="auto" w:line="288" w:before="0" w:after="0"/>
        <w:ind w:left="0" w:right="0" w:hanging="0"/>
        <w:jc w:val="center"/>
        <w:rPr/>
      </w:pPr>
      <w:r>
        <w:rPr/>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7. Loss per share</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 xml:space="preserve">Basic net loss per share is computed by dividing net loss attributable to common stockholders by the weighted-average number of common shares outstanding during the period. Diluted net loss per share includes the effect of potentially dilutive common shares (e.g., convertible securities, warrants, options) using the if-converted and treasury stock methods, as applicable. Because the Company reported a net loss for all periods presented, all potential common shares were anti-dilutive and therefore excluded from the computation of diluted loss per share. Accordingly, diluted loss per share equals basic loss per share for all periods. All share and per-share amounts have been retroactively adjusted to reflect the Company’s reverse stock split (see Note </w:t>
      </w:r>
      <w:bookmarkStart w:id="199" w:name="fs_U8SZ0EW5PC00000000000000000000fs"/>
      <w:bookmarkEnd w:id="199"/>
      <w:r>
        <w:rPr>
          <w:rFonts w:ascii="Times New Roman" w:hAnsi="Times New Roman"/>
          <w:sz w:val="20"/>
        </w:rPr>
        <w:t>1).</w:t>
      </w:r>
    </w:p>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bookmarkStart w:id="200" w:name="PageBreakNo12"/>
            <w:bookmarkEnd w:id="200"/>
            <w:r>
              <w:rPr>
                <w:sz w:val="20"/>
              </w:rPr>
              <w:t>12</w:t>
            </w:r>
          </w:p>
        </w:tc>
      </w:tr>
    </w:tbl>
    <w:p>
      <w:pPr>
        <w:pStyle w:val="HorizontalLine"/>
        <w:bidi w:val="0"/>
        <w:spacing w:lineRule="auto" w:line="288"/>
        <w:jc w:val="left"/>
        <w:rPr/>
      </w:pPr>
      <w:r>
        <w:rPr/>
      </w:r>
    </w:p>
    <w:p>
      <w:pPr>
        <w:pStyle w:val="TextBody"/>
        <w:bidi w:val="0"/>
        <w:spacing w:lineRule="auto" w:line="288"/>
        <w:jc w:val="left"/>
        <w:rPr/>
      </w:pPr>
      <w:hyperlink w:anchor="TOC">
        <w:r>
          <w:rPr>
            <w:rStyle w:val="InternetLink"/>
            <w:rFonts w:ascii="times new roman;times" w:hAnsi="times new roman;times"/>
            <w:sz w:val="20"/>
          </w:rPr>
          <w:t>Table of Contents</w:t>
        </w:r>
      </w:hyperlink>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UNAUDITED NOTES TO CONDENSED CONSOLIDATED FINANCIAL STATEMENTS</w:t>
      </w:r>
    </w:p>
    <w:p>
      <w:pPr>
        <w:pStyle w:val="TextBody"/>
        <w:bidi w:val="0"/>
        <w:spacing w:lineRule="auto" w:line="288" w:before="0" w:after="0"/>
        <w:ind w:left="144" w:right="144" w:hanging="0"/>
        <w:jc w:val="center"/>
        <w:rPr>
          <w:rFonts w:ascii="Times New Roman" w:hAnsi="Times New Roman"/>
          <w:sz w:val="20"/>
        </w:rPr>
      </w:pPr>
      <w:r>
        <w:rPr>
          <w:rFonts w:ascii="Times New Roman" w:hAnsi="Times New Roman"/>
          <w:sz w:val="20"/>
        </w:rPr>
        <w:t>(Unaudited - Dollars in thousands, except per share amounts)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 xml:space="preserve">As discussed in Note </w:t>
      </w:r>
      <w:bookmarkStart w:id="201" w:name="fs_UBVM0USL8000000000000000000000fs"/>
      <w:bookmarkEnd w:id="201"/>
      <w:r>
        <w:rPr>
          <w:rFonts w:ascii="Times New Roman" w:hAnsi="Times New Roman"/>
          <w:sz w:val="20"/>
        </w:rPr>
        <w:t>2 — Discontinued Operations and Assets Held for Sale, the Company presents basic and diluted loss per share separately for continuing operations, discontinued operations, and total, for each period presented.</w:t>
      </w:r>
    </w:p>
    <w:p>
      <w:pPr>
        <w:pStyle w:val="TextBody"/>
        <w:widowControl/>
        <w:bidi w:val="0"/>
        <w:spacing w:lineRule="auto" w:line="288"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lineRule="auto" w:line="288"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Company issued Class A Redeemable Preferred Stock via a special stock dividend in July 2025 (see Note </w:t>
      </w:r>
      <w:bookmarkStart w:id="202" w:name="fs_VBDVAU27AO00000000000000000000fs"/>
      <w:bookmarkEnd w:id="202"/>
      <w:r>
        <w:rPr>
          <w:rFonts w:ascii="Times New Roman" w:hAnsi="Times New Roman"/>
          <w:b w:val="false"/>
          <w:i w:val="false"/>
          <w:caps w:val="false"/>
          <w:smallCaps w:val="false"/>
          <w:color w:val="000000"/>
          <w:spacing w:val="0"/>
          <w:sz w:val="20"/>
        </w:rPr>
        <w:t xml:space="preserve">3). Class A is redeemable for net proceeds of a qualifying asset sale and does not participate in current-period earnings or losses other than its redemption preference. Management concluded that Class A is not a participating security for purposes of the </w:t>
      </w:r>
      <w:bookmarkStart w:id="203" w:name="fs_KWBUVJ2J2800000000000000000000fs"/>
      <w:bookmarkEnd w:id="203"/>
      <w:r>
        <w:rPr>
          <w:rFonts w:ascii="Times New Roman" w:hAnsi="Times New Roman"/>
          <w:b w:val="false"/>
          <w:i w:val="false"/>
          <w:caps w:val="false"/>
          <w:smallCaps w:val="false"/>
          <w:color w:val="000000"/>
          <w:spacing w:val="0"/>
          <w:sz w:val="20"/>
        </w:rPr>
        <w:t>two-class method for the periods presented; therefore, no allocation of earnings (loss) was made to Class A in computing loss per share.</w:t>
      </w:r>
    </w:p>
    <w:p>
      <w:pPr>
        <w:pStyle w:val="TextBody"/>
        <w:widowControl/>
        <w:bidi w:val="0"/>
        <w:spacing w:lineRule="auto" w:line="288" w:before="0" w:after="0"/>
        <w:ind w:left="0" w:right="0" w:hanging="0"/>
        <w:jc w:val="left"/>
        <w:rPr/>
      </w:pPr>
      <w:r>
        <w:rPr/>
      </w:r>
    </w:p>
    <w:p>
      <w:pPr>
        <w:pStyle w:val="TextBody"/>
        <w:widowControl/>
        <w:bidi w:val="0"/>
        <w:spacing w:lineRule="auto" w:line="288"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Anti-dilutive securities (excluded from diluted loss per share).</w:t>
      </w:r>
    </w:p>
    <w:p>
      <w:pPr>
        <w:pStyle w:val="TextBody"/>
        <w:widowControl/>
        <w:bidi w:val="0"/>
        <w:spacing w:lineRule="auto" w:line="288"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8912" w:type="dxa"/>
        <w:jc w:val="left"/>
        <w:tblInd w:w="0" w:type="dxa"/>
        <w:tblLayout w:type="fixed"/>
        <w:tblCellMar>
          <w:top w:w="28" w:type="dxa"/>
          <w:left w:w="28" w:type="dxa"/>
          <w:bottom w:w="28" w:type="dxa"/>
          <w:right w:w="28" w:type="dxa"/>
        </w:tblCellMar>
      </w:tblPr>
      <w:tblGrid>
        <w:gridCol w:w="211"/>
        <w:gridCol w:w="8701"/>
      </w:tblGrid>
      <w:tr>
        <w:trPr/>
        <w:tc>
          <w:tcPr>
            <w:tcW w:w="211" w:type="dxa"/>
            <w:tcBorders/>
            <w:vAlign w:val="center"/>
          </w:tcPr>
          <w:p>
            <w:pPr>
              <w:pStyle w:val="TableContents"/>
              <w:bidi w:val="0"/>
              <w:spacing w:before="0" w:after="283"/>
              <w:jc w:val="center"/>
              <w:rPr/>
            </w:pPr>
            <w:r>
              <w:rPr/>
              <w:t>•</w:t>
            </w:r>
          </w:p>
        </w:tc>
        <w:tc>
          <w:tcPr>
            <w:tcW w:w="8701" w:type="dxa"/>
            <w:tcBorders/>
            <w:vAlign w:val="center"/>
          </w:tcPr>
          <w:p>
            <w:pPr>
              <w:pStyle w:val="TableContents"/>
              <w:bidi w:val="0"/>
              <w:spacing w:before="0" w:after="283"/>
              <w:jc w:val="both"/>
              <w:rPr/>
            </w:pPr>
            <w:r>
              <w:rPr/>
              <w:t>Class B Convertible Preferred Stock (if-converted) — 503,661 common share equivalents.</w:t>
            </w:r>
          </w:p>
        </w:tc>
      </w:tr>
      <w:tr>
        <w:trPr/>
        <w:tc>
          <w:tcPr>
            <w:tcW w:w="211" w:type="dxa"/>
            <w:tcBorders/>
            <w:vAlign w:val="center"/>
          </w:tcPr>
          <w:p>
            <w:pPr>
              <w:pStyle w:val="TableContents"/>
              <w:bidi w:val="0"/>
              <w:spacing w:before="0" w:after="283"/>
              <w:jc w:val="center"/>
              <w:rPr/>
            </w:pPr>
            <w:r>
              <w:rPr/>
              <w:t>•</w:t>
            </w:r>
          </w:p>
        </w:tc>
        <w:tc>
          <w:tcPr>
            <w:tcW w:w="8701" w:type="dxa"/>
            <w:tcBorders/>
            <w:vAlign w:val="center"/>
          </w:tcPr>
          <w:p>
            <w:pPr>
              <w:pStyle w:val="TableContents"/>
              <w:bidi w:val="0"/>
              <w:spacing w:before="0" w:after="283"/>
              <w:jc w:val="both"/>
              <w:rPr/>
            </w:pPr>
            <w:r>
              <w:rPr/>
              <w:t xml:space="preserve">Common stock warrants — 281,887 common share equivalents. </w:t>
            </w:r>
          </w:p>
        </w:tc>
      </w:tr>
      <w:tr>
        <w:trPr/>
        <w:tc>
          <w:tcPr>
            <w:tcW w:w="211" w:type="dxa"/>
            <w:tcBorders/>
            <w:vAlign w:val="center"/>
          </w:tcPr>
          <w:p>
            <w:pPr>
              <w:pStyle w:val="TableContents"/>
              <w:bidi w:val="0"/>
              <w:spacing w:before="0" w:after="283"/>
              <w:jc w:val="center"/>
              <w:rPr/>
            </w:pPr>
            <w:r>
              <w:rPr/>
              <w:t>•</w:t>
            </w:r>
          </w:p>
        </w:tc>
        <w:tc>
          <w:tcPr>
            <w:tcW w:w="8701" w:type="dxa"/>
            <w:tcBorders/>
            <w:vAlign w:val="center"/>
          </w:tcPr>
          <w:p>
            <w:pPr>
              <w:pStyle w:val="TableContents"/>
              <w:bidi w:val="0"/>
              <w:spacing w:before="0" w:after="283"/>
              <w:jc w:val="both"/>
              <w:rPr/>
            </w:pPr>
            <w:r>
              <w:rPr/>
              <w:t>Stock options — 36,152 common share equivalents</w:t>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widowControl/>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t>The following table sets forth the computation of basic and diluted loss per common share:</w:t>
      </w:r>
    </w:p>
    <w:p>
      <w:pPr>
        <w:pStyle w:val="TextBody"/>
        <w:bidi w:val="0"/>
        <w:spacing w:lineRule="auto" w:line="288" w:before="0" w:after="0"/>
        <w:ind w:left="144" w:right="144" w:hanging="0"/>
        <w:jc w:val="left"/>
        <w:rPr/>
      </w:pPr>
      <w:r>
        <w:rPr/>
        <w:t> </w:t>
      </w:r>
    </w:p>
    <w:tbl>
      <w:tblPr>
        <w:tblW w:w="5000" w:type="pct"/>
        <w:jc w:val="left"/>
        <w:tblInd w:w="0" w:type="dxa"/>
        <w:tblLayout w:type="fixed"/>
        <w:tblCellMar>
          <w:top w:w="0" w:type="dxa"/>
          <w:left w:w="0" w:type="dxa"/>
          <w:bottom w:w="0" w:type="dxa"/>
          <w:right w:w="0" w:type="dxa"/>
        </w:tblCellMar>
      </w:tblPr>
      <w:tblGrid>
        <w:gridCol w:w="4020"/>
        <w:gridCol w:w="23"/>
        <w:gridCol w:w="161"/>
        <w:gridCol w:w="1263"/>
        <w:gridCol w:w="122"/>
        <w:gridCol w:w="29"/>
        <w:gridCol w:w="161"/>
        <w:gridCol w:w="1263"/>
        <w:gridCol w:w="95"/>
        <w:gridCol w:w="23"/>
        <w:gridCol w:w="155"/>
        <w:gridCol w:w="1234"/>
        <w:gridCol w:w="119"/>
        <w:gridCol w:w="28"/>
        <w:gridCol w:w="156"/>
        <w:gridCol w:w="1234"/>
        <w:gridCol w:w="119"/>
      </w:tblGrid>
      <w:tr>
        <w:trPr/>
        <w:tc>
          <w:tcPr>
            <w:tcW w:w="4020" w:type="dxa"/>
            <w:tcBorders/>
            <w:vAlign w:val="center"/>
          </w:tcPr>
          <w:p>
            <w:pPr>
              <w:pStyle w:val="TableContents"/>
              <w:bidi w:val="0"/>
              <w:spacing w:before="0" w:after="0"/>
              <w:ind w:left="0" w:right="0" w:hanging="0"/>
              <w:jc w:val="left"/>
              <w:rPr/>
            </w:pPr>
            <w:r>
              <w:rPr/>
              <w:t xml:space="preserve">  </w:t>
            </w:r>
          </w:p>
        </w:tc>
        <w:tc>
          <w:tcPr>
            <w:tcW w:w="23" w:type="dxa"/>
            <w:tcBorders/>
            <w:vAlign w:val="center"/>
          </w:tcPr>
          <w:p>
            <w:pPr>
              <w:pStyle w:val="TableContents"/>
              <w:bidi w:val="0"/>
              <w:spacing w:before="0" w:after="283"/>
              <w:jc w:val="left"/>
              <w:rPr/>
            </w:pPr>
            <w:r>
              <w:rPr/>
            </w:r>
          </w:p>
        </w:tc>
        <w:tc>
          <w:tcPr>
            <w:tcW w:w="2999" w:type="dxa"/>
            <w:gridSpan w:val="6"/>
            <w:tcBorders/>
            <w:vAlign w:val="center"/>
          </w:tcPr>
          <w:p>
            <w:pPr>
              <w:pStyle w:val="TableContents"/>
              <w:bidi w:val="0"/>
              <w:spacing w:before="0" w:after="283"/>
              <w:jc w:val="center"/>
              <w:rPr>
                <w:b/>
              </w:rPr>
            </w:pPr>
            <w:bookmarkStart w:id="204" w:name="fs_BSADG50QK000000000000000000000FM"/>
            <w:bookmarkEnd w:id="204"/>
            <w:r>
              <w:rPr>
                <w:b/>
              </w:rPr>
              <w:t>Three months ended September 30,</w:t>
            </w:r>
          </w:p>
        </w:tc>
        <w:tc>
          <w:tcPr>
            <w:tcW w:w="95"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926" w:type="dxa"/>
            <w:gridSpan w:val="6"/>
            <w:tcBorders/>
            <w:vAlign w:val="center"/>
          </w:tcPr>
          <w:p>
            <w:pPr>
              <w:pStyle w:val="TableContents"/>
              <w:bidi w:val="0"/>
              <w:spacing w:before="0" w:after="283"/>
              <w:jc w:val="center"/>
              <w:rPr>
                <w:b/>
              </w:rPr>
            </w:pPr>
            <w:bookmarkStart w:id="205" w:name="fs_VDMX9OS7Y800000000000000000000FM"/>
            <w:bookmarkEnd w:id="205"/>
            <w:r>
              <w:rPr>
                <w:b/>
              </w:rPr>
              <w:t>Nine months ended September 30,</w:t>
            </w:r>
          </w:p>
        </w:tc>
        <w:tc>
          <w:tcPr>
            <w:tcW w:w="119" w:type="dxa"/>
            <w:tcBorders/>
            <w:vAlign w:val="center"/>
          </w:tcPr>
          <w:p>
            <w:pPr>
              <w:pStyle w:val="TableContents"/>
              <w:bidi w:val="0"/>
              <w:spacing w:before="0" w:after="283"/>
              <w:jc w:val="left"/>
              <w:rPr/>
            </w:pPr>
            <w:r>
              <w:rPr/>
            </w:r>
          </w:p>
        </w:tc>
      </w:tr>
      <w:tr>
        <w:trPr/>
        <w:tc>
          <w:tcPr>
            <w:tcW w:w="4020" w:type="dxa"/>
            <w:tcBorders/>
            <w:vAlign w:val="center"/>
          </w:tcPr>
          <w:p>
            <w:pPr>
              <w:pStyle w:val="TableContents"/>
              <w:bidi w:val="0"/>
              <w:spacing w:before="0" w:after="0"/>
              <w:ind w:left="0" w:right="0" w:hanging="0"/>
              <w:jc w:val="left"/>
              <w:rPr/>
            </w:pPr>
            <w:r>
              <w:rPr/>
              <w:t xml:space="preserve">  </w:t>
            </w:r>
          </w:p>
        </w:tc>
        <w:tc>
          <w:tcPr>
            <w:tcW w:w="23" w:type="dxa"/>
            <w:tcBorders/>
            <w:vAlign w:val="center"/>
          </w:tcPr>
          <w:p>
            <w:pPr>
              <w:pStyle w:val="TableContents"/>
              <w:bidi w:val="0"/>
              <w:spacing w:before="0" w:after="283"/>
              <w:jc w:val="left"/>
              <w:rPr/>
            </w:pPr>
            <w:r>
              <w:rPr/>
            </w:r>
          </w:p>
        </w:tc>
        <w:tc>
          <w:tcPr>
            <w:tcW w:w="1424" w:type="dxa"/>
            <w:gridSpan w:val="2"/>
            <w:tcBorders/>
            <w:vAlign w:val="bottom"/>
          </w:tcPr>
          <w:p>
            <w:pPr>
              <w:pStyle w:val="TableContents"/>
              <w:bidi w:val="0"/>
              <w:spacing w:before="0" w:after="283"/>
              <w:jc w:val="center"/>
              <w:rPr>
                <w:b/>
              </w:rPr>
            </w:pPr>
            <w:bookmarkStart w:id="206" w:name="fs_3W3Q3YULBK00000000000000000000FM"/>
            <w:bookmarkEnd w:id="206"/>
            <w:r>
              <w:rPr>
                <w:b/>
              </w:rPr>
              <w:t>2025</w:t>
            </w:r>
          </w:p>
        </w:tc>
        <w:tc>
          <w:tcPr>
            <w:tcW w:w="122" w:type="dxa"/>
            <w:tcBorders/>
            <w:vAlign w:val="bottom"/>
          </w:tcPr>
          <w:p>
            <w:pPr>
              <w:pStyle w:val="TableContents"/>
              <w:bidi w:val="0"/>
              <w:spacing w:before="0" w:after="283"/>
              <w:jc w:val="left"/>
              <w:rPr/>
            </w:pPr>
            <w:r>
              <w:rPr/>
            </w:r>
          </w:p>
        </w:tc>
        <w:tc>
          <w:tcPr>
            <w:tcW w:w="29" w:type="dxa"/>
            <w:tcBorders/>
            <w:vAlign w:val="bottom"/>
          </w:tcPr>
          <w:p>
            <w:pPr>
              <w:pStyle w:val="TableContents"/>
              <w:bidi w:val="0"/>
              <w:spacing w:before="0" w:after="283"/>
              <w:jc w:val="left"/>
              <w:rPr/>
            </w:pPr>
            <w:r>
              <w:rPr/>
            </w:r>
          </w:p>
        </w:tc>
        <w:tc>
          <w:tcPr>
            <w:tcW w:w="1424" w:type="dxa"/>
            <w:gridSpan w:val="2"/>
            <w:tcBorders/>
            <w:vAlign w:val="bottom"/>
          </w:tcPr>
          <w:p>
            <w:pPr>
              <w:pStyle w:val="TableContents"/>
              <w:bidi w:val="0"/>
              <w:spacing w:before="0" w:after="283"/>
              <w:jc w:val="center"/>
              <w:rPr>
                <w:b/>
              </w:rPr>
            </w:pPr>
            <w:bookmarkStart w:id="207" w:name="fs_RQHJMLKXLS00000000000000000000FM"/>
            <w:bookmarkEnd w:id="207"/>
            <w:r>
              <w:rPr>
                <w:b/>
              </w:rPr>
              <w:t>2024</w:t>
            </w:r>
          </w:p>
        </w:tc>
        <w:tc>
          <w:tcPr>
            <w:tcW w:w="95" w:type="dxa"/>
            <w:tcBorders/>
            <w:vAlign w:val="bottom"/>
          </w:tcPr>
          <w:p>
            <w:pPr>
              <w:pStyle w:val="TableContents"/>
              <w:bidi w:val="0"/>
              <w:spacing w:before="0" w:after="283"/>
              <w:jc w:val="left"/>
              <w:rPr/>
            </w:pPr>
            <w:r>
              <w:rPr/>
            </w:r>
          </w:p>
        </w:tc>
        <w:tc>
          <w:tcPr>
            <w:tcW w:w="23" w:type="dxa"/>
            <w:tcBorders/>
            <w:vAlign w:val="bottom"/>
          </w:tcPr>
          <w:p>
            <w:pPr>
              <w:pStyle w:val="TableContents"/>
              <w:bidi w:val="0"/>
              <w:spacing w:before="0" w:after="283"/>
              <w:jc w:val="left"/>
              <w:rPr/>
            </w:pPr>
            <w:r>
              <w:rPr/>
            </w:r>
          </w:p>
        </w:tc>
        <w:tc>
          <w:tcPr>
            <w:tcW w:w="1389" w:type="dxa"/>
            <w:gridSpan w:val="2"/>
            <w:tcBorders/>
            <w:vAlign w:val="bottom"/>
          </w:tcPr>
          <w:p>
            <w:pPr>
              <w:pStyle w:val="TableContents"/>
              <w:bidi w:val="0"/>
              <w:spacing w:before="0" w:after="283"/>
              <w:jc w:val="center"/>
              <w:rPr>
                <w:b/>
              </w:rPr>
            </w:pPr>
            <w:bookmarkStart w:id="208" w:name="fs_BPNZ6631NK00000000000000000000fs"/>
            <w:bookmarkEnd w:id="208"/>
            <w:r>
              <w:rPr>
                <w:b/>
              </w:rPr>
              <w:t>2025</w:t>
            </w:r>
          </w:p>
        </w:tc>
        <w:tc>
          <w:tcPr>
            <w:tcW w:w="119" w:type="dxa"/>
            <w:tcBorders/>
            <w:vAlign w:val="bottom"/>
          </w:tcPr>
          <w:p>
            <w:pPr>
              <w:pStyle w:val="TableContents"/>
              <w:bidi w:val="0"/>
              <w:spacing w:before="0" w:after="283"/>
              <w:jc w:val="left"/>
              <w:rPr/>
            </w:pPr>
            <w:r>
              <w:rPr/>
            </w:r>
          </w:p>
        </w:tc>
        <w:tc>
          <w:tcPr>
            <w:tcW w:w="28" w:type="dxa"/>
            <w:tcBorders/>
            <w:vAlign w:val="bottom"/>
          </w:tcPr>
          <w:p>
            <w:pPr>
              <w:pStyle w:val="TableContents"/>
              <w:bidi w:val="0"/>
              <w:spacing w:before="0" w:after="283"/>
              <w:jc w:val="left"/>
              <w:rPr/>
            </w:pPr>
            <w:r>
              <w:rPr/>
            </w:r>
          </w:p>
        </w:tc>
        <w:tc>
          <w:tcPr>
            <w:tcW w:w="1390" w:type="dxa"/>
            <w:gridSpan w:val="2"/>
            <w:tcBorders/>
            <w:vAlign w:val="bottom"/>
          </w:tcPr>
          <w:p>
            <w:pPr>
              <w:pStyle w:val="TableContents"/>
              <w:bidi w:val="0"/>
              <w:spacing w:before="0" w:after="283"/>
              <w:jc w:val="center"/>
              <w:rPr>
                <w:b/>
              </w:rPr>
            </w:pPr>
            <w:bookmarkStart w:id="209" w:name="fs_A3L460LFLS00000000000000000000fs"/>
            <w:bookmarkEnd w:id="209"/>
            <w:r>
              <w:rPr>
                <w:b/>
              </w:rPr>
              <w:t>2024</w:t>
            </w:r>
          </w:p>
        </w:tc>
        <w:tc>
          <w:tcPr>
            <w:tcW w:w="119" w:type="dxa"/>
            <w:tcBorders/>
            <w:vAlign w:val="center"/>
          </w:tcPr>
          <w:p>
            <w:pPr>
              <w:pStyle w:val="TableContents"/>
              <w:bidi w:val="0"/>
              <w:spacing w:before="0" w:after="283"/>
              <w:jc w:val="left"/>
              <w:rPr/>
            </w:pPr>
            <w:r>
              <w:rPr/>
            </w:r>
          </w:p>
        </w:tc>
      </w:tr>
      <w:tr>
        <w:trPr/>
        <w:tc>
          <w:tcPr>
            <w:tcW w:w="402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Numerator: </w:t>
            </w:r>
          </w:p>
        </w:tc>
        <w:tc>
          <w:tcPr>
            <w:tcW w:w="23" w:type="dxa"/>
            <w:tcBorders/>
            <w:shd w:fill="CCEEFF" w:val="clear"/>
            <w:vAlign w:val="center"/>
          </w:tcPr>
          <w:p>
            <w:pPr>
              <w:pStyle w:val="TableContents"/>
              <w:bidi w:val="0"/>
              <w:spacing w:before="0" w:after="283"/>
              <w:jc w:val="left"/>
              <w:rPr/>
            </w:pPr>
            <w:r>
              <w:rPr/>
            </w:r>
          </w:p>
        </w:tc>
        <w:tc>
          <w:tcPr>
            <w:tcW w:w="161" w:type="dxa"/>
            <w:tcBorders/>
            <w:shd w:fill="CCEEFF" w:val="clear"/>
            <w:vAlign w:val="bottom"/>
          </w:tcPr>
          <w:p>
            <w:pPr>
              <w:pStyle w:val="TableContents"/>
              <w:bidi w:val="0"/>
              <w:spacing w:before="0" w:after="283"/>
              <w:jc w:val="left"/>
              <w:rPr/>
            </w:pPr>
            <w:r>
              <w:rPr/>
            </w:r>
          </w:p>
        </w:tc>
        <w:tc>
          <w:tcPr>
            <w:tcW w:w="1263" w:type="dxa"/>
            <w:tcBorders/>
            <w:shd w:fill="CCEEFF" w:val="clear"/>
            <w:vAlign w:val="bottom"/>
          </w:tcPr>
          <w:p>
            <w:pPr>
              <w:pStyle w:val="TableContents"/>
              <w:bidi w:val="0"/>
              <w:spacing w:before="0" w:after="283"/>
              <w:jc w:val="left"/>
              <w:rPr/>
            </w:pPr>
            <w:r>
              <w:rPr/>
            </w:r>
          </w:p>
        </w:tc>
        <w:tc>
          <w:tcPr>
            <w:tcW w:w="122" w:type="dxa"/>
            <w:tcBorders/>
            <w:shd w:fill="CCEEFF" w:val="clear"/>
            <w:vAlign w:val="bottom"/>
          </w:tcPr>
          <w:p>
            <w:pPr>
              <w:pStyle w:val="TableContents"/>
              <w:bidi w:val="0"/>
              <w:spacing w:before="0" w:after="283"/>
              <w:jc w:val="left"/>
              <w:rPr/>
            </w:pPr>
            <w:r>
              <w:rPr/>
            </w:r>
          </w:p>
        </w:tc>
        <w:tc>
          <w:tcPr>
            <w:tcW w:w="29" w:type="dxa"/>
            <w:tcBorders/>
            <w:shd w:fill="CCEEFF" w:val="clear"/>
            <w:vAlign w:val="bottom"/>
          </w:tcPr>
          <w:p>
            <w:pPr>
              <w:pStyle w:val="TableContents"/>
              <w:bidi w:val="0"/>
              <w:spacing w:before="0" w:after="283"/>
              <w:jc w:val="left"/>
              <w:rPr/>
            </w:pPr>
            <w:r>
              <w:rPr/>
            </w:r>
          </w:p>
        </w:tc>
        <w:tc>
          <w:tcPr>
            <w:tcW w:w="161" w:type="dxa"/>
            <w:tcBorders/>
            <w:shd w:fill="CCEEFF" w:val="clear"/>
            <w:vAlign w:val="bottom"/>
          </w:tcPr>
          <w:p>
            <w:pPr>
              <w:pStyle w:val="TableContents"/>
              <w:bidi w:val="0"/>
              <w:spacing w:before="0" w:after="283"/>
              <w:jc w:val="left"/>
              <w:rPr/>
            </w:pPr>
            <w:r>
              <w:rPr/>
            </w:r>
          </w:p>
        </w:tc>
        <w:tc>
          <w:tcPr>
            <w:tcW w:w="1263" w:type="dxa"/>
            <w:tcBorders/>
            <w:shd w:fill="CCEEFF" w:val="clear"/>
            <w:vAlign w:val="bottom"/>
          </w:tcPr>
          <w:p>
            <w:pPr>
              <w:pStyle w:val="TableContents"/>
              <w:bidi w:val="0"/>
              <w:spacing w:before="0" w:after="283"/>
              <w:jc w:val="left"/>
              <w:rPr/>
            </w:pPr>
            <w:r>
              <w:rPr/>
            </w:r>
          </w:p>
        </w:tc>
        <w:tc>
          <w:tcPr>
            <w:tcW w:w="95" w:type="dxa"/>
            <w:tcBorders/>
            <w:shd w:fill="CCEEFF" w:val="clear"/>
            <w:vAlign w:val="bottom"/>
          </w:tcPr>
          <w:p>
            <w:pPr>
              <w:pStyle w:val="TableContents"/>
              <w:bidi w:val="0"/>
              <w:spacing w:before="0" w:after="283"/>
              <w:jc w:val="left"/>
              <w:rPr/>
            </w:pPr>
            <w:r>
              <w:rPr/>
            </w:r>
          </w:p>
        </w:tc>
        <w:tc>
          <w:tcPr>
            <w:tcW w:w="23" w:type="dxa"/>
            <w:tcBorders/>
            <w:shd w:fill="CCEEFF" w:val="clear"/>
            <w:vAlign w:val="bottom"/>
          </w:tcPr>
          <w:p>
            <w:pPr>
              <w:pStyle w:val="TableContents"/>
              <w:bidi w:val="0"/>
              <w:spacing w:before="0" w:after="283"/>
              <w:jc w:val="left"/>
              <w:rPr/>
            </w:pPr>
            <w:r>
              <w:rPr/>
            </w:r>
          </w:p>
        </w:tc>
        <w:tc>
          <w:tcPr>
            <w:tcW w:w="155" w:type="dxa"/>
            <w:tcBorders/>
            <w:shd w:fill="CCEEFF" w:val="clear"/>
            <w:vAlign w:val="bottom"/>
          </w:tcPr>
          <w:p>
            <w:pPr>
              <w:pStyle w:val="TableContents"/>
              <w:bidi w:val="0"/>
              <w:spacing w:before="0" w:after="283"/>
              <w:jc w:val="left"/>
              <w:rPr/>
            </w:pPr>
            <w:r>
              <w:rPr/>
            </w:r>
          </w:p>
        </w:tc>
        <w:tc>
          <w:tcPr>
            <w:tcW w:w="1234" w:type="dxa"/>
            <w:tcBorders/>
            <w:shd w:fill="CCEEFF" w:val="clear"/>
            <w:vAlign w:val="bottom"/>
          </w:tcPr>
          <w:p>
            <w:pPr>
              <w:pStyle w:val="TableContents"/>
              <w:bidi w:val="0"/>
              <w:spacing w:before="0" w:after="283"/>
              <w:jc w:val="left"/>
              <w:rPr/>
            </w:pPr>
            <w:r>
              <w:rPr/>
            </w:r>
          </w:p>
        </w:tc>
        <w:tc>
          <w:tcPr>
            <w:tcW w:w="119" w:type="dxa"/>
            <w:tcBorders/>
            <w:shd w:fill="CCEEFF" w:val="clear"/>
            <w:vAlign w:val="bottom"/>
          </w:tcPr>
          <w:p>
            <w:pPr>
              <w:pStyle w:val="TableContents"/>
              <w:bidi w:val="0"/>
              <w:spacing w:before="0" w:after="283"/>
              <w:jc w:val="left"/>
              <w:rPr/>
            </w:pPr>
            <w:r>
              <w:rPr/>
            </w:r>
          </w:p>
        </w:tc>
        <w:tc>
          <w:tcPr>
            <w:tcW w:w="28" w:type="dxa"/>
            <w:tcBorders/>
            <w:shd w:fill="CCEEFF" w:val="clear"/>
            <w:vAlign w:val="bottom"/>
          </w:tcPr>
          <w:p>
            <w:pPr>
              <w:pStyle w:val="TableContents"/>
              <w:bidi w:val="0"/>
              <w:spacing w:before="0" w:after="283"/>
              <w:jc w:val="left"/>
              <w:rPr/>
            </w:pPr>
            <w:r>
              <w:rPr/>
            </w:r>
          </w:p>
        </w:tc>
        <w:tc>
          <w:tcPr>
            <w:tcW w:w="156" w:type="dxa"/>
            <w:tcBorders/>
            <w:shd w:fill="CCEEFF" w:val="clear"/>
            <w:vAlign w:val="bottom"/>
          </w:tcPr>
          <w:p>
            <w:pPr>
              <w:pStyle w:val="TableContents"/>
              <w:bidi w:val="0"/>
              <w:spacing w:before="0" w:after="283"/>
              <w:jc w:val="left"/>
              <w:rPr/>
            </w:pPr>
            <w:r>
              <w:rPr/>
            </w:r>
          </w:p>
        </w:tc>
        <w:tc>
          <w:tcPr>
            <w:tcW w:w="1234" w:type="dxa"/>
            <w:tcBorders/>
            <w:shd w:fill="CCEEFF" w:val="clear"/>
            <w:vAlign w:val="bottom"/>
          </w:tcPr>
          <w:p>
            <w:pPr>
              <w:pStyle w:val="TableContents"/>
              <w:bidi w:val="0"/>
              <w:spacing w:before="0" w:after="283"/>
              <w:jc w:val="left"/>
              <w:rPr/>
            </w:pPr>
            <w:r>
              <w:rPr/>
            </w:r>
          </w:p>
        </w:tc>
        <w:tc>
          <w:tcPr>
            <w:tcW w:w="119" w:type="dxa"/>
            <w:tcBorders/>
            <w:shd w:fill="CCEEFF" w:val="clear"/>
            <w:vAlign w:val="center"/>
          </w:tcPr>
          <w:p>
            <w:pPr>
              <w:pStyle w:val="TableContents"/>
              <w:bidi w:val="0"/>
              <w:spacing w:before="0" w:after="283"/>
              <w:jc w:val="left"/>
              <w:rPr/>
            </w:pPr>
            <w:r>
              <w:rPr/>
            </w:r>
          </w:p>
        </w:tc>
      </w:tr>
      <w:tr>
        <w:trPr/>
        <w:tc>
          <w:tcPr>
            <w:tcW w:w="4020" w:type="dxa"/>
            <w:tcBorders/>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Loss from continuing operations </w:t>
            </w:r>
          </w:p>
        </w:tc>
        <w:tc>
          <w:tcPr>
            <w:tcW w:w="23" w:type="dxa"/>
            <w:tcBorders/>
            <w:vAlign w:val="center"/>
          </w:tcPr>
          <w:p>
            <w:pPr>
              <w:pStyle w:val="TableContents"/>
              <w:bidi w:val="0"/>
              <w:spacing w:before="0" w:after="283"/>
              <w:jc w:val="left"/>
              <w:rPr/>
            </w:pPr>
            <w:r>
              <w:rPr/>
            </w:r>
          </w:p>
        </w:tc>
        <w:tc>
          <w:tcPr>
            <w:tcW w:w="161" w:type="dxa"/>
            <w:tcBorders/>
            <w:vAlign w:val="bottom"/>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263" w:type="dxa"/>
            <w:tcBorders/>
            <w:vAlign w:val="bottom"/>
          </w:tcPr>
          <w:p>
            <w:pPr>
              <w:pStyle w:val="TableContents"/>
              <w:bidi w:val="0"/>
              <w:spacing w:before="0" w:after="283"/>
              <w:jc w:val="right"/>
              <w:rPr/>
            </w:pPr>
            <w:r>
              <w:rPr/>
              <w:t>(871</w:t>
            </w:r>
          </w:p>
        </w:tc>
        <w:tc>
          <w:tcPr>
            <w:tcW w:w="122" w:type="dxa"/>
            <w:tcBorders/>
            <w:vAlign w:val="bottom"/>
          </w:tcPr>
          <w:p>
            <w:pPr>
              <w:pStyle w:val="TableContents"/>
              <w:bidi w:val="0"/>
              <w:spacing w:before="0" w:after="283"/>
              <w:jc w:val="left"/>
              <w:rPr/>
            </w:pPr>
            <w:r>
              <w:rPr/>
              <w:t>)</w:t>
            </w:r>
          </w:p>
        </w:tc>
        <w:tc>
          <w:tcPr>
            <w:tcW w:w="29" w:type="dxa"/>
            <w:tcBorders/>
            <w:vAlign w:val="bottom"/>
          </w:tcPr>
          <w:p>
            <w:pPr>
              <w:pStyle w:val="TableContents"/>
              <w:bidi w:val="0"/>
              <w:spacing w:before="0" w:after="283"/>
              <w:jc w:val="left"/>
              <w:rPr/>
            </w:pPr>
            <w:r>
              <w:rPr/>
            </w:r>
          </w:p>
        </w:tc>
        <w:tc>
          <w:tcPr>
            <w:tcW w:w="161" w:type="dxa"/>
            <w:tcBorders/>
            <w:vAlign w:val="bottom"/>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263" w:type="dxa"/>
            <w:tcBorders/>
            <w:vAlign w:val="bottom"/>
          </w:tcPr>
          <w:p>
            <w:pPr>
              <w:pStyle w:val="TableContents"/>
              <w:bidi w:val="0"/>
              <w:spacing w:before="0" w:after="283"/>
              <w:jc w:val="right"/>
              <w:rPr/>
            </w:pPr>
            <w:r>
              <w:rPr/>
              <w:t>(716</w:t>
            </w:r>
          </w:p>
        </w:tc>
        <w:tc>
          <w:tcPr>
            <w:tcW w:w="95" w:type="dxa"/>
            <w:tcBorders/>
            <w:vAlign w:val="bottom"/>
          </w:tcPr>
          <w:p>
            <w:pPr>
              <w:pStyle w:val="TableContents"/>
              <w:bidi w:val="0"/>
              <w:spacing w:before="0" w:after="283"/>
              <w:jc w:val="left"/>
              <w:rPr/>
            </w:pPr>
            <w:r>
              <w:rPr/>
              <w:t>)</w:t>
            </w:r>
          </w:p>
        </w:tc>
        <w:tc>
          <w:tcPr>
            <w:tcW w:w="23" w:type="dxa"/>
            <w:tcBorders/>
            <w:vAlign w:val="bottom"/>
          </w:tcPr>
          <w:p>
            <w:pPr>
              <w:pStyle w:val="TableContents"/>
              <w:bidi w:val="0"/>
              <w:spacing w:before="0" w:after="283"/>
              <w:jc w:val="left"/>
              <w:rPr/>
            </w:pPr>
            <w:r>
              <w:rPr/>
            </w:r>
          </w:p>
        </w:tc>
        <w:tc>
          <w:tcPr>
            <w:tcW w:w="155" w:type="dxa"/>
            <w:tcBorders/>
            <w:vAlign w:val="bottom"/>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234" w:type="dxa"/>
            <w:tcBorders/>
            <w:vAlign w:val="bottom"/>
          </w:tcPr>
          <w:p>
            <w:pPr>
              <w:pStyle w:val="TableContents"/>
              <w:bidi w:val="0"/>
              <w:spacing w:before="0" w:after="283"/>
              <w:jc w:val="right"/>
              <w:rPr/>
            </w:pPr>
            <w:r>
              <w:rPr/>
              <w:t>(3,278</w:t>
            </w:r>
          </w:p>
        </w:tc>
        <w:tc>
          <w:tcPr>
            <w:tcW w:w="119" w:type="dxa"/>
            <w:tcBorders/>
            <w:vAlign w:val="bottom"/>
          </w:tcPr>
          <w:p>
            <w:pPr>
              <w:pStyle w:val="TableContents"/>
              <w:bidi w:val="0"/>
              <w:spacing w:before="0" w:after="283"/>
              <w:jc w:val="left"/>
              <w:rPr/>
            </w:pPr>
            <w:r>
              <w:rPr/>
              <w:t>)</w:t>
            </w:r>
          </w:p>
        </w:tc>
        <w:tc>
          <w:tcPr>
            <w:tcW w:w="28" w:type="dxa"/>
            <w:tcBorders/>
            <w:vAlign w:val="bottom"/>
          </w:tcPr>
          <w:p>
            <w:pPr>
              <w:pStyle w:val="TableContents"/>
              <w:bidi w:val="0"/>
              <w:spacing w:before="0" w:after="283"/>
              <w:jc w:val="left"/>
              <w:rPr/>
            </w:pPr>
            <w:r>
              <w:rPr/>
            </w:r>
          </w:p>
        </w:tc>
        <w:tc>
          <w:tcPr>
            <w:tcW w:w="156" w:type="dxa"/>
            <w:tcBorders/>
            <w:vAlign w:val="bottom"/>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234" w:type="dxa"/>
            <w:tcBorders/>
            <w:vAlign w:val="bottom"/>
          </w:tcPr>
          <w:p>
            <w:pPr>
              <w:pStyle w:val="TableContents"/>
              <w:bidi w:val="0"/>
              <w:spacing w:before="0" w:after="283"/>
              <w:jc w:val="right"/>
              <w:rPr/>
            </w:pPr>
            <w:r>
              <w:rPr/>
              <w:t>(2,086</w:t>
            </w:r>
          </w:p>
        </w:tc>
        <w:tc>
          <w:tcPr>
            <w:tcW w:w="119" w:type="dxa"/>
            <w:tcBorders/>
            <w:vAlign w:val="center"/>
          </w:tcPr>
          <w:p>
            <w:pPr>
              <w:pStyle w:val="TableContents"/>
              <w:bidi w:val="0"/>
              <w:spacing w:before="0" w:after="283"/>
              <w:jc w:val="left"/>
              <w:rPr/>
            </w:pPr>
            <w:r>
              <w:rPr/>
              <w:t>)</w:t>
            </w:r>
          </w:p>
        </w:tc>
      </w:tr>
      <w:tr>
        <w:trPr/>
        <w:tc>
          <w:tcPr>
            <w:tcW w:w="4020"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Loss from discontinued operations </w:t>
            </w:r>
          </w:p>
        </w:tc>
        <w:tc>
          <w:tcPr>
            <w:tcW w:w="23" w:type="dxa"/>
            <w:tcBorders/>
            <w:shd w:fill="CCEEFF" w:val="clear"/>
            <w:vAlign w:val="center"/>
          </w:tcPr>
          <w:p>
            <w:pPr>
              <w:pStyle w:val="TableContents"/>
              <w:bidi w:val="0"/>
              <w:spacing w:before="0" w:after="283"/>
              <w:jc w:val="left"/>
              <w:rPr/>
            </w:pPr>
            <w:r>
              <w:rPr/>
            </w:r>
          </w:p>
        </w:tc>
        <w:tc>
          <w:tcPr>
            <w:tcW w:w="161" w:type="dxa"/>
            <w:tcBorders/>
            <w:shd w:fill="CCEEFF" w:val="clear"/>
            <w:vAlign w:val="bottom"/>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263" w:type="dxa"/>
            <w:tcBorders/>
            <w:shd w:fill="CCEEFF" w:val="clear"/>
            <w:vAlign w:val="bottom"/>
          </w:tcPr>
          <w:p>
            <w:pPr>
              <w:pStyle w:val="TableContents"/>
              <w:bidi w:val="0"/>
              <w:spacing w:before="0" w:after="283"/>
              <w:jc w:val="right"/>
              <w:rPr/>
            </w:pPr>
            <w:r>
              <w:rPr/>
              <w:t>(12,865</w:t>
            </w:r>
          </w:p>
        </w:tc>
        <w:tc>
          <w:tcPr>
            <w:tcW w:w="122" w:type="dxa"/>
            <w:tcBorders/>
            <w:shd w:fill="CCEEFF" w:val="clear"/>
            <w:vAlign w:val="bottom"/>
          </w:tcPr>
          <w:p>
            <w:pPr>
              <w:pStyle w:val="TableContents"/>
              <w:bidi w:val="0"/>
              <w:spacing w:before="0" w:after="283"/>
              <w:jc w:val="left"/>
              <w:rPr/>
            </w:pPr>
            <w:r>
              <w:rPr/>
              <w:t>)</w:t>
            </w:r>
          </w:p>
        </w:tc>
        <w:tc>
          <w:tcPr>
            <w:tcW w:w="29" w:type="dxa"/>
            <w:tcBorders/>
            <w:shd w:fill="CCEEFF" w:val="clear"/>
            <w:vAlign w:val="bottom"/>
          </w:tcPr>
          <w:p>
            <w:pPr>
              <w:pStyle w:val="TableContents"/>
              <w:bidi w:val="0"/>
              <w:spacing w:before="0" w:after="283"/>
              <w:jc w:val="left"/>
              <w:rPr/>
            </w:pPr>
            <w:r>
              <w:rPr/>
            </w:r>
          </w:p>
        </w:tc>
        <w:tc>
          <w:tcPr>
            <w:tcW w:w="161" w:type="dxa"/>
            <w:tcBorders/>
            <w:shd w:fill="CCEEFF" w:val="clear"/>
            <w:vAlign w:val="bottom"/>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263" w:type="dxa"/>
            <w:tcBorders/>
            <w:shd w:fill="CCEEFF" w:val="clear"/>
            <w:vAlign w:val="bottom"/>
          </w:tcPr>
          <w:p>
            <w:pPr>
              <w:pStyle w:val="TableContents"/>
              <w:bidi w:val="0"/>
              <w:spacing w:before="0" w:after="283"/>
              <w:jc w:val="right"/>
              <w:rPr/>
            </w:pPr>
            <w:r>
              <w:rPr/>
              <w:t>(1,346</w:t>
            </w:r>
          </w:p>
        </w:tc>
        <w:tc>
          <w:tcPr>
            <w:tcW w:w="95" w:type="dxa"/>
            <w:tcBorders/>
            <w:shd w:fill="CCEEFF" w:val="clear"/>
            <w:vAlign w:val="bottom"/>
          </w:tcPr>
          <w:p>
            <w:pPr>
              <w:pStyle w:val="TableContents"/>
              <w:bidi w:val="0"/>
              <w:spacing w:before="0" w:after="283"/>
              <w:jc w:val="left"/>
              <w:rPr/>
            </w:pPr>
            <w:r>
              <w:rPr/>
              <w:t>)</w:t>
            </w:r>
          </w:p>
        </w:tc>
        <w:tc>
          <w:tcPr>
            <w:tcW w:w="23" w:type="dxa"/>
            <w:tcBorders/>
            <w:shd w:fill="CCEEFF" w:val="clear"/>
            <w:vAlign w:val="bottom"/>
          </w:tcPr>
          <w:p>
            <w:pPr>
              <w:pStyle w:val="TableContents"/>
              <w:bidi w:val="0"/>
              <w:spacing w:before="0" w:after="283"/>
              <w:jc w:val="left"/>
              <w:rPr/>
            </w:pPr>
            <w:r>
              <w:rPr/>
            </w:r>
          </w:p>
        </w:tc>
        <w:tc>
          <w:tcPr>
            <w:tcW w:w="155" w:type="dxa"/>
            <w:tcBorders/>
            <w:shd w:fill="CCEEFF" w:val="clear"/>
            <w:vAlign w:val="bottom"/>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234" w:type="dxa"/>
            <w:tcBorders/>
            <w:shd w:fill="CCEEFF" w:val="clear"/>
            <w:vAlign w:val="bottom"/>
          </w:tcPr>
          <w:p>
            <w:pPr>
              <w:pStyle w:val="TableContents"/>
              <w:bidi w:val="0"/>
              <w:spacing w:before="0" w:after="283"/>
              <w:jc w:val="right"/>
              <w:rPr/>
            </w:pPr>
            <w:r>
              <w:rPr/>
              <w:t>(17,864</w:t>
            </w:r>
          </w:p>
        </w:tc>
        <w:tc>
          <w:tcPr>
            <w:tcW w:w="119" w:type="dxa"/>
            <w:tcBorders/>
            <w:shd w:fill="CCEEFF" w:val="clear"/>
            <w:vAlign w:val="bottom"/>
          </w:tcPr>
          <w:p>
            <w:pPr>
              <w:pStyle w:val="TableContents"/>
              <w:bidi w:val="0"/>
              <w:spacing w:before="0" w:after="283"/>
              <w:jc w:val="left"/>
              <w:rPr/>
            </w:pPr>
            <w:r>
              <w:rPr/>
              <w:t>)</w:t>
            </w:r>
          </w:p>
        </w:tc>
        <w:tc>
          <w:tcPr>
            <w:tcW w:w="28" w:type="dxa"/>
            <w:tcBorders/>
            <w:shd w:fill="CCEEFF" w:val="clear"/>
            <w:vAlign w:val="bottom"/>
          </w:tcPr>
          <w:p>
            <w:pPr>
              <w:pStyle w:val="TableContents"/>
              <w:bidi w:val="0"/>
              <w:spacing w:before="0" w:after="283"/>
              <w:jc w:val="left"/>
              <w:rPr/>
            </w:pPr>
            <w:r>
              <w:rPr/>
            </w:r>
          </w:p>
        </w:tc>
        <w:tc>
          <w:tcPr>
            <w:tcW w:w="156" w:type="dxa"/>
            <w:tcBorders/>
            <w:shd w:fill="CCEEFF" w:val="clear"/>
            <w:vAlign w:val="bottom"/>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234" w:type="dxa"/>
            <w:tcBorders/>
            <w:shd w:fill="CCEEFF" w:val="clear"/>
            <w:vAlign w:val="bottom"/>
          </w:tcPr>
          <w:p>
            <w:pPr>
              <w:pStyle w:val="TableContents"/>
              <w:bidi w:val="0"/>
              <w:spacing w:before="0" w:after="283"/>
              <w:jc w:val="right"/>
              <w:rPr/>
            </w:pPr>
            <w:r>
              <w:rPr/>
              <w:t>(4,694</w:t>
            </w:r>
          </w:p>
        </w:tc>
        <w:tc>
          <w:tcPr>
            <w:tcW w:w="119" w:type="dxa"/>
            <w:tcBorders/>
            <w:shd w:fill="CCEEFF" w:val="clear"/>
            <w:vAlign w:val="center"/>
          </w:tcPr>
          <w:p>
            <w:pPr>
              <w:pStyle w:val="TableContents"/>
              <w:bidi w:val="0"/>
              <w:spacing w:before="0" w:after="283"/>
              <w:jc w:val="left"/>
              <w:rPr/>
            </w:pPr>
            <w:r>
              <w:rPr/>
              <w:t>)</w:t>
            </w:r>
          </w:p>
        </w:tc>
      </w:tr>
      <w:tr>
        <w:trPr/>
        <w:tc>
          <w:tcPr>
            <w:tcW w:w="4020" w:type="dxa"/>
            <w:tcBorders/>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Net loss </w:t>
            </w:r>
          </w:p>
        </w:tc>
        <w:tc>
          <w:tcPr>
            <w:tcW w:w="23" w:type="dxa"/>
            <w:tcBorders/>
            <w:vAlign w:val="center"/>
          </w:tcPr>
          <w:p>
            <w:pPr>
              <w:pStyle w:val="TableContents"/>
              <w:bidi w:val="0"/>
              <w:spacing w:before="0" w:after="283"/>
              <w:jc w:val="left"/>
              <w:rPr/>
            </w:pPr>
            <w:r>
              <w:rPr/>
            </w:r>
          </w:p>
        </w:tc>
        <w:tc>
          <w:tcPr>
            <w:tcW w:w="161" w:type="dxa"/>
            <w:tcBorders/>
            <w:vAlign w:val="bottom"/>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263" w:type="dxa"/>
            <w:tcBorders/>
            <w:vAlign w:val="bottom"/>
          </w:tcPr>
          <w:p>
            <w:pPr>
              <w:pStyle w:val="TableContents"/>
              <w:bidi w:val="0"/>
              <w:spacing w:before="0" w:after="283"/>
              <w:jc w:val="right"/>
              <w:rPr/>
            </w:pPr>
            <w:r>
              <w:rPr/>
              <w:t>(13,736</w:t>
            </w:r>
          </w:p>
        </w:tc>
        <w:tc>
          <w:tcPr>
            <w:tcW w:w="122" w:type="dxa"/>
            <w:tcBorders/>
            <w:vAlign w:val="bottom"/>
          </w:tcPr>
          <w:p>
            <w:pPr>
              <w:pStyle w:val="TableContents"/>
              <w:bidi w:val="0"/>
              <w:spacing w:before="0" w:after="283"/>
              <w:jc w:val="left"/>
              <w:rPr/>
            </w:pPr>
            <w:r>
              <w:rPr/>
              <w:t>)</w:t>
            </w:r>
          </w:p>
        </w:tc>
        <w:tc>
          <w:tcPr>
            <w:tcW w:w="29" w:type="dxa"/>
            <w:tcBorders/>
            <w:vAlign w:val="bottom"/>
          </w:tcPr>
          <w:p>
            <w:pPr>
              <w:pStyle w:val="TableContents"/>
              <w:bidi w:val="0"/>
              <w:spacing w:before="0" w:after="283"/>
              <w:jc w:val="left"/>
              <w:rPr/>
            </w:pPr>
            <w:r>
              <w:rPr/>
            </w:r>
          </w:p>
        </w:tc>
        <w:tc>
          <w:tcPr>
            <w:tcW w:w="161" w:type="dxa"/>
            <w:tcBorders/>
            <w:vAlign w:val="bottom"/>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263" w:type="dxa"/>
            <w:tcBorders/>
            <w:vAlign w:val="bottom"/>
          </w:tcPr>
          <w:p>
            <w:pPr>
              <w:pStyle w:val="TableContents"/>
              <w:bidi w:val="0"/>
              <w:spacing w:before="0" w:after="283"/>
              <w:jc w:val="right"/>
              <w:rPr/>
            </w:pPr>
            <w:r>
              <w:rPr/>
              <w:t>(2,062</w:t>
            </w:r>
          </w:p>
        </w:tc>
        <w:tc>
          <w:tcPr>
            <w:tcW w:w="95" w:type="dxa"/>
            <w:tcBorders/>
            <w:vAlign w:val="bottom"/>
          </w:tcPr>
          <w:p>
            <w:pPr>
              <w:pStyle w:val="TableContents"/>
              <w:bidi w:val="0"/>
              <w:spacing w:before="0" w:after="283"/>
              <w:jc w:val="left"/>
              <w:rPr/>
            </w:pPr>
            <w:r>
              <w:rPr/>
              <w:t>)</w:t>
            </w:r>
          </w:p>
        </w:tc>
        <w:tc>
          <w:tcPr>
            <w:tcW w:w="23" w:type="dxa"/>
            <w:tcBorders/>
            <w:vAlign w:val="bottom"/>
          </w:tcPr>
          <w:p>
            <w:pPr>
              <w:pStyle w:val="TableContents"/>
              <w:bidi w:val="0"/>
              <w:spacing w:before="0" w:after="283"/>
              <w:jc w:val="left"/>
              <w:rPr/>
            </w:pPr>
            <w:r>
              <w:rPr/>
            </w:r>
          </w:p>
        </w:tc>
        <w:tc>
          <w:tcPr>
            <w:tcW w:w="155" w:type="dxa"/>
            <w:tcBorders/>
            <w:vAlign w:val="bottom"/>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234" w:type="dxa"/>
            <w:tcBorders/>
            <w:vAlign w:val="bottom"/>
          </w:tcPr>
          <w:p>
            <w:pPr>
              <w:pStyle w:val="TableContents"/>
              <w:bidi w:val="0"/>
              <w:spacing w:before="0" w:after="283"/>
              <w:jc w:val="right"/>
              <w:rPr/>
            </w:pPr>
            <w:r>
              <w:rPr/>
              <w:t>(21,142</w:t>
            </w:r>
          </w:p>
        </w:tc>
        <w:tc>
          <w:tcPr>
            <w:tcW w:w="119" w:type="dxa"/>
            <w:tcBorders/>
            <w:vAlign w:val="bottom"/>
          </w:tcPr>
          <w:p>
            <w:pPr>
              <w:pStyle w:val="TableContents"/>
              <w:bidi w:val="0"/>
              <w:spacing w:before="0" w:after="283"/>
              <w:jc w:val="left"/>
              <w:rPr/>
            </w:pPr>
            <w:r>
              <w:rPr/>
              <w:t>)</w:t>
            </w:r>
          </w:p>
        </w:tc>
        <w:tc>
          <w:tcPr>
            <w:tcW w:w="28" w:type="dxa"/>
            <w:tcBorders/>
            <w:vAlign w:val="bottom"/>
          </w:tcPr>
          <w:p>
            <w:pPr>
              <w:pStyle w:val="TableContents"/>
              <w:bidi w:val="0"/>
              <w:spacing w:before="0" w:after="283"/>
              <w:jc w:val="left"/>
              <w:rPr/>
            </w:pPr>
            <w:r>
              <w:rPr/>
            </w:r>
          </w:p>
        </w:tc>
        <w:tc>
          <w:tcPr>
            <w:tcW w:w="156" w:type="dxa"/>
            <w:tcBorders/>
            <w:vAlign w:val="bottom"/>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234" w:type="dxa"/>
            <w:tcBorders/>
            <w:vAlign w:val="bottom"/>
          </w:tcPr>
          <w:p>
            <w:pPr>
              <w:pStyle w:val="TableContents"/>
              <w:bidi w:val="0"/>
              <w:spacing w:before="0" w:after="283"/>
              <w:jc w:val="right"/>
              <w:rPr/>
            </w:pPr>
            <w:r>
              <w:rPr/>
              <w:t>(6,780</w:t>
            </w:r>
          </w:p>
        </w:tc>
        <w:tc>
          <w:tcPr>
            <w:tcW w:w="119" w:type="dxa"/>
            <w:tcBorders/>
            <w:vAlign w:val="center"/>
          </w:tcPr>
          <w:p>
            <w:pPr>
              <w:pStyle w:val="TableContents"/>
              <w:bidi w:val="0"/>
              <w:spacing w:before="0" w:after="283"/>
              <w:jc w:val="left"/>
              <w:rPr/>
            </w:pPr>
            <w:r>
              <w:rPr/>
              <w:t>)</w:t>
            </w:r>
          </w:p>
        </w:tc>
      </w:tr>
      <w:tr>
        <w:trPr/>
        <w:tc>
          <w:tcPr>
            <w:tcW w:w="402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Denominator: </w:t>
            </w:r>
          </w:p>
        </w:tc>
        <w:tc>
          <w:tcPr>
            <w:tcW w:w="23" w:type="dxa"/>
            <w:tcBorders/>
            <w:shd w:fill="CCEEFF" w:val="clear"/>
            <w:vAlign w:val="center"/>
          </w:tcPr>
          <w:p>
            <w:pPr>
              <w:pStyle w:val="TableContents"/>
              <w:bidi w:val="0"/>
              <w:spacing w:before="0" w:after="283"/>
              <w:jc w:val="left"/>
              <w:rPr/>
            </w:pPr>
            <w:r>
              <w:rPr/>
            </w:r>
          </w:p>
        </w:tc>
        <w:tc>
          <w:tcPr>
            <w:tcW w:w="161" w:type="dxa"/>
            <w:tcBorders/>
            <w:shd w:fill="CCEEFF" w:val="clear"/>
            <w:vAlign w:val="bottom"/>
          </w:tcPr>
          <w:p>
            <w:pPr>
              <w:pStyle w:val="TableContents"/>
              <w:bidi w:val="0"/>
              <w:spacing w:before="0" w:after="283"/>
              <w:jc w:val="left"/>
              <w:rPr/>
            </w:pPr>
            <w:r>
              <w:rPr/>
            </w:r>
          </w:p>
        </w:tc>
        <w:tc>
          <w:tcPr>
            <w:tcW w:w="1263" w:type="dxa"/>
            <w:tcBorders/>
            <w:shd w:fill="CCEEFF" w:val="clear"/>
            <w:vAlign w:val="bottom"/>
          </w:tcPr>
          <w:p>
            <w:pPr>
              <w:pStyle w:val="TableContents"/>
              <w:bidi w:val="0"/>
              <w:spacing w:before="0" w:after="283"/>
              <w:jc w:val="left"/>
              <w:rPr/>
            </w:pPr>
            <w:r>
              <w:rPr/>
            </w:r>
          </w:p>
        </w:tc>
        <w:tc>
          <w:tcPr>
            <w:tcW w:w="122" w:type="dxa"/>
            <w:tcBorders/>
            <w:shd w:fill="CCEEFF" w:val="clear"/>
            <w:vAlign w:val="bottom"/>
          </w:tcPr>
          <w:p>
            <w:pPr>
              <w:pStyle w:val="TableContents"/>
              <w:bidi w:val="0"/>
              <w:spacing w:before="0" w:after="283"/>
              <w:jc w:val="left"/>
              <w:rPr/>
            </w:pPr>
            <w:r>
              <w:rPr/>
            </w:r>
          </w:p>
        </w:tc>
        <w:tc>
          <w:tcPr>
            <w:tcW w:w="29" w:type="dxa"/>
            <w:tcBorders/>
            <w:shd w:fill="CCEEFF" w:val="clear"/>
            <w:vAlign w:val="bottom"/>
          </w:tcPr>
          <w:p>
            <w:pPr>
              <w:pStyle w:val="TableContents"/>
              <w:bidi w:val="0"/>
              <w:spacing w:before="0" w:after="283"/>
              <w:jc w:val="left"/>
              <w:rPr/>
            </w:pPr>
            <w:r>
              <w:rPr/>
            </w:r>
          </w:p>
        </w:tc>
        <w:tc>
          <w:tcPr>
            <w:tcW w:w="161" w:type="dxa"/>
            <w:tcBorders/>
            <w:shd w:fill="CCEEFF" w:val="clear"/>
            <w:vAlign w:val="bottom"/>
          </w:tcPr>
          <w:p>
            <w:pPr>
              <w:pStyle w:val="TableContents"/>
              <w:bidi w:val="0"/>
              <w:spacing w:before="0" w:after="283"/>
              <w:jc w:val="left"/>
              <w:rPr/>
            </w:pPr>
            <w:r>
              <w:rPr/>
            </w:r>
          </w:p>
        </w:tc>
        <w:tc>
          <w:tcPr>
            <w:tcW w:w="1263" w:type="dxa"/>
            <w:tcBorders/>
            <w:shd w:fill="CCEEFF" w:val="clear"/>
            <w:vAlign w:val="bottom"/>
          </w:tcPr>
          <w:p>
            <w:pPr>
              <w:pStyle w:val="TableContents"/>
              <w:bidi w:val="0"/>
              <w:spacing w:before="0" w:after="283"/>
              <w:jc w:val="left"/>
              <w:rPr/>
            </w:pPr>
            <w:r>
              <w:rPr/>
            </w:r>
          </w:p>
        </w:tc>
        <w:tc>
          <w:tcPr>
            <w:tcW w:w="95" w:type="dxa"/>
            <w:tcBorders/>
            <w:shd w:fill="CCEEFF" w:val="clear"/>
            <w:vAlign w:val="bottom"/>
          </w:tcPr>
          <w:p>
            <w:pPr>
              <w:pStyle w:val="TableContents"/>
              <w:bidi w:val="0"/>
              <w:spacing w:before="0" w:after="283"/>
              <w:jc w:val="left"/>
              <w:rPr/>
            </w:pPr>
            <w:r>
              <w:rPr/>
            </w:r>
          </w:p>
        </w:tc>
        <w:tc>
          <w:tcPr>
            <w:tcW w:w="23" w:type="dxa"/>
            <w:tcBorders/>
            <w:shd w:fill="CCEEFF" w:val="clear"/>
            <w:vAlign w:val="bottom"/>
          </w:tcPr>
          <w:p>
            <w:pPr>
              <w:pStyle w:val="TableContents"/>
              <w:bidi w:val="0"/>
              <w:spacing w:before="0" w:after="283"/>
              <w:jc w:val="left"/>
              <w:rPr/>
            </w:pPr>
            <w:r>
              <w:rPr/>
            </w:r>
          </w:p>
        </w:tc>
        <w:tc>
          <w:tcPr>
            <w:tcW w:w="155" w:type="dxa"/>
            <w:tcBorders/>
            <w:shd w:fill="CCEEFF" w:val="clear"/>
            <w:vAlign w:val="bottom"/>
          </w:tcPr>
          <w:p>
            <w:pPr>
              <w:pStyle w:val="TableContents"/>
              <w:bidi w:val="0"/>
              <w:spacing w:before="0" w:after="283"/>
              <w:jc w:val="left"/>
              <w:rPr/>
            </w:pPr>
            <w:r>
              <w:rPr/>
            </w:r>
          </w:p>
        </w:tc>
        <w:tc>
          <w:tcPr>
            <w:tcW w:w="1234" w:type="dxa"/>
            <w:tcBorders/>
            <w:shd w:fill="CCEEFF" w:val="clear"/>
            <w:vAlign w:val="bottom"/>
          </w:tcPr>
          <w:p>
            <w:pPr>
              <w:pStyle w:val="TableContents"/>
              <w:bidi w:val="0"/>
              <w:spacing w:before="0" w:after="283"/>
              <w:jc w:val="left"/>
              <w:rPr/>
            </w:pPr>
            <w:r>
              <w:rPr/>
            </w:r>
          </w:p>
        </w:tc>
        <w:tc>
          <w:tcPr>
            <w:tcW w:w="119" w:type="dxa"/>
            <w:tcBorders/>
            <w:shd w:fill="CCEEFF" w:val="clear"/>
            <w:vAlign w:val="bottom"/>
          </w:tcPr>
          <w:p>
            <w:pPr>
              <w:pStyle w:val="TableContents"/>
              <w:bidi w:val="0"/>
              <w:spacing w:before="0" w:after="283"/>
              <w:jc w:val="left"/>
              <w:rPr/>
            </w:pPr>
            <w:r>
              <w:rPr/>
            </w:r>
          </w:p>
        </w:tc>
        <w:tc>
          <w:tcPr>
            <w:tcW w:w="28" w:type="dxa"/>
            <w:tcBorders/>
            <w:shd w:fill="CCEEFF" w:val="clear"/>
            <w:vAlign w:val="bottom"/>
          </w:tcPr>
          <w:p>
            <w:pPr>
              <w:pStyle w:val="TableContents"/>
              <w:bidi w:val="0"/>
              <w:spacing w:before="0" w:after="283"/>
              <w:jc w:val="left"/>
              <w:rPr/>
            </w:pPr>
            <w:r>
              <w:rPr/>
            </w:r>
          </w:p>
        </w:tc>
        <w:tc>
          <w:tcPr>
            <w:tcW w:w="156" w:type="dxa"/>
            <w:tcBorders/>
            <w:shd w:fill="CCEEFF" w:val="clear"/>
            <w:vAlign w:val="bottom"/>
          </w:tcPr>
          <w:p>
            <w:pPr>
              <w:pStyle w:val="TableContents"/>
              <w:bidi w:val="0"/>
              <w:spacing w:before="0" w:after="283"/>
              <w:jc w:val="left"/>
              <w:rPr/>
            </w:pPr>
            <w:r>
              <w:rPr/>
            </w:r>
          </w:p>
        </w:tc>
        <w:tc>
          <w:tcPr>
            <w:tcW w:w="1234" w:type="dxa"/>
            <w:tcBorders/>
            <w:shd w:fill="CCEEFF" w:val="clear"/>
            <w:vAlign w:val="bottom"/>
          </w:tcPr>
          <w:p>
            <w:pPr>
              <w:pStyle w:val="TableContents"/>
              <w:bidi w:val="0"/>
              <w:spacing w:before="0" w:after="283"/>
              <w:jc w:val="left"/>
              <w:rPr/>
            </w:pPr>
            <w:r>
              <w:rPr/>
            </w:r>
          </w:p>
        </w:tc>
        <w:tc>
          <w:tcPr>
            <w:tcW w:w="119" w:type="dxa"/>
            <w:tcBorders/>
            <w:shd w:fill="CCEEFF" w:val="clear"/>
            <w:vAlign w:val="center"/>
          </w:tcPr>
          <w:p>
            <w:pPr>
              <w:pStyle w:val="TableContents"/>
              <w:bidi w:val="0"/>
              <w:spacing w:before="0" w:after="283"/>
              <w:jc w:val="left"/>
              <w:rPr/>
            </w:pPr>
            <w:r>
              <w:rPr/>
            </w:r>
          </w:p>
        </w:tc>
      </w:tr>
      <w:tr>
        <w:trPr/>
        <w:tc>
          <w:tcPr>
            <w:tcW w:w="4020" w:type="dxa"/>
            <w:tcBorders/>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Basic weighted average shares outstanding </w:t>
            </w:r>
          </w:p>
        </w:tc>
        <w:tc>
          <w:tcPr>
            <w:tcW w:w="23" w:type="dxa"/>
            <w:tcBorders/>
            <w:vAlign w:val="center"/>
          </w:tcPr>
          <w:p>
            <w:pPr>
              <w:pStyle w:val="TableContents"/>
              <w:bidi w:val="0"/>
              <w:spacing w:before="0" w:after="283"/>
              <w:jc w:val="left"/>
              <w:rPr/>
            </w:pPr>
            <w:r>
              <w:rPr/>
            </w:r>
          </w:p>
        </w:tc>
        <w:tc>
          <w:tcPr>
            <w:tcW w:w="161" w:type="dxa"/>
            <w:tcBorders/>
            <w:vAlign w:val="bottom"/>
          </w:tcPr>
          <w:p>
            <w:pPr>
              <w:pStyle w:val="TableContents"/>
              <w:bidi w:val="0"/>
              <w:spacing w:before="0" w:after="283"/>
              <w:jc w:val="left"/>
              <w:rPr/>
            </w:pPr>
            <w:r>
              <w:rPr/>
            </w:r>
          </w:p>
        </w:tc>
        <w:tc>
          <w:tcPr>
            <w:tcW w:w="1263" w:type="dxa"/>
            <w:tcBorders/>
            <w:vAlign w:val="bottom"/>
          </w:tcPr>
          <w:p>
            <w:pPr>
              <w:pStyle w:val="TableContents"/>
              <w:bidi w:val="0"/>
              <w:spacing w:before="0" w:after="283"/>
              <w:jc w:val="right"/>
              <w:rPr/>
            </w:pPr>
            <w:r>
              <w:rPr/>
              <w:t>1,734,250</w:t>
            </w:r>
          </w:p>
        </w:tc>
        <w:tc>
          <w:tcPr>
            <w:tcW w:w="122" w:type="dxa"/>
            <w:tcBorders/>
            <w:vAlign w:val="bottom"/>
          </w:tcPr>
          <w:p>
            <w:pPr>
              <w:pStyle w:val="TableContents"/>
              <w:bidi w:val="0"/>
              <w:spacing w:before="0" w:after="283"/>
              <w:jc w:val="left"/>
              <w:rPr/>
            </w:pPr>
            <w:r>
              <w:rPr/>
            </w:r>
          </w:p>
        </w:tc>
        <w:tc>
          <w:tcPr>
            <w:tcW w:w="29" w:type="dxa"/>
            <w:tcBorders/>
            <w:vAlign w:val="bottom"/>
          </w:tcPr>
          <w:p>
            <w:pPr>
              <w:pStyle w:val="TableContents"/>
              <w:bidi w:val="0"/>
              <w:spacing w:before="0" w:after="283"/>
              <w:jc w:val="left"/>
              <w:rPr/>
            </w:pPr>
            <w:r>
              <w:rPr/>
            </w:r>
          </w:p>
        </w:tc>
        <w:tc>
          <w:tcPr>
            <w:tcW w:w="161" w:type="dxa"/>
            <w:tcBorders/>
            <w:vAlign w:val="bottom"/>
          </w:tcPr>
          <w:p>
            <w:pPr>
              <w:pStyle w:val="TableContents"/>
              <w:bidi w:val="0"/>
              <w:spacing w:before="0" w:after="283"/>
              <w:jc w:val="left"/>
              <w:rPr/>
            </w:pPr>
            <w:r>
              <w:rPr/>
            </w:r>
          </w:p>
        </w:tc>
        <w:tc>
          <w:tcPr>
            <w:tcW w:w="1263" w:type="dxa"/>
            <w:tcBorders/>
            <w:vAlign w:val="bottom"/>
          </w:tcPr>
          <w:p>
            <w:pPr>
              <w:pStyle w:val="TableContents"/>
              <w:bidi w:val="0"/>
              <w:spacing w:before="0" w:after="283"/>
              <w:jc w:val="right"/>
              <w:rPr/>
            </w:pPr>
            <w:r>
              <w:rPr/>
              <w:t>1,599,534</w:t>
            </w:r>
          </w:p>
        </w:tc>
        <w:tc>
          <w:tcPr>
            <w:tcW w:w="95" w:type="dxa"/>
            <w:tcBorders/>
            <w:vAlign w:val="bottom"/>
          </w:tcPr>
          <w:p>
            <w:pPr>
              <w:pStyle w:val="TableContents"/>
              <w:bidi w:val="0"/>
              <w:spacing w:before="0" w:after="283"/>
              <w:jc w:val="left"/>
              <w:rPr/>
            </w:pPr>
            <w:r>
              <w:rPr/>
            </w:r>
          </w:p>
        </w:tc>
        <w:tc>
          <w:tcPr>
            <w:tcW w:w="23" w:type="dxa"/>
            <w:tcBorders/>
            <w:vAlign w:val="bottom"/>
          </w:tcPr>
          <w:p>
            <w:pPr>
              <w:pStyle w:val="TableContents"/>
              <w:bidi w:val="0"/>
              <w:spacing w:before="0" w:after="283"/>
              <w:jc w:val="left"/>
              <w:rPr/>
            </w:pPr>
            <w:r>
              <w:rPr/>
            </w:r>
          </w:p>
        </w:tc>
        <w:tc>
          <w:tcPr>
            <w:tcW w:w="155" w:type="dxa"/>
            <w:tcBorders/>
            <w:vAlign w:val="bottom"/>
          </w:tcPr>
          <w:p>
            <w:pPr>
              <w:pStyle w:val="TableContents"/>
              <w:bidi w:val="0"/>
              <w:spacing w:before="0" w:after="283"/>
              <w:jc w:val="left"/>
              <w:rPr/>
            </w:pPr>
            <w:r>
              <w:rPr/>
            </w:r>
          </w:p>
        </w:tc>
        <w:tc>
          <w:tcPr>
            <w:tcW w:w="1234" w:type="dxa"/>
            <w:tcBorders/>
            <w:vAlign w:val="bottom"/>
          </w:tcPr>
          <w:p>
            <w:pPr>
              <w:pStyle w:val="TableContents"/>
              <w:bidi w:val="0"/>
              <w:spacing w:before="0" w:after="283"/>
              <w:jc w:val="right"/>
              <w:rPr/>
            </w:pPr>
            <w:r>
              <w:rPr/>
              <w:t>1,706,130</w:t>
            </w:r>
          </w:p>
        </w:tc>
        <w:tc>
          <w:tcPr>
            <w:tcW w:w="119" w:type="dxa"/>
            <w:tcBorders/>
            <w:vAlign w:val="bottom"/>
          </w:tcPr>
          <w:p>
            <w:pPr>
              <w:pStyle w:val="TableContents"/>
              <w:bidi w:val="0"/>
              <w:spacing w:before="0" w:after="283"/>
              <w:jc w:val="left"/>
              <w:rPr/>
            </w:pPr>
            <w:r>
              <w:rPr/>
            </w:r>
          </w:p>
        </w:tc>
        <w:tc>
          <w:tcPr>
            <w:tcW w:w="28" w:type="dxa"/>
            <w:tcBorders/>
            <w:vAlign w:val="bottom"/>
          </w:tcPr>
          <w:p>
            <w:pPr>
              <w:pStyle w:val="TableContents"/>
              <w:bidi w:val="0"/>
              <w:spacing w:before="0" w:after="283"/>
              <w:jc w:val="left"/>
              <w:rPr/>
            </w:pPr>
            <w:r>
              <w:rPr/>
            </w:r>
          </w:p>
        </w:tc>
        <w:tc>
          <w:tcPr>
            <w:tcW w:w="156" w:type="dxa"/>
            <w:tcBorders/>
            <w:vAlign w:val="bottom"/>
          </w:tcPr>
          <w:p>
            <w:pPr>
              <w:pStyle w:val="TableContents"/>
              <w:bidi w:val="0"/>
              <w:spacing w:before="0" w:after="283"/>
              <w:jc w:val="left"/>
              <w:rPr/>
            </w:pPr>
            <w:r>
              <w:rPr/>
            </w:r>
          </w:p>
        </w:tc>
        <w:tc>
          <w:tcPr>
            <w:tcW w:w="1234" w:type="dxa"/>
            <w:tcBorders/>
            <w:vAlign w:val="bottom"/>
          </w:tcPr>
          <w:p>
            <w:pPr>
              <w:pStyle w:val="TableContents"/>
              <w:bidi w:val="0"/>
              <w:spacing w:before="0" w:after="283"/>
              <w:jc w:val="right"/>
              <w:rPr/>
            </w:pPr>
            <w:r>
              <w:rPr/>
              <w:t>1,598,495</w:t>
            </w:r>
          </w:p>
        </w:tc>
        <w:tc>
          <w:tcPr>
            <w:tcW w:w="119" w:type="dxa"/>
            <w:tcBorders/>
            <w:vAlign w:val="center"/>
          </w:tcPr>
          <w:p>
            <w:pPr>
              <w:pStyle w:val="TableContents"/>
              <w:bidi w:val="0"/>
              <w:spacing w:before="0" w:after="283"/>
              <w:jc w:val="left"/>
              <w:rPr/>
            </w:pPr>
            <w:r>
              <w:rPr/>
            </w:r>
          </w:p>
        </w:tc>
      </w:tr>
      <w:tr>
        <w:trPr/>
        <w:tc>
          <w:tcPr>
            <w:tcW w:w="4020"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Dilutive common stock equivalents using treasury stock method </w:t>
            </w:r>
          </w:p>
        </w:tc>
        <w:tc>
          <w:tcPr>
            <w:tcW w:w="23" w:type="dxa"/>
            <w:tcBorders/>
            <w:shd w:fill="CCEEFF" w:val="clear"/>
            <w:vAlign w:val="center"/>
          </w:tcPr>
          <w:p>
            <w:pPr>
              <w:pStyle w:val="TableContents"/>
              <w:bidi w:val="0"/>
              <w:spacing w:before="0" w:after="283"/>
              <w:jc w:val="left"/>
              <w:rPr/>
            </w:pPr>
            <w:r>
              <w:rPr/>
            </w:r>
          </w:p>
        </w:tc>
        <w:tc>
          <w:tcPr>
            <w:tcW w:w="161" w:type="dxa"/>
            <w:tcBorders/>
            <w:shd w:fill="CCEEFF" w:val="clear"/>
            <w:vAlign w:val="bottom"/>
          </w:tcPr>
          <w:p>
            <w:pPr>
              <w:pStyle w:val="TableContents"/>
              <w:bidi w:val="0"/>
              <w:spacing w:before="0" w:after="283"/>
              <w:jc w:val="left"/>
              <w:rPr/>
            </w:pPr>
            <w:r>
              <w:rPr/>
            </w:r>
          </w:p>
        </w:tc>
        <w:tc>
          <w:tcPr>
            <w:tcW w:w="1263" w:type="dxa"/>
            <w:tcBorders/>
            <w:shd w:fill="CCEEFF" w:val="clear"/>
            <w:vAlign w:val="bottom"/>
          </w:tcPr>
          <w:p>
            <w:pPr>
              <w:pStyle w:val="TableContents"/>
              <w:bidi w:val="0"/>
              <w:spacing w:before="0" w:after="283"/>
              <w:jc w:val="right"/>
              <w:rPr/>
            </w:pPr>
            <w:r>
              <w:rPr/>
              <w:t>—</w:t>
            </w:r>
          </w:p>
        </w:tc>
        <w:tc>
          <w:tcPr>
            <w:tcW w:w="122" w:type="dxa"/>
            <w:tcBorders/>
            <w:shd w:fill="CCEEFF" w:val="clear"/>
            <w:vAlign w:val="bottom"/>
          </w:tcPr>
          <w:p>
            <w:pPr>
              <w:pStyle w:val="TableContents"/>
              <w:bidi w:val="0"/>
              <w:spacing w:before="0" w:after="283"/>
              <w:jc w:val="left"/>
              <w:rPr/>
            </w:pPr>
            <w:r>
              <w:rPr/>
            </w:r>
          </w:p>
        </w:tc>
        <w:tc>
          <w:tcPr>
            <w:tcW w:w="29" w:type="dxa"/>
            <w:tcBorders/>
            <w:shd w:fill="CCEEFF" w:val="clear"/>
            <w:vAlign w:val="bottom"/>
          </w:tcPr>
          <w:p>
            <w:pPr>
              <w:pStyle w:val="TableContents"/>
              <w:bidi w:val="0"/>
              <w:spacing w:before="0" w:after="283"/>
              <w:jc w:val="left"/>
              <w:rPr/>
            </w:pPr>
            <w:r>
              <w:rPr/>
            </w:r>
          </w:p>
        </w:tc>
        <w:tc>
          <w:tcPr>
            <w:tcW w:w="161" w:type="dxa"/>
            <w:tcBorders/>
            <w:shd w:fill="CCEEFF" w:val="clear"/>
            <w:vAlign w:val="bottom"/>
          </w:tcPr>
          <w:p>
            <w:pPr>
              <w:pStyle w:val="TableContents"/>
              <w:bidi w:val="0"/>
              <w:spacing w:before="0" w:after="283"/>
              <w:jc w:val="left"/>
              <w:rPr/>
            </w:pPr>
            <w:r>
              <w:rPr/>
            </w:r>
          </w:p>
        </w:tc>
        <w:tc>
          <w:tcPr>
            <w:tcW w:w="1263"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r>
          </w:p>
        </w:tc>
        <w:tc>
          <w:tcPr>
            <w:tcW w:w="23" w:type="dxa"/>
            <w:tcBorders/>
            <w:shd w:fill="CCEEFF" w:val="clear"/>
            <w:vAlign w:val="bottom"/>
          </w:tcPr>
          <w:p>
            <w:pPr>
              <w:pStyle w:val="TableContents"/>
              <w:bidi w:val="0"/>
              <w:spacing w:before="0" w:after="283"/>
              <w:jc w:val="left"/>
              <w:rPr/>
            </w:pPr>
            <w:r>
              <w:rPr/>
            </w:r>
          </w:p>
        </w:tc>
        <w:tc>
          <w:tcPr>
            <w:tcW w:w="155" w:type="dxa"/>
            <w:tcBorders/>
            <w:shd w:fill="CCEEFF" w:val="clear"/>
            <w:vAlign w:val="bottom"/>
          </w:tcPr>
          <w:p>
            <w:pPr>
              <w:pStyle w:val="TableContents"/>
              <w:bidi w:val="0"/>
              <w:spacing w:before="0" w:after="283"/>
              <w:jc w:val="left"/>
              <w:rPr/>
            </w:pPr>
            <w:r>
              <w:rPr/>
            </w:r>
          </w:p>
        </w:tc>
        <w:tc>
          <w:tcPr>
            <w:tcW w:w="1234" w:type="dxa"/>
            <w:tcBorders/>
            <w:shd w:fill="CCEEFF" w:val="clear"/>
            <w:vAlign w:val="bottom"/>
          </w:tcPr>
          <w:p>
            <w:pPr>
              <w:pStyle w:val="TableContents"/>
              <w:bidi w:val="0"/>
              <w:spacing w:before="0" w:after="283"/>
              <w:jc w:val="right"/>
              <w:rPr/>
            </w:pPr>
            <w:r>
              <w:rPr/>
              <w:t>—</w:t>
            </w:r>
          </w:p>
        </w:tc>
        <w:tc>
          <w:tcPr>
            <w:tcW w:w="119" w:type="dxa"/>
            <w:tcBorders/>
            <w:shd w:fill="CCEEFF" w:val="clear"/>
            <w:vAlign w:val="bottom"/>
          </w:tcPr>
          <w:p>
            <w:pPr>
              <w:pStyle w:val="TableContents"/>
              <w:bidi w:val="0"/>
              <w:spacing w:before="0" w:after="283"/>
              <w:jc w:val="left"/>
              <w:rPr/>
            </w:pPr>
            <w:r>
              <w:rPr/>
            </w:r>
          </w:p>
        </w:tc>
        <w:tc>
          <w:tcPr>
            <w:tcW w:w="28" w:type="dxa"/>
            <w:tcBorders/>
            <w:shd w:fill="CCEEFF" w:val="clear"/>
            <w:vAlign w:val="bottom"/>
          </w:tcPr>
          <w:p>
            <w:pPr>
              <w:pStyle w:val="TableContents"/>
              <w:bidi w:val="0"/>
              <w:spacing w:before="0" w:after="283"/>
              <w:jc w:val="left"/>
              <w:rPr/>
            </w:pPr>
            <w:r>
              <w:rPr/>
            </w:r>
          </w:p>
        </w:tc>
        <w:tc>
          <w:tcPr>
            <w:tcW w:w="156" w:type="dxa"/>
            <w:tcBorders/>
            <w:shd w:fill="CCEEFF" w:val="clear"/>
            <w:vAlign w:val="bottom"/>
          </w:tcPr>
          <w:p>
            <w:pPr>
              <w:pStyle w:val="TableContents"/>
              <w:bidi w:val="0"/>
              <w:spacing w:before="0" w:after="283"/>
              <w:jc w:val="left"/>
              <w:rPr/>
            </w:pPr>
            <w:r>
              <w:rPr/>
            </w:r>
          </w:p>
        </w:tc>
        <w:tc>
          <w:tcPr>
            <w:tcW w:w="1234" w:type="dxa"/>
            <w:tcBorders/>
            <w:shd w:fill="CCEEFF" w:val="clear"/>
            <w:vAlign w:val="bottom"/>
          </w:tcPr>
          <w:p>
            <w:pPr>
              <w:pStyle w:val="TableContents"/>
              <w:bidi w:val="0"/>
              <w:spacing w:before="0" w:after="283"/>
              <w:jc w:val="right"/>
              <w:rPr/>
            </w:pPr>
            <w:r>
              <w:rPr/>
              <w:t>—</w:t>
            </w:r>
          </w:p>
        </w:tc>
        <w:tc>
          <w:tcPr>
            <w:tcW w:w="119" w:type="dxa"/>
            <w:tcBorders/>
            <w:shd w:fill="CCEEFF" w:val="clear"/>
            <w:vAlign w:val="center"/>
          </w:tcPr>
          <w:p>
            <w:pPr>
              <w:pStyle w:val="TableContents"/>
              <w:bidi w:val="0"/>
              <w:spacing w:before="0" w:after="283"/>
              <w:jc w:val="left"/>
              <w:rPr/>
            </w:pPr>
            <w:r>
              <w:rPr/>
            </w:r>
          </w:p>
        </w:tc>
      </w:tr>
      <w:tr>
        <w:trPr/>
        <w:tc>
          <w:tcPr>
            <w:tcW w:w="402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Diluted weighted average shares outstanding </w:t>
            </w:r>
          </w:p>
        </w:tc>
        <w:tc>
          <w:tcPr>
            <w:tcW w:w="23" w:type="dxa"/>
            <w:tcBorders/>
            <w:vAlign w:val="center"/>
          </w:tcPr>
          <w:p>
            <w:pPr>
              <w:pStyle w:val="TableContents"/>
              <w:bidi w:val="0"/>
              <w:spacing w:before="0" w:after="283"/>
              <w:jc w:val="left"/>
              <w:rPr/>
            </w:pPr>
            <w:r>
              <w:rPr/>
            </w:r>
          </w:p>
        </w:tc>
        <w:tc>
          <w:tcPr>
            <w:tcW w:w="161" w:type="dxa"/>
            <w:tcBorders/>
            <w:vAlign w:val="bottom"/>
          </w:tcPr>
          <w:p>
            <w:pPr>
              <w:pStyle w:val="TableContents"/>
              <w:bidi w:val="0"/>
              <w:spacing w:before="0" w:after="283"/>
              <w:jc w:val="left"/>
              <w:rPr/>
            </w:pPr>
            <w:r>
              <w:rPr/>
            </w:r>
          </w:p>
        </w:tc>
        <w:tc>
          <w:tcPr>
            <w:tcW w:w="1263" w:type="dxa"/>
            <w:tcBorders/>
            <w:vAlign w:val="bottom"/>
          </w:tcPr>
          <w:p>
            <w:pPr>
              <w:pStyle w:val="TableContents"/>
              <w:bidi w:val="0"/>
              <w:spacing w:before="0" w:after="283"/>
              <w:jc w:val="right"/>
              <w:rPr/>
            </w:pPr>
            <w:r>
              <w:rPr/>
              <w:t>1,734,250</w:t>
            </w:r>
          </w:p>
        </w:tc>
        <w:tc>
          <w:tcPr>
            <w:tcW w:w="122" w:type="dxa"/>
            <w:tcBorders/>
            <w:vAlign w:val="bottom"/>
          </w:tcPr>
          <w:p>
            <w:pPr>
              <w:pStyle w:val="TableContents"/>
              <w:bidi w:val="0"/>
              <w:spacing w:before="0" w:after="283"/>
              <w:jc w:val="left"/>
              <w:rPr/>
            </w:pPr>
            <w:r>
              <w:rPr/>
            </w:r>
          </w:p>
        </w:tc>
        <w:tc>
          <w:tcPr>
            <w:tcW w:w="29" w:type="dxa"/>
            <w:tcBorders/>
            <w:vAlign w:val="bottom"/>
          </w:tcPr>
          <w:p>
            <w:pPr>
              <w:pStyle w:val="TableContents"/>
              <w:bidi w:val="0"/>
              <w:spacing w:before="0" w:after="283"/>
              <w:jc w:val="left"/>
              <w:rPr/>
            </w:pPr>
            <w:r>
              <w:rPr/>
            </w:r>
          </w:p>
        </w:tc>
        <w:tc>
          <w:tcPr>
            <w:tcW w:w="161" w:type="dxa"/>
            <w:tcBorders/>
            <w:vAlign w:val="bottom"/>
          </w:tcPr>
          <w:p>
            <w:pPr>
              <w:pStyle w:val="TableContents"/>
              <w:bidi w:val="0"/>
              <w:spacing w:before="0" w:after="283"/>
              <w:jc w:val="left"/>
              <w:rPr/>
            </w:pPr>
            <w:r>
              <w:rPr/>
            </w:r>
          </w:p>
        </w:tc>
        <w:tc>
          <w:tcPr>
            <w:tcW w:w="1263" w:type="dxa"/>
            <w:tcBorders/>
            <w:vAlign w:val="bottom"/>
          </w:tcPr>
          <w:p>
            <w:pPr>
              <w:pStyle w:val="TableContents"/>
              <w:bidi w:val="0"/>
              <w:spacing w:before="0" w:after="283"/>
              <w:jc w:val="right"/>
              <w:rPr/>
            </w:pPr>
            <w:r>
              <w:rPr/>
              <w:t>1,599,534</w:t>
            </w:r>
          </w:p>
        </w:tc>
        <w:tc>
          <w:tcPr>
            <w:tcW w:w="95" w:type="dxa"/>
            <w:tcBorders/>
            <w:vAlign w:val="bottom"/>
          </w:tcPr>
          <w:p>
            <w:pPr>
              <w:pStyle w:val="TableContents"/>
              <w:bidi w:val="0"/>
              <w:spacing w:before="0" w:after="283"/>
              <w:jc w:val="left"/>
              <w:rPr/>
            </w:pPr>
            <w:r>
              <w:rPr/>
            </w:r>
          </w:p>
        </w:tc>
        <w:tc>
          <w:tcPr>
            <w:tcW w:w="23" w:type="dxa"/>
            <w:tcBorders/>
            <w:vAlign w:val="bottom"/>
          </w:tcPr>
          <w:p>
            <w:pPr>
              <w:pStyle w:val="TableContents"/>
              <w:bidi w:val="0"/>
              <w:spacing w:before="0" w:after="283"/>
              <w:jc w:val="left"/>
              <w:rPr/>
            </w:pPr>
            <w:r>
              <w:rPr/>
            </w:r>
          </w:p>
        </w:tc>
        <w:tc>
          <w:tcPr>
            <w:tcW w:w="155" w:type="dxa"/>
            <w:tcBorders/>
            <w:vAlign w:val="bottom"/>
          </w:tcPr>
          <w:p>
            <w:pPr>
              <w:pStyle w:val="TableContents"/>
              <w:bidi w:val="0"/>
              <w:spacing w:before="0" w:after="283"/>
              <w:jc w:val="left"/>
              <w:rPr/>
            </w:pPr>
            <w:r>
              <w:rPr/>
            </w:r>
          </w:p>
        </w:tc>
        <w:tc>
          <w:tcPr>
            <w:tcW w:w="1234" w:type="dxa"/>
            <w:tcBorders/>
            <w:vAlign w:val="bottom"/>
          </w:tcPr>
          <w:p>
            <w:pPr>
              <w:pStyle w:val="TableContents"/>
              <w:bidi w:val="0"/>
              <w:spacing w:before="0" w:after="283"/>
              <w:jc w:val="right"/>
              <w:rPr/>
            </w:pPr>
            <w:r>
              <w:rPr/>
              <w:t>1,706,130</w:t>
            </w:r>
          </w:p>
        </w:tc>
        <w:tc>
          <w:tcPr>
            <w:tcW w:w="119" w:type="dxa"/>
            <w:tcBorders/>
            <w:vAlign w:val="bottom"/>
          </w:tcPr>
          <w:p>
            <w:pPr>
              <w:pStyle w:val="TableContents"/>
              <w:bidi w:val="0"/>
              <w:spacing w:before="0" w:after="283"/>
              <w:jc w:val="left"/>
              <w:rPr/>
            </w:pPr>
            <w:r>
              <w:rPr/>
            </w:r>
          </w:p>
        </w:tc>
        <w:tc>
          <w:tcPr>
            <w:tcW w:w="28" w:type="dxa"/>
            <w:tcBorders/>
            <w:vAlign w:val="bottom"/>
          </w:tcPr>
          <w:p>
            <w:pPr>
              <w:pStyle w:val="TableContents"/>
              <w:bidi w:val="0"/>
              <w:spacing w:before="0" w:after="283"/>
              <w:jc w:val="left"/>
              <w:rPr/>
            </w:pPr>
            <w:r>
              <w:rPr/>
            </w:r>
          </w:p>
        </w:tc>
        <w:tc>
          <w:tcPr>
            <w:tcW w:w="156" w:type="dxa"/>
            <w:tcBorders/>
            <w:vAlign w:val="bottom"/>
          </w:tcPr>
          <w:p>
            <w:pPr>
              <w:pStyle w:val="TableContents"/>
              <w:bidi w:val="0"/>
              <w:spacing w:before="0" w:after="283"/>
              <w:jc w:val="left"/>
              <w:rPr/>
            </w:pPr>
            <w:r>
              <w:rPr/>
            </w:r>
          </w:p>
        </w:tc>
        <w:tc>
          <w:tcPr>
            <w:tcW w:w="1234" w:type="dxa"/>
            <w:tcBorders/>
            <w:vAlign w:val="bottom"/>
          </w:tcPr>
          <w:p>
            <w:pPr>
              <w:pStyle w:val="TableContents"/>
              <w:bidi w:val="0"/>
              <w:spacing w:before="0" w:after="283"/>
              <w:jc w:val="right"/>
              <w:rPr/>
            </w:pPr>
            <w:r>
              <w:rPr/>
              <w:t>1,598,495</w:t>
            </w:r>
          </w:p>
        </w:tc>
        <w:tc>
          <w:tcPr>
            <w:tcW w:w="119" w:type="dxa"/>
            <w:tcBorders/>
            <w:vAlign w:val="center"/>
          </w:tcPr>
          <w:p>
            <w:pPr>
              <w:pStyle w:val="TableContents"/>
              <w:bidi w:val="0"/>
              <w:spacing w:before="0" w:after="283"/>
              <w:jc w:val="left"/>
              <w:rPr/>
            </w:pPr>
            <w:r>
              <w:rPr/>
            </w:r>
          </w:p>
        </w:tc>
      </w:tr>
      <w:tr>
        <w:trPr/>
        <w:tc>
          <w:tcPr>
            <w:tcW w:w="4020" w:type="dxa"/>
            <w:tcBorders/>
            <w:shd w:fill="CCEEFF" w:val="clear"/>
            <w:vAlign w:val="center"/>
          </w:tcPr>
          <w:p>
            <w:pPr>
              <w:pStyle w:val="TableContents"/>
              <w:bidi w:val="0"/>
              <w:spacing w:before="0" w:after="0"/>
              <w:ind w:left="0" w:right="0" w:hanging="0"/>
              <w:jc w:val="left"/>
              <w:rPr/>
            </w:pPr>
            <w:r>
              <w:rPr/>
              <w:t xml:space="preserve">  </w:t>
            </w:r>
          </w:p>
        </w:tc>
        <w:tc>
          <w:tcPr>
            <w:tcW w:w="23" w:type="dxa"/>
            <w:tcBorders/>
            <w:shd w:fill="CCEEFF" w:val="clear"/>
            <w:vAlign w:val="center"/>
          </w:tcPr>
          <w:p>
            <w:pPr>
              <w:pStyle w:val="TableContents"/>
              <w:bidi w:val="0"/>
              <w:spacing w:before="0" w:after="283"/>
              <w:jc w:val="left"/>
              <w:rPr/>
            </w:pPr>
            <w:r>
              <w:rPr/>
            </w:r>
          </w:p>
        </w:tc>
        <w:tc>
          <w:tcPr>
            <w:tcW w:w="161" w:type="dxa"/>
            <w:tcBorders/>
            <w:shd w:fill="CCEEFF" w:val="clear"/>
            <w:vAlign w:val="bottom"/>
          </w:tcPr>
          <w:p>
            <w:pPr>
              <w:pStyle w:val="TableContents"/>
              <w:bidi w:val="0"/>
              <w:spacing w:before="0" w:after="283"/>
              <w:jc w:val="left"/>
              <w:rPr/>
            </w:pPr>
            <w:r>
              <w:rPr/>
            </w:r>
          </w:p>
        </w:tc>
        <w:tc>
          <w:tcPr>
            <w:tcW w:w="1263" w:type="dxa"/>
            <w:tcBorders/>
            <w:shd w:fill="CCEEFF" w:val="clear"/>
            <w:vAlign w:val="bottom"/>
          </w:tcPr>
          <w:p>
            <w:pPr>
              <w:pStyle w:val="TableContents"/>
              <w:bidi w:val="0"/>
              <w:spacing w:before="0" w:after="283"/>
              <w:jc w:val="left"/>
              <w:rPr/>
            </w:pPr>
            <w:r>
              <w:rPr/>
            </w:r>
          </w:p>
        </w:tc>
        <w:tc>
          <w:tcPr>
            <w:tcW w:w="122" w:type="dxa"/>
            <w:tcBorders/>
            <w:shd w:fill="CCEEFF" w:val="clear"/>
            <w:vAlign w:val="bottom"/>
          </w:tcPr>
          <w:p>
            <w:pPr>
              <w:pStyle w:val="TableContents"/>
              <w:bidi w:val="0"/>
              <w:spacing w:before="0" w:after="283"/>
              <w:jc w:val="left"/>
              <w:rPr/>
            </w:pPr>
            <w:r>
              <w:rPr/>
            </w:r>
          </w:p>
        </w:tc>
        <w:tc>
          <w:tcPr>
            <w:tcW w:w="29" w:type="dxa"/>
            <w:tcBorders/>
            <w:shd w:fill="CCEEFF" w:val="clear"/>
            <w:vAlign w:val="bottom"/>
          </w:tcPr>
          <w:p>
            <w:pPr>
              <w:pStyle w:val="TableContents"/>
              <w:bidi w:val="0"/>
              <w:spacing w:before="0" w:after="283"/>
              <w:jc w:val="left"/>
              <w:rPr/>
            </w:pPr>
            <w:r>
              <w:rPr/>
            </w:r>
          </w:p>
        </w:tc>
        <w:tc>
          <w:tcPr>
            <w:tcW w:w="161" w:type="dxa"/>
            <w:tcBorders/>
            <w:shd w:fill="CCEEFF" w:val="clear"/>
            <w:vAlign w:val="bottom"/>
          </w:tcPr>
          <w:p>
            <w:pPr>
              <w:pStyle w:val="TableContents"/>
              <w:bidi w:val="0"/>
              <w:spacing w:before="0" w:after="283"/>
              <w:jc w:val="left"/>
              <w:rPr/>
            </w:pPr>
            <w:r>
              <w:rPr/>
            </w:r>
          </w:p>
        </w:tc>
        <w:tc>
          <w:tcPr>
            <w:tcW w:w="1263" w:type="dxa"/>
            <w:tcBorders/>
            <w:shd w:fill="CCEEFF" w:val="clear"/>
            <w:vAlign w:val="bottom"/>
          </w:tcPr>
          <w:p>
            <w:pPr>
              <w:pStyle w:val="TableContents"/>
              <w:bidi w:val="0"/>
              <w:spacing w:before="0" w:after="283"/>
              <w:jc w:val="left"/>
              <w:rPr/>
            </w:pPr>
            <w:r>
              <w:rPr/>
            </w:r>
          </w:p>
        </w:tc>
        <w:tc>
          <w:tcPr>
            <w:tcW w:w="95" w:type="dxa"/>
            <w:tcBorders/>
            <w:shd w:fill="CCEEFF" w:val="clear"/>
            <w:vAlign w:val="bottom"/>
          </w:tcPr>
          <w:p>
            <w:pPr>
              <w:pStyle w:val="TableContents"/>
              <w:bidi w:val="0"/>
              <w:spacing w:before="0" w:after="283"/>
              <w:jc w:val="left"/>
              <w:rPr/>
            </w:pPr>
            <w:r>
              <w:rPr/>
            </w:r>
          </w:p>
        </w:tc>
        <w:tc>
          <w:tcPr>
            <w:tcW w:w="23" w:type="dxa"/>
            <w:tcBorders/>
            <w:shd w:fill="CCEEFF" w:val="clear"/>
            <w:vAlign w:val="bottom"/>
          </w:tcPr>
          <w:p>
            <w:pPr>
              <w:pStyle w:val="TableContents"/>
              <w:bidi w:val="0"/>
              <w:spacing w:before="0" w:after="283"/>
              <w:jc w:val="left"/>
              <w:rPr/>
            </w:pPr>
            <w:r>
              <w:rPr/>
            </w:r>
          </w:p>
        </w:tc>
        <w:tc>
          <w:tcPr>
            <w:tcW w:w="155" w:type="dxa"/>
            <w:tcBorders/>
            <w:shd w:fill="CCEEFF" w:val="clear"/>
            <w:vAlign w:val="bottom"/>
          </w:tcPr>
          <w:p>
            <w:pPr>
              <w:pStyle w:val="TableContents"/>
              <w:bidi w:val="0"/>
              <w:spacing w:before="0" w:after="283"/>
              <w:jc w:val="left"/>
              <w:rPr/>
            </w:pPr>
            <w:r>
              <w:rPr/>
            </w:r>
          </w:p>
        </w:tc>
        <w:tc>
          <w:tcPr>
            <w:tcW w:w="1234" w:type="dxa"/>
            <w:tcBorders/>
            <w:shd w:fill="CCEEFF" w:val="clear"/>
            <w:vAlign w:val="bottom"/>
          </w:tcPr>
          <w:p>
            <w:pPr>
              <w:pStyle w:val="TableContents"/>
              <w:bidi w:val="0"/>
              <w:spacing w:before="0" w:after="283"/>
              <w:jc w:val="left"/>
              <w:rPr/>
            </w:pPr>
            <w:r>
              <w:rPr/>
            </w:r>
          </w:p>
        </w:tc>
        <w:tc>
          <w:tcPr>
            <w:tcW w:w="119" w:type="dxa"/>
            <w:tcBorders/>
            <w:shd w:fill="CCEEFF" w:val="clear"/>
            <w:vAlign w:val="bottom"/>
          </w:tcPr>
          <w:p>
            <w:pPr>
              <w:pStyle w:val="TableContents"/>
              <w:bidi w:val="0"/>
              <w:spacing w:before="0" w:after="283"/>
              <w:jc w:val="left"/>
              <w:rPr/>
            </w:pPr>
            <w:r>
              <w:rPr/>
            </w:r>
          </w:p>
        </w:tc>
        <w:tc>
          <w:tcPr>
            <w:tcW w:w="28" w:type="dxa"/>
            <w:tcBorders/>
            <w:shd w:fill="CCEEFF" w:val="clear"/>
            <w:vAlign w:val="bottom"/>
          </w:tcPr>
          <w:p>
            <w:pPr>
              <w:pStyle w:val="TableContents"/>
              <w:bidi w:val="0"/>
              <w:spacing w:before="0" w:after="283"/>
              <w:jc w:val="left"/>
              <w:rPr/>
            </w:pPr>
            <w:r>
              <w:rPr/>
            </w:r>
          </w:p>
        </w:tc>
        <w:tc>
          <w:tcPr>
            <w:tcW w:w="156" w:type="dxa"/>
            <w:tcBorders/>
            <w:shd w:fill="CCEEFF" w:val="clear"/>
            <w:vAlign w:val="bottom"/>
          </w:tcPr>
          <w:p>
            <w:pPr>
              <w:pStyle w:val="TableContents"/>
              <w:bidi w:val="0"/>
              <w:spacing w:before="0" w:after="283"/>
              <w:jc w:val="left"/>
              <w:rPr/>
            </w:pPr>
            <w:r>
              <w:rPr/>
            </w:r>
          </w:p>
        </w:tc>
        <w:tc>
          <w:tcPr>
            <w:tcW w:w="1234" w:type="dxa"/>
            <w:tcBorders/>
            <w:shd w:fill="CCEEFF" w:val="clear"/>
            <w:vAlign w:val="bottom"/>
          </w:tcPr>
          <w:p>
            <w:pPr>
              <w:pStyle w:val="TableContents"/>
              <w:bidi w:val="0"/>
              <w:spacing w:before="0" w:after="283"/>
              <w:jc w:val="left"/>
              <w:rPr/>
            </w:pPr>
            <w:r>
              <w:rPr/>
            </w:r>
          </w:p>
        </w:tc>
        <w:tc>
          <w:tcPr>
            <w:tcW w:w="119" w:type="dxa"/>
            <w:tcBorders/>
            <w:shd w:fill="CCEEFF" w:val="clear"/>
            <w:vAlign w:val="center"/>
          </w:tcPr>
          <w:p>
            <w:pPr>
              <w:pStyle w:val="TableContents"/>
              <w:bidi w:val="0"/>
              <w:spacing w:before="0" w:after="283"/>
              <w:jc w:val="left"/>
              <w:rPr/>
            </w:pPr>
            <w:r>
              <w:rPr/>
            </w:r>
          </w:p>
        </w:tc>
      </w:tr>
      <w:tr>
        <w:trPr/>
        <w:tc>
          <w:tcPr>
            <w:tcW w:w="402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Basic loss per share </w:t>
            </w:r>
          </w:p>
        </w:tc>
        <w:tc>
          <w:tcPr>
            <w:tcW w:w="23" w:type="dxa"/>
            <w:tcBorders/>
            <w:vAlign w:val="center"/>
          </w:tcPr>
          <w:p>
            <w:pPr>
              <w:pStyle w:val="TableContents"/>
              <w:bidi w:val="0"/>
              <w:spacing w:before="0" w:after="283"/>
              <w:jc w:val="left"/>
              <w:rPr/>
            </w:pPr>
            <w:r>
              <w:rPr/>
            </w:r>
          </w:p>
        </w:tc>
        <w:tc>
          <w:tcPr>
            <w:tcW w:w="161" w:type="dxa"/>
            <w:tcBorders/>
            <w:vAlign w:val="bottom"/>
          </w:tcPr>
          <w:p>
            <w:pPr>
              <w:pStyle w:val="TableContents"/>
              <w:bidi w:val="0"/>
              <w:spacing w:before="0" w:after="283"/>
              <w:jc w:val="left"/>
              <w:rPr/>
            </w:pPr>
            <w:r>
              <w:rPr/>
            </w:r>
          </w:p>
        </w:tc>
        <w:tc>
          <w:tcPr>
            <w:tcW w:w="1263" w:type="dxa"/>
            <w:tcBorders/>
            <w:vAlign w:val="bottom"/>
          </w:tcPr>
          <w:p>
            <w:pPr>
              <w:pStyle w:val="TableContents"/>
              <w:bidi w:val="0"/>
              <w:spacing w:before="0" w:after="283"/>
              <w:jc w:val="left"/>
              <w:rPr/>
            </w:pPr>
            <w:r>
              <w:rPr/>
            </w:r>
          </w:p>
        </w:tc>
        <w:tc>
          <w:tcPr>
            <w:tcW w:w="122" w:type="dxa"/>
            <w:tcBorders/>
            <w:vAlign w:val="bottom"/>
          </w:tcPr>
          <w:p>
            <w:pPr>
              <w:pStyle w:val="TableContents"/>
              <w:bidi w:val="0"/>
              <w:spacing w:before="0" w:after="283"/>
              <w:jc w:val="left"/>
              <w:rPr/>
            </w:pPr>
            <w:r>
              <w:rPr/>
            </w:r>
          </w:p>
        </w:tc>
        <w:tc>
          <w:tcPr>
            <w:tcW w:w="29" w:type="dxa"/>
            <w:tcBorders/>
            <w:vAlign w:val="bottom"/>
          </w:tcPr>
          <w:p>
            <w:pPr>
              <w:pStyle w:val="TableContents"/>
              <w:bidi w:val="0"/>
              <w:spacing w:before="0" w:after="283"/>
              <w:jc w:val="left"/>
              <w:rPr/>
            </w:pPr>
            <w:r>
              <w:rPr/>
            </w:r>
          </w:p>
        </w:tc>
        <w:tc>
          <w:tcPr>
            <w:tcW w:w="161" w:type="dxa"/>
            <w:tcBorders/>
            <w:vAlign w:val="bottom"/>
          </w:tcPr>
          <w:p>
            <w:pPr>
              <w:pStyle w:val="TableContents"/>
              <w:bidi w:val="0"/>
              <w:spacing w:before="0" w:after="283"/>
              <w:jc w:val="left"/>
              <w:rPr/>
            </w:pPr>
            <w:r>
              <w:rPr/>
            </w:r>
          </w:p>
        </w:tc>
        <w:tc>
          <w:tcPr>
            <w:tcW w:w="1263" w:type="dxa"/>
            <w:tcBorders/>
            <w:vAlign w:val="bottom"/>
          </w:tcPr>
          <w:p>
            <w:pPr>
              <w:pStyle w:val="TableContents"/>
              <w:bidi w:val="0"/>
              <w:spacing w:before="0" w:after="283"/>
              <w:jc w:val="left"/>
              <w:rPr/>
            </w:pPr>
            <w:r>
              <w:rPr/>
            </w:r>
          </w:p>
        </w:tc>
        <w:tc>
          <w:tcPr>
            <w:tcW w:w="95" w:type="dxa"/>
            <w:tcBorders/>
            <w:vAlign w:val="bottom"/>
          </w:tcPr>
          <w:p>
            <w:pPr>
              <w:pStyle w:val="TableContents"/>
              <w:bidi w:val="0"/>
              <w:spacing w:before="0" w:after="283"/>
              <w:jc w:val="left"/>
              <w:rPr/>
            </w:pPr>
            <w:r>
              <w:rPr/>
            </w:r>
          </w:p>
        </w:tc>
        <w:tc>
          <w:tcPr>
            <w:tcW w:w="23" w:type="dxa"/>
            <w:tcBorders/>
            <w:vAlign w:val="bottom"/>
          </w:tcPr>
          <w:p>
            <w:pPr>
              <w:pStyle w:val="TableContents"/>
              <w:bidi w:val="0"/>
              <w:spacing w:before="0" w:after="283"/>
              <w:jc w:val="left"/>
              <w:rPr/>
            </w:pPr>
            <w:r>
              <w:rPr/>
            </w:r>
          </w:p>
        </w:tc>
        <w:tc>
          <w:tcPr>
            <w:tcW w:w="155" w:type="dxa"/>
            <w:tcBorders/>
            <w:vAlign w:val="bottom"/>
          </w:tcPr>
          <w:p>
            <w:pPr>
              <w:pStyle w:val="TableContents"/>
              <w:bidi w:val="0"/>
              <w:spacing w:before="0" w:after="283"/>
              <w:jc w:val="left"/>
              <w:rPr/>
            </w:pPr>
            <w:r>
              <w:rPr/>
            </w:r>
          </w:p>
        </w:tc>
        <w:tc>
          <w:tcPr>
            <w:tcW w:w="1234" w:type="dxa"/>
            <w:tcBorders/>
            <w:vAlign w:val="bottom"/>
          </w:tcPr>
          <w:p>
            <w:pPr>
              <w:pStyle w:val="TableContents"/>
              <w:bidi w:val="0"/>
              <w:spacing w:before="0" w:after="283"/>
              <w:jc w:val="left"/>
              <w:rPr/>
            </w:pPr>
            <w:r>
              <w:rPr/>
            </w:r>
          </w:p>
        </w:tc>
        <w:tc>
          <w:tcPr>
            <w:tcW w:w="119" w:type="dxa"/>
            <w:tcBorders/>
            <w:vAlign w:val="bottom"/>
          </w:tcPr>
          <w:p>
            <w:pPr>
              <w:pStyle w:val="TableContents"/>
              <w:bidi w:val="0"/>
              <w:spacing w:before="0" w:after="283"/>
              <w:jc w:val="left"/>
              <w:rPr/>
            </w:pPr>
            <w:r>
              <w:rPr/>
            </w:r>
          </w:p>
        </w:tc>
        <w:tc>
          <w:tcPr>
            <w:tcW w:w="28" w:type="dxa"/>
            <w:tcBorders/>
            <w:vAlign w:val="bottom"/>
          </w:tcPr>
          <w:p>
            <w:pPr>
              <w:pStyle w:val="TableContents"/>
              <w:bidi w:val="0"/>
              <w:spacing w:before="0" w:after="283"/>
              <w:jc w:val="left"/>
              <w:rPr/>
            </w:pPr>
            <w:r>
              <w:rPr/>
            </w:r>
          </w:p>
        </w:tc>
        <w:tc>
          <w:tcPr>
            <w:tcW w:w="156" w:type="dxa"/>
            <w:tcBorders/>
            <w:vAlign w:val="bottom"/>
          </w:tcPr>
          <w:p>
            <w:pPr>
              <w:pStyle w:val="TableContents"/>
              <w:bidi w:val="0"/>
              <w:spacing w:before="0" w:after="283"/>
              <w:jc w:val="left"/>
              <w:rPr/>
            </w:pPr>
            <w:r>
              <w:rPr/>
            </w:r>
          </w:p>
        </w:tc>
        <w:tc>
          <w:tcPr>
            <w:tcW w:w="1234" w:type="dxa"/>
            <w:tcBorders/>
            <w:vAlign w:val="bottom"/>
          </w:tcPr>
          <w:p>
            <w:pPr>
              <w:pStyle w:val="TableContents"/>
              <w:bidi w:val="0"/>
              <w:spacing w:before="0" w:after="283"/>
              <w:jc w:val="left"/>
              <w:rPr/>
            </w:pPr>
            <w:r>
              <w:rPr/>
            </w:r>
          </w:p>
        </w:tc>
        <w:tc>
          <w:tcPr>
            <w:tcW w:w="119" w:type="dxa"/>
            <w:tcBorders/>
            <w:vAlign w:val="center"/>
          </w:tcPr>
          <w:p>
            <w:pPr>
              <w:pStyle w:val="TableContents"/>
              <w:bidi w:val="0"/>
              <w:spacing w:before="0" w:after="283"/>
              <w:jc w:val="left"/>
              <w:rPr>
                <w:sz w:val="4"/>
                <w:szCs w:val="4"/>
              </w:rPr>
            </w:pPr>
            <w:r>
              <w:rPr>
                <w:sz w:val="4"/>
                <w:szCs w:val="4"/>
              </w:rPr>
            </w:r>
          </w:p>
        </w:tc>
      </w:tr>
      <w:tr>
        <w:trPr/>
        <w:tc>
          <w:tcPr>
            <w:tcW w:w="4020" w:type="dxa"/>
            <w:tcBorders/>
            <w:shd w:fill="CCEEFF" w:val="clear"/>
            <w:vAlign w:val="center"/>
          </w:tcPr>
          <w:p>
            <w:pPr>
              <w:pStyle w:val="TableContents"/>
              <w:pBdr/>
              <w:bidi w:val="0"/>
              <w:spacing w:before="0" w:after="0"/>
              <w:ind w:left="0" w:right="0" w:hanging="0"/>
              <w:jc w:val="left"/>
              <w:rPr/>
            </w:pPr>
            <w:r>
              <w:rPr/>
              <w:t>From continuing operations</w:t>
            </w:r>
          </w:p>
        </w:tc>
        <w:tc>
          <w:tcPr>
            <w:tcW w:w="23" w:type="dxa"/>
            <w:tcBorders/>
            <w:shd w:fill="CCEEFF" w:val="clear"/>
            <w:vAlign w:val="center"/>
          </w:tcPr>
          <w:p>
            <w:pPr>
              <w:pStyle w:val="TableContents"/>
              <w:bidi w:val="0"/>
              <w:spacing w:before="0" w:after="283"/>
              <w:jc w:val="left"/>
              <w:rPr/>
            </w:pPr>
            <w:r>
              <w:rPr/>
            </w:r>
          </w:p>
        </w:tc>
        <w:tc>
          <w:tcPr>
            <w:tcW w:w="161" w:type="dxa"/>
            <w:tcBorders/>
            <w:shd w:fill="CCEEFF" w:val="clear"/>
            <w:vAlign w:val="bottom"/>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263" w:type="dxa"/>
            <w:tcBorders/>
            <w:shd w:fill="CCEEFF" w:val="clear"/>
            <w:vAlign w:val="bottom"/>
          </w:tcPr>
          <w:p>
            <w:pPr>
              <w:pStyle w:val="TableContents"/>
              <w:bidi w:val="0"/>
              <w:spacing w:before="0" w:after="283"/>
              <w:jc w:val="right"/>
              <w:rPr/>
            </w:pPr>
            <w:r>
              <w:rPr/>
              <w:t>(0.50</w:t>
            </w:r>
          </w:p>
        </w:tc>
        <w:tc>
          <w:tcPr>
            <w:tcW w:w="122" w:type="dxa"/>
            <w:tcBorders/>
            <w:shd w:fill="CCEEFF" w:val="clear"/>
            <w:vAlign w:val="bottom"/>
          </w:tcPr>
          <w:p>
            <w:pPr>
              <w:pStyle w:val="TableContents"/>
              <w:bidi w:val="0"/>
              <w:spacing w:before="0" w:after="283"/>
              <w:jc w:val="left"/>
              <w:rPr/>
            </w:pPr>
            <w:r>
              <w:rPr/>
              <w:t>)</w:t>
            </w:r>
          </w:p>
        </w:tc>
        <w:tc>
          <w:tcPr>
            <w:tcW w:w="29" w:type="dxa"/>
            <w:tcBorders/>
            <w:shd w:fill="CCEEFF" w:val="clear"/>
            <w:vAlign w:val="bottom"/>
          </w:tcPr>
          <w:p>
            <w:pPr>
              <w:pStyle w:val="TableContents"/>
              <w:bidi w:val="0"/>
              <w:spacing w:before="0" w:after="283"/>
              <w:jc w:val="left"/>
              <w:rPr/>
            </w:pPr>
            <w:r>
              <w:rPr/>
            </w:r>
          </w:p>
        </w:tc>
        <w:tc>
          <w:tcPr>
            <w:tcW w:w="161" w:type="dxa"/>
            <w:tcBorders/>
            <w:shd w:fill="CCEEFF" w:val="clear"/>
            <w:vAlign w:val="bottom"/>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263" w:type="dxa"/>
            <w:tcBorders/>
            <w:shd w:fill="CCEEFF" w:val="clear"/>
            <w:vAlign w:val="bottom"/>
          </w:tcPr>
          <w:p>
            <w:pPr>
              <w:pStyle w:val="TableContents"/>
              <w:bidi w:val="0"/>
              <w:spacing w:before="0" w:after="283"/>
              <w:jc w:val="right"/>
              <w:rPr/>
            </w:pPr>
            <w:r>
              <w:rPr/>
              <w:t>(0.45</w:t>
            </w:r>
          </w:p>
        </w:tc>
        <w:tc>
          <w:tcPr>
            <w:tcW w:w="95" w:type="dxa"/>
            <w:tcBorders/>
            <w:shd w:fill="CCEEFF" w:val="clear"/>
            <w:vAlign w:val="bottom"/>
          </w:tcPr>
          <w:p>
            <w:pPr>
              <w:pStyle w:val="TableContents"/>
              <w:bidi w:val="0"/>
              <w:spacing w:before="0" w:after="283"/>
              <w:jc w:val="left"/>
              <w:rPr/>
            </w:pPr>
            <w:r>
              <w:rPr/>
              <w:t>)</w:t>
            </w:r>
          </w:p>
        </w:tc>
        <w:tc>
          <w:tcPr>
            <w:tcW w:w="23" w:type="dxa"/>
            <w:tcBorders/>
            <w:shd w:fill="CCEEFF" w:val="clear"/>
            <w:vAlign w:val="bottom"/>
          </w:tcPr>
          <w:p>
            <w:pPr>
              <w:pStyle w:val="TableContents"/>
              <w:bidi w:val="0"/>
              <w:spacing w:before="0" w:after="283"/>
              <w:jc w:val="left"/>
              <w:rPr/>
            </w:pPr>
            <w:r>
              <w:rPr/>
            </w:r>
          </w:p>
        </w:tc>
        <w:tc>
          <w:tcPr>
            <w:tcW w:w="155" w:type="dxa"/>
            <w:tcBorders/>
            <w:shd w:fill="CCEEFF" w:val="clear"/>
            <w:vAlign w:val="bottom"/>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234" w:type="dxa"/>
            <w:tcBorders/>
            <w:shd w:fill="CCEEFF" w:val="clear"/>
            <w:vAlign w:val="bottom"/>
          </w:tcPr>
          <w:p>
            <w:pPr>
              <w:pStyle w:val="TableContents"/>
              <w:bidi w:val="0"/>
              <w:spacing w:before="0" w:after="283"/>
              <w:jc w:val="right"/>
              <w:rPr/>
            </w:pPr>
            <w:r>
              <w:rPr/>
              <w:t>(1.92</w:t>
            </w:r>
          </w:p>
        </w:tc>
        <w:tc>
          <w:tcPr>
            <w:tcW w:w="119" w:type="dxa"/>
            <w:tcBorders/>
            <w:shd w:fill="CCEEFF" w:val="clear"/>
            <w:vAlign w:val="bottom"/>
          </w:tcPr>
          <w:p>
            <w:pPr>
              <w:pStyle w:val="TableContents"/>
              <w:bidi w:val="0"/>
              <w:spacing w:before="0" w:after="283"/>
              <w:jc w:val="left"/>
              <w:rPr/>
            </w:pPr>
            <w:r>
              <w:rPr/>
              <w:t>)</w:t>
            </w:r>
          </w:p>
        </w:tc>
        <w:tc>
          <w:tcPr>
            <w:tcW w:w="28" w:type="dxa"/>
            <w:tcBorders/>
            <w:shd w:fill="CCEEFF" w:val="clear"/>
            <w:vAlign w:val="bottom"/>
          </w:tcPr>
          <w:p>
            <w:pPr>
              <w:pStyle w:val="TableContents"/>
              <w:bidi w:val="0"/>
              <w:spacing w:before="0" w:after="283"/>
              <w:jc w:val="left"/>
              <w:rPr/>
            </w:pPr>
            <w:r>
              <w:rPr/>
            </w:r>
          </w:p>
        </w:tc>
        <w:tc>
          <w:tcPr>
            <w:tcW w:w="156" w:type="dxa"/>
            <w:tcBorders/>
            <w:shd w:fill="CCEEFF" w:val="clear"/>
            <w:vAlign w:val="bottom"/>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234" w:type="dxa"/>
            <w:tcBorders/>
            <w:shd w:fill="CCEEFF" w:val="clear"/>
            <w:vAlign w:val="bottom"/>
          </w:tcPr>
          <w:p>
            <w:pPr>
              <w:pStyle w:val="TableContents"/>
              <w:bidi w:val="0"/>
              <w:spacing w:before="0" w:after="283"/>
              <w:jc w:val="right"/>
              <w:rPr/>
            </w:pPr>
            <w:r>
              <w:rPr/>
              <w:t>(1.30</w:t>
            </w:r>
          </w:p>
        </w:tc>
        <w:tc>
          <w:tcPr>
            <w:tcW w:w="119" w:type="dxa"/>
            <w:tcBorders/>
            <w:shd w:fill="CCEEFF" w:val="clear"/>
            <w:vAlign w:val="center"/>
          </w:tcPr>
          <w:p>
            <w:pPr>
              <w:pStyle w:val="TableContents"/>
              <w:bidi w:val="0"/>
              <w:spacing w:before="0" w:after="283"/>
              <w:jc w:val="left"/>
              <w:rPr/>
            </w:pPr>
            <w:r>
              <w:rPr/>
              <w:t>)</w:t>
            </w:r>
          </w:p>
        </w:tc>
      </w:tr>
      <w:tr>
        <w:trPr/>
        <w:tc>
          <w:tcPr>
            <w:tcW w:w="4020" w:type="dxa"/>
            <w:tcBorders/>
            <w:vAlign w:val="center"/>
          </w:tcPr>
          <w:p>
            <w:pPr>
              <w:pStyle w:val="TableContents"/>
              <w:pBdr/>
              <w:bidi w:val="0"/>
              <w:spacing w:before="0" w:after="0"/>
              <w:ind w:left="0" w:right="0" w:hanging="0"/>
              <w:jc w:val="left"/>
              <w:rPr/>
            </w:pPr>
            <w:r>
              <w:rPr/>
              <w:t>From discontinued operations</w:t>
            </w:r>
          </w:p>
        </w:tc>
        <w:tc>
          <w:tcPr>
            <w:tcW w:w="23" w:type="dxa"/>
            <w:tcBorders/>
            <w:vAlign w:val="center"/>
          </w:tcPr>
          <w:p>
            <w:pPr>
              <w:pStyle w:val="TableContents"/>
              <w:bidi w:val="0"/>
              <w:spacing w:before="0" w:after="283"/>
              <w:jc w:val="left"/>
              <w:rPr/>
            </w:pPr>
            <w:r>
              <w:rPr/>
            </w:r>
          </w:p>
        </w:tc>
        <w:tc>
          <w:tcPr>
            <w:tcW w:w="161" w:type="dxa"/>
            <w:tcBorders/>
            <w:vAlign w:val="bottom"/>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263" w:type="dxa"/>
            <w:tcBorders/>
            <w:vAlign w:val="bottom"/>
          </w:tcPr>
          <w:p>
            <w:pPr>
              <w:pStyle w:val="TableContents"/>
              <w:bidi w:val="0"/>
              <w:spacing w:before="0" w:after="283"/>
              <w:jc w:val="right"/>
              <w:rPr/>
            </w:pPr>
            <w:r>
              <w:rPr/>
              <w:t>(7.42</w:t>
            </w:r>
          </w:p>
        </w:tc>
        <w:tc>
          <w:tcPr>
            <w:tcW w:w="122" w:type="dxa"/>
            <w:tcBorders/>
            <w:vAlign w:val="bottom"/>
          </w:tcPr>
          <w:p>
            <w:pPr>
              <w:pStyle w:val="TableContents"/>
              <w:bidi w:val="0"/>
              <w:spacing w:before="0" w:after="283"/>
              <w:jc w:val="left"/>
              <w:rPr/>
            </w:pPr>
            <w:r>
              <w:rPr/>
              <w:t>)</w:t>
            </w:r>
          </w:p>
        </w:tc>
        <w:tc>
          <w:tcPr>
            <w:tcW w:w="29" w:type="dxa"/>
            <w:tcBorders/>
            <w:vAlign w:val="bottom"/>
          </w:tcPr>
          <w:p>
            <w:pPr>
              <w:pStyle w:val="TableContents"/>
              <w:bidi w:val="0"/>
              <w:spacing w:before="0" w:after="283"/>
              <w:jc w:val="left"/>
              <w:rPr/>
            </w:pPr>
            <w:r>
              <w:rPr/>
            </w:r>
          </w:p>
        </w:tc>
        <w:tc>
          <w:tcPr>
            <w:tcW w:w="161" w:type="dxa"/>
            <w:tcBorders/>
            <w:vAlign w:val="bottom"/>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263" w:type="dxa"/>
            <w:tcBorders/>
            <w:vAlign w:val="bottom"/>
          </w:tcPr>
          <w:p>
            <w:pPr>
              <w:pStyle w:val="TableContents"/>
              <w:bidi w:val="0"/>
              <w:spacing w:before="0" w:after="283"/>
              <w:jc w:val="right"/>
              <w:rPr/>
            </w:pPr>
            <w:r>
              <w:rPr/>
              <w:t>(0.84</w:t>
            </w:r>
          </w:p>
        </w:tc>
        <w:tc>
          <w:tcPr>
            <w:tcW w:w="95" w:type="dxa"/>
            <w:tcBorders/>
            <w:vAlign w:val="bottom"/>
          </w:tcPr>
          <w:p>
            <w:pPr>
              <w:pStyle w:val="TableContents"/>
              <w:bidi w:val="0"/>
              <w:spacing w:before="0" w:after="283"/>
              <w:jc w:val="left"/>
              <w:rPr/>
            </w:pPr>
            <w:r>
              <w:rPr/>
              <w:t>)</w:t>
            </w:r>
          </w:p>
        </w:tc>
        <w:tc>
          <w:tcPr>
            <w:tcW w:w="23" w:type="dxa"/>
            <w:tcBorders/>
            <w:vAlign w:val="bottom"/>
          </w:tcPr>
          <w:p>
            <w:pPr>
              <w:pStyle w:val="TableContents"/>
              <w:bidi w:val="0"/>
              <w:spacing w:before="0" w:after="283"/>
              <w:jc w:val="left"/>
              <w:rPr/>
            </w:pPr>
            <w:r>
              <w:rPr/>
            </w:r>
          </w:p>
        </w:tc>
        <w:tc>
          <w:tcPr>
            <w:tcW w:w="155" w:type="dxa"/>
            <w:tcBorders/>
            <w:vAlign w:val="bottom"/>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234" w:type="dxa"/>
            <w:tcBorders/>
            <w:vAlign w:val="bottom"/>
          </w:tcPr>
          <w:p>
            <w:pPr>
              <w:pStyle w:val="TableContents"/>
              <w:bidi w:val="0"/>
              <w:spacing w:before="0" w:after="283"/>
              <w:jc w:val="right"/>
              <w:rPr/>
            </w:pPr>
            <w:r>
              <w:rPr/>
              <w:t>(10.47</w:t>
            </w:r>
          </w:p>
        </w:tc>
        <w:tc>
          <w:tcPr>
            <w:tcW w:w="119" w:type="dxa"/>
            <w:tcBorders/>
            <w:vAlign w:val="bottom"/>
          </w:tcPr>
          <w:p>
            <w:pPr>
              <w:pStyle w:val="TableContents"/>
              <w:bidi w:val="0"/>
              <w:spacing w:before="0" w:after="283"/>
              <w:jc w:val="left"/>
              <w:rPr/>
            </w:pPr>
            <w:r>
              <w:rPr/>
              <w:t>)</w:t>
            </w:r>
          </w:p>
        </w:tc>
        <w:tc>
          <w:tcPr>
            <w:tcW w:w="28" w:type="dxa"/>
            <w:tcBorders/>
            <w:vAlign w:val="bottom"/>
          </w:tcPr>
          <w:p>
            <w:pPr>
              <w:pStyle w:val="TableContents"/>
              <w:bidi w:val="0"/>
              <w:spacing w:before="0" w:after="283"/>
              <w:jc w:val="left"/>
              <w:rPr/>
            </w:pPr>
            <w:r>
              <w:rPr/>
            </w:r>
          </w:p>
        </w:tc>
        <w:tc>
          <w:tcPr>
            <w:tcW w:w="156" w:type="dxa"/>
            <w:tcBorders/>
            <w:vAlign w:val="bottom"/>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234" w:type="dxa"/>
            <w:tcBorders/>
            <w:vAlign w:val="bottom"/>
          </w:tcPr>
          <w:p>
            <w:pPr>
              <w:pStyle w:val="TableContents"/>
              <w:bidi w:val="0"/>
              <w:spacing w:before="0" w:after="283"/>
              <w:jc w:val="right"/>
              <w:rPr/>
            </w:pPr>
            <w:r>
              <w:rPr/>
              <w:t>(2.94</w:t>
            </w:r>
          </w:p>
        </w:tc>
        <w:tc>
          <w:tcPr>
            <w:tcW w:w="119" w:type="dxa"/>
            <w:tcBorders/>
            <w:vAlign w:val="center"/>
          </w:tcPr>
          <w:p>
            <w:pPr>
              <w:pStyle w:val="TableContents"/>
              <w:bidi w:val="0"/>
              <w:spacing w:before="0" w:after="283"/>
              <w:jc w:val="left"/>
              <w:rPr/>
            </w:pPr>
            <w:r>
              <w:rPr/>
              <w:t>)</w:t>
            </w:r>
          </w:p>
        </w:tc>
      </w:tr>
      <w:tr>
        <w:trPr/>
        <w:tc>
          <w:tcPr>
            <w:tcW w:w="4020" w:type="dxa"/>
            <w:tcBorders/>
            <w:shd w:fill="CCEEFF" w:val="clear"/>
            <w:vAlign w:val="center"/>
          </w:tcPr>
          <w:p>
            <w:pPr>
              <w:pStyle w:val="TableContents"/>
              <w:pBdr/>
              <w:bidi w:val="0"/>
              <w:spacing w:before="0" w:after="0"/>
              <w:ind w:left="0" w:right="0" w:hanging="0"/>
              <w:jc w:val="left"/>
              <w:rPr/>
            </w:pPr>
            <w:r>
              <w:rPr/>
              <w:t>Total</w:t>
            </w:r>
          </w:p>
        </w:tc>
        <w:tc>
          <w:tcPr>
            <w:tcW w:w="23" w:type="dxa"/>
            <w:tcBorders/>
            <w:shd w:fill="CCEEFF" w:val="clear"/>
            <w:vAlign w:val="center"/>
          </w:tcPr>
          <w:p>
            <w:pPr>
              <w:pStyle w:val="TableContents"/>
              <w:bidi w:val="0"/>
              <w:spacing w:before="0" w:after="283"/>
              <w:jc w:val="left"/>
              <w:rPr/>
            </w:pPr>
            <w:r>
              <w:rPr/>
            </w:r>
          </w:p>
        </w:tc>
        <w:tc>
          <w:tcPr>
            <w:tcW w:w="161" w:type="dxa"/>
            <w:tcBorders/>
            <w:shd w:fill="CCEEFF" w:val="clear"/>
            <w:vAlign w:val="bottom"/>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263" w:type="dxa"/>
            <w:tcBorders/>
            <w:shd w:fill="CCEEFF" w:val="clear"/>
            <w:vAlign w:val="bottom"/>
          </w:tcPr>
          <w:p>
            <w:pPr>
              <w:pStyle w:val="TableContents"/>
              <w:bidi w:val="0"/>
              <w:spacing w:before="0" w:after="283"/>
              <w:jc w:val="right"/>
              <w:rPr/>
            </w:pPr>
            <w:r>
              <w:rPr/>
              <w:t>(7.92</w:t>
            </w:r>
          </w:p>
        </w:tc>
        <w:tc>
          <w:tcPr>
            <w:tcW w:w="122" w:type="dxa"/>
            <w:tcBorders/>
            <w:shd w:fill="CCEEFF" w:val="clear"/>
            <w:vAlign w:val="bottom"/>
          </w:tcPr>
          <w:p>
            <w:pPr>
              <w:pStyle w:val="TableContents"/>
              <w:bidi w:val="0"/>
              <w:spacing w:before="0" w:after="283"/>
              <w:jc w:val="left"/>
              <w:rPr/>
            </w:pPr>
            <w:r>
              <w:rPr/>
              <w:t>)</w:t>
            </w:r>
          </w:p>
        </w:tc>
        <w:tc>
          <w:tcPr>
            <w:tcW w:w="29" w:type="dxa"/>
            <w:tcBorders/>
            <w:shd w:fill="CCEEFF" w:val="clear"/>
            <w:vAlign w:val="bottom"/>
          </w:tcPr>
          <w:p>
            <w:pPr>
              <w:pStyle w:val="TableContents"/>
              <w:bidi w:val="0"/>
              <w:spacing w:before="0" w:after="283"/>
              <w:jc w:val="left"/>
              <w:rPr/>
            </w:pPr>
            <w:r>
              <w:rPr/>
            </w:r>
          </w:p>
        </w:tc>
        <w:tc>
          <w:tcPr>
            <w:tcW w:w="161" w:type="dxa"/>
            <w:tcBorders/>
            <w:shd w:fill="CCEEFF" w:val="clear"/>
            <w:vAlign w:val="bottom"/>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263" w:type="dxa"/>
            <w:tcBorders/>
            <w:shd w:fill="CCEEFF" w:val="clear"/>
            <w:vAlign w:val="bottom"/>
          </w:tcPr>
          <w:p>
            <w:pPr>
              <w:pStyle w:val="TableContents"/>
              <w:bidi w:val="0"/>
              <w:spacing w:before="0" w:after="283"/>
              <w:jc w:val="right"/>
              <w:rPr/>
            </w:pPr>
            <w:r>
              <w:rPr/>
              <w:t>(1.29</w:t>
            </w:r>
          </w:p>
        </w:tc>
        <w:tc>
          <w:tcPr>
            <w:tcW w:w="95" w:type="dxa"/>
            <w:tcBorders/>
            <w:shd w:fill="CCEEFF" w:val="clear"/>
            <w:vAlign w:val="bottom"/>
          </w:tcPr>
          <w:p>
            <w:pPr>
              <w:pStyle w:val="TableContents"/>
              <w:bidi w:val="0"/>
              <w:spacing w:before="0" w:after="283"/>
              <w:jc w:val="left"/>
              <w:rPr/>
            </w:pPr>
            <w:r>
              <w:rPr/>
              <w:t>)</w:t>
            </w:r>
          </w:p>
        </w:tc>
        <w:tc>
          <w:tcPr>
            <w:tcW w:w="23" w:type="dxa"/>
            <w:tcBorders/>
            <w:shd w:fill="CCEEFF" w:val="clear"/>
            <w:vAlign w:val="bottom"/>
          </w:tcPr>
          <w:p>
            <w:pPr>
              <w:pStyle w:val="TableContents"/>
              <w:bidi w:val="0"/>
              <w:spacing w:before="0" w:after="283"/>
              <w:jc w:val="left"/>
              <w:rPr/>
            </w:pPr>
            <w:r>
              <w:rPr/>
            </w:r>
          </w:p>
        </w:tc>
        <w:tc>
          <w:tcPr>
            <w:tcW w:w="155" w:type="dxa"/>
            <w:tcBorders/>
            <w:shd w:fill="CCEEFF" w:val="clear"/>
            <w:vAlign w:val="bottom"/>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234" w:type="dxa"/>
            <w:tcBorders/>
            <w:shd w:fill="CCEEFF" w:val="clear"/>
            <w:vAlign w:val="bottom"/>
          </w:tcPr>
          <w:p>
            <w:pPr>
              <w:pStyle w:val="TableContents"/>
              <w:bidi w:val="0"/>
              <w:spacing w:before="0" w:after="283"/>
              <w:jc w:val="right"/>
              <w:rPr/>
            </w:pPr>
            <w:r>
              <w:rPr/>
              <w:t>(12.39</w:t>
            </w:r>
          </w:p>
        </w:tc>
        <w:tc>
          <w:tcPr>
            <w:tcW w:w="119" w:type="dxa"/>
            <w:tcBorders/>
            <w:shd w:fill="CCEEFF" w:val="clear"/>
            <w:vAlign w:val="bottom"/>
          </w:tcPr>
          <w:p>
            <w:pPr>
              <w:pStyle w:val="TableContents"/>
              <w:bidi w:val="0"/>
              <w:spacing w:before="0" w:after="283"/>
              <w:jc w:val="left"/>
              <w:rPr/>
            </w:pPr>
            <w:r>
              <w:rPr/>
              <w:t>)</w:t>
            </w:r>
          </w:p>
        </w:tc>
        <w:tc>
          <w:tcPr>
            <w:tcW w:w="28" w:type="dxa"/>
            <w:tcBorders/>
            <w:shd w:fill="CCEEFF" w:val="clear"/>
            <w:vAlign w:val="bottom"/>
          </w:tcPr>
          <w:p>
            <w:pPr>
              <w:pStyle w:val="TableContents"/>
              <w:bidi w:val="0"/>
              <w:spacing w:before="0" w:after="283"/>
              <w:jc w:val="left"/>
              <w:rPr/>
            </w:pPr>
            <w:r>
              <w:rPr/>
            </w:r>
          </w:p>
        </w:tc>
        <w:tc>
          <w:tcPr>
            <w:tcW w:w="156" w:type="dxa"/>
            <w:tcBorders/>
            <w:shd w:fill="CCEEFF" w:val="clear"/>
            <w:vAlign w:val="bottom"/>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234" w:type="dxa"/>
            <w:tcBorders/>
            <w:shd w:fill="CCEEFF" w:val="clear"/>
            <w:vAlign w:val="bottom"/>
          </w:tcPr>
          <w:p>
            <w:pPr>
              <w:pStyle w:val="TableContents"/>
              <w:bidi w:val="0"/>
              <w:spacing w:before="0" w:after="283"/>
              <w:jc w:val="right"/>
              <w:rPr/>
            </w:pPr>
            <w:r>
              <w:rPr/>
              <w:t>(4.24</w:t>
            </w:r>
          </w:p>
        </w:tc>
        <w:tc>
          <w:tcPr>
            <w:tcW w:w="119" w:type="dxa"/>
            <w:tcBorders/>
            <w:shd w:fill="CCEEFF" w:val="clear"/>
            <w:vAlign w:val="center"/>
          </w:tcPr>
          <w:p>
            <w:pPr>
              <w:pStyle w:val="TableContents"/>
              <w:bidi w:val="0"/>
              <w:spacing w:before="0" w:after="283"/>
              <w:jc w:val="left"/>
              <w:rPr/>
            </w:pPr>
            <w:r>
              <w:rPr/>
              <w:t>)</w:t>
            </w:r>
          </w:p>
        </w:tc>
      </w:tr>
      <w:tr>
        <w:trPr/>
        <w:tc>
          <w:tcPr>
            <w:tcW w:w="4020"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161" w:type="dxa"/>
            <w:tcBorders/>
            <w:vAlign w:val="bottom"/>
          </w:tcPr>
          <w:p>
            <w:pPr>
              <w:pStyle w:val="TableContents"/>
              <w:bidi w:val="0"/>
              <w:spacing w:before="0" w:after="283"/>
              <w:jc w:val="left"/>
              <w:rPr/>
            </w:pPr>
            <w:r>
              <w:rPr/>
            </w:r>
          </w:p>
        </w:tc>
        <w:tc>
          <w:tcPr>
            <w:tcW w:w="1263" w:type="dxa"/>
            <w:tcBorders/>
            <w:vAlign w:val="bottom"/>
          </w:tcPr>
          <w:p>
            <w:pPr>
              <w:pStyle w:val="TableContents"/>
              <w:bidi w:val="0"/>
              <w:spacing w:before="0" w:after="283"/>
              <w:jc w:val="left"/>
              <w:rPr/>
            </w:pPr>
            <w:r>
              <w:rPr/>
            </w:r>
          </w:p>
        </w:tc>
        <w:tc>
          <w:tcPr>
            <w:tcW w:w="122" w:type="dxa"/>
            <w:tcBorders/>
            <w:vAlign w:val="bottom"/>
          </w:tcPr>
          <w:p>
            <w:pPr>
              <w:pStyle w:val="TableContents"/>
              <w:bidi w:val="0"/>
              <w:spacing w:before="0" w:after="283"/>
              <w:jc w:val="left"/>
              <w:rPr/>
            </w:pPr>
            <w:r>
              <w:rPr/>
            </w:r>
          </w:p>
        </w:tc>
        <w:tc>
          <w:tcPr>
            <w:tcW w:w="29" w:type="dxa"/>
            <w:tcBorders/>
            <w:vAlign w:val="bottom"/>
          </w:tcPr>
          <w:p>
            <w:pPr>
              <w:pStyle w:val="TableContents"/>
              <w:bidi w:val="0"/>
              <w:spacing w:before="0" w:after="283"/>
              <w:jc w:val="left"/>
              <w:rPr/>
            </w:pPr>
            <w:r>
              <w:rPr/>
            </w:r>
          </w:p>
        </w:tc>
        <w:tc>
          <w:tcPr>
            <w:tcW w:w="161" w:type="dxa"/>
            <w:tcBorders/>
            <w:vAlign w:val="bottom"/>
          </w:tcPr>
          <w:p>
            <w:pPr>
              <w:pStyle w:val="TableContents"/>
              <w:bidi w:val="0"/>
              <w:spacing w:before="0" w:after="283"/>
              <w:jc w:val="left"/>
              <w:rPr/>
            </w:pPr>
            <w:r>
              <w:rPr/>
            </w:r>
          </w:p>
        </w:tc>
        <w:tc>
          <w:tcPr>
            <w:tcW w:w="1263" w:type="dxa"/>
            <w:tcBorders/>
            <w:vAlign w:val="bottom"/>
          </w:tcPr>
          <w:p>
            <w:pPr>
              <w:pStyle w:val="TableContents"/>
              <w:bidi w:val="0"/>
              <w:spacing w:before="0" w:after="283"/>
              <w:jc w:val="left"/>
              <w:rPr/>
            </w:pPr>
            <w:r>
              <w:rPr/>
            </w:r>
          </w:p>
        </w:tc>
        <w:tc>
          <w:tcPr>
            <w:tcW w:w="95" w:type="dxa"/>
            <w:tcBorders/>
            <w:vAlign w:val="bottom"/>
          </w:tcPr>
          <w:p>
            <w:pPr>
              <w:pStyle w:val="TableContents"/>
              <w:bidi w:val="0"/>
              <w:spacing w:before="0" w:after="283"/>
              <w:jc w:val="left"/>
              <w:rPr/>
            </w:pPr>
            <w:r>
              <w:rPr/>
            </w:r>
          </w:p>
        </w:tc>
        <w:tc>
          <w:tcPr>
            <w:tcW w:w="23" w:type="dxa"/>
            <w:tcBorders/>
            <w:vAlign w:val="bottom"/>
          </w:tcPr>
          <w:p>
            <w:pPr>
              <w:pStyle w:val="TableContents"/>
              <w:bidi w:val="0"/>
              <w:spacing w:before="0" w:after="283"/>
              <w:jc w:val="left"/>
              <w:rPr/>
            </w:pPr>
            <w:r>
              <w:rPr/>
            </w:r>
          </w:p>
        </w:tc>
        <w:tc>
          <w:tcPr>
            <w:tcW w:w="155" w:type="dxa"/>
            <w:tcBorders/>
            <w:vAlign w:val="bottom"/>
          </w:tcPr>
          <w:p>
            <w:pPr>
              <w:pStyle w:val="TableContents"/>
              <w:bidi w:val="0"/>
              <w:spacing w:before="0" w:after="283"/>
              <w:jc w:val="left"/>
              <w:rPr/>
            </w:pPr>
            <w:r>
              <w:rPr/>
            </w:r>
          </w:p>
        </w:tc>
        <w:tc>
          <w:tcPr>
            <w:tcW w:w="1234" w:type="dxa"/>
            <w:tcBorders/>
            <w:vAlign w:val="bottom"/>
          </w:tcPr>
          <w:p>
            <w:pPr>
              <w:pStyle w:val="TableContents"/>
              <w:bidi w:val="0"/>
              <w:spacing w:before="0" w:after="283"/>
              <w:jc w:val="left"/>
              <w:rPr/>
            </w:pPr>
            <w:r>
              <w:rPr/>
            </w:r>
          </w:p>
        </w:tc>
        <w:tc>
          <w:tcPr>
            <w:tcW w:w="119" w:type="dxa"/>
            <w:tcBorders/>
            <w:vAlign w:val="bottom"/>
          </w:tcPr>
          <w:p>
            <w:pPr>
              <w:pStyle w:val="TableContents"/>
              <w:bidi w:val="0"/>
              <w:spacing w:before="0" w:after="283"/>
              <w:jc w:val="left"/>
              <w:rPr/>
            </w:pPr>
            <w:r>
              <w:rPr/>
            </w:r>
          </w:p>
        </w:tc>
        <w:tc>
          <w:tcPr>
            <w:tcW w:w="28" w:type="dxa"/>
            <w:tcBorders/>
            <w:vAlign w:val="bottom"/>
          </w:tcPr>
          <w:p>
            <w:pPr>
              <w:pStyle w:val="TableContents"/>
              <w:bidi w:val="0"/>
              <w:spacing w:before="0" w:after="283"/>
              <w:jc w:val="left"/>
              <w:rPr/>
            </w:pPr>
            <w:r>
              <w:rPr/>
            </w:r>
          </w:p>
        </w:tc>
        <w:tc>
          <w:tcPr>
            <w:tcW w:w="156" w:type="dxa"/>
            <w:tcBorders/>
            <w:vAlign w:val="bottom"/>
          </w:tcPr>
          <w:p>
            <w:pPr>
              <w:pStyle w:val="TableContents"/>
              <w:bidi w:val="0"/>
              <w:spacing w:before="0" w:after="283"/>
              <w:jc w:val="left"/>
              <w:rPr/>
            </w:pPr>
            <w:r>
              <w:rPr/>
            </w:r>
          </w:p>
        </w:tc>
        <w:tc>
          <w:tcPr>
            <w:tcW w:w="1234" w:type="dxa"/>
            <w:tcBorders/>
            <w:vAlign w:val="bottom"/>
          </w:tcPr>
          <w:p>
            <w:pPr>
              <w:pStyle w:val="TableContents"/>
              <w:bidi w:val="0"/>
              <w:spacing w:before="0" w:after="283"/>
              <w:jc w:val="left"/>
              <w:rPr/>
            </w:pPr>
            <w:r>
              <w:rPr/>
            </w:r>
          </w:p>
        </w:tc>
        <w:tc>
          <w:tcPr>
            <w:tcW w:w="119" w:type="dxa"/>
            <w:tcBorders/>
            <w:vAlign w:val="center"/>
          </w:tcPr>
          <w:p>
            <w:pPr>
              <w:pStyle w:val="TableContents"/>
              <w:bidi w:val="0"/>
              <w:spacing w:before="0" w:after="283"/>
              <w:jc w:val="left"/>
              <w:rPr/>
            </w:pPr>
            <w:r>
              <w:rPr/>
            </w:r>
          </w:p>
        </w:tc>
      </w:tr>
      <w:tr>
        <w:trPr/>
        <w:tc>
          <w:tcPr>
            <w:tcW w:w="402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Diluted loss per share </w:t>
            </w:r>
          </w:p>
        </w:tc>
        <w:tc>
          <w:tcPr>
            <w:tcW w:w="23" w:type="dxa"/>
            <w:tcBorders/>
            <w:shd w:fill="CCEEFF" w:val="clear"/>
            <w:vAlign w:val="center"/>
          </w:tcPr>
          <w:p>
            <w:pPr>
              <w:pStyle w:val="TableContents"/>
              <w:bidi w:val="0"/>
              <w:spacing w:before="0" w:after="283"/>
              <w:jc w:val="left"/>
              <w:rPr/>
            </w:pPr>
            <w:r>
              <w:rPr/>
            </w:r>
          </w:p>
        </w:tc>
        <w:tc>
          <w:tcPr>
            <w:tcW w:w="161" w:type="dxa"/>
            <w:tcBorders/>
            <w:shd w:fill="CCEEFF" w:val="clear"/>
            <w:vAlign w:val="bottom"/>
          </w:tcPr>
          <w:p>
            <w:pPr>
              <w:pStyle w:val="TableContents"/>
              <w:bidi w:val="0"/>
              <w:spacing w:before="0" w:after="283"/>
              <w:jc w:val="left"/>
              <w:rPr/>
            </w:pPr>
            <w:r>
              <w:rPr/>
            </w:r>
          </w:p>
        </w:tc>
        <w:tc>
          <w:tcPr>
            <w:tcW w:w="1263" w:type="dxa"/>
            <w:tcBorders/>
            <w:shd w:fill="CCEEFF" w:val="clear"/>
            <w:vAlign w:val="bottom"/>
          </w:tcPr>
          <w:p>
            <w:pPr>
              <w:pStyle w:val="TableContents"/>
              <w:bidi w:val="0"/>
              <w:spacing w:before="0" w:after="283"/>
              <w:jc w:val="left"/>
              <w:rPr/>
            </w:pPr>
            <w:r>
              <w:rPr/>
            </w:r>
          </w:p>
        </w:tc>
        <w:tc>
          <w:tcPr>
            <w:tcW w:w="122" w:type="dxa"/>
            <w:tcBorders/>
            <w:shd w:fill="CCEEFF" w:val="clear"/>
            <w:vAlign w:val="bottom"/>
          </w:tcPr>
          <w:p>
            <w:pPr>
              <w:pStyle w:val="TableContents"/>
              <w:bidi w:val="0"/>
              <w:spacing w:before="0" w:after="283"/>
              <w:jc w:val="left"/>
              <w:rPr/>
            </w:pPr>
            <w:r>
              <w:rPr/>
            </w:r>
          </w:p>
        </w:tc>
        <w:tc>
          <w:tcPr>
            <w:tcW w:w="29" w:type="dxa"/>
            <w:tcBorders/>
            <w:shd w:fill="CCEEFF" w:val="clear"/>
            <w:vAlign w:val="bottom"/>
          </w:tcPr>
          <w:p>
            <w:pPr>
              <w:pStyle w:val="TableContents"/>
              <w:bidi w:val="0"/>
              <w:spacing w:before="0" w:after="283"/>
              <w:jc w:val="left"/>
              <w:rPr/>
            </w:pPr>
            <w:r>
              <w:rPr/>
            </w:r>
          </w:p>
        </w:tc>
        <w:tc>
          <w:tcPr>
            <w:tcW w:w="161" w:type="dxa"/>
            <w:tcBorders/>
            <w:shd w:fill="CCEEFF" w:val="clear"/>
            <w:vAlign w:val="bottom"/>
          </w:tcPr>
          <w:p>
            <w:pPr>
              <w:pStyle w:val="TableContents"/>
              <w:bidi w:val="0"/>
              <w:spacing w:before="0" w:after="283"/>
              <w:jc w:val="left"/>
              <w:rPr/>
            </w:pPr>
            <w:r>
              <w:rPr/>
            </w:r>
          </w:p>
        </w:tc>
        <w:tc>
          <w:tcPr>
            <w:tcW w:w="1263" w:type="dxa"/>
            <w:tcBorders/>
            <w:shd w:fill="CCEEFF" w:val="clear"/>
            <w:vAlign w:val="bottom"/>
          </w:tcPr>
          <w:p>
            <w:pPr>
              <w:pStyle w:val="TableContents"/>
              <w:bidi w:val="0"/>
              <w:spacing w:before="0" w:after="283"/>
              <w:jc w:val="left"/>
              <w:rPr/>
            </w:pPr>
            <w:r>
              <w:rPr/>
            </w:r>
          </w:p>
        </w:tc>
        <w:tc>
          <w:tcPr>
            <w:tcW w:w="95" w:type="dxa"/>
            <w:tcBorders/>
            <w:shd w:fill="CCEEFF" w:val="clear"/>
            <w:vAlign w:val="bottom"/>
          </w:tcPr>
          <w:p>
            <w:pPr>
              <w:pStyle w:val="TableContents"/>
              <w:bidi w:val="0"/>
              <w:spacing w:before="0" w:after="283"/>
              <w:jc w:val="left"/>
              <w:rPr/>
            </w:pPr>
            <w:r>
              <w:rPr/>
            </w:r>
          </w:p>
        </w:tc>
        <w:tc>
          <w:tcPr>
            <w:tcW w:w="23" w:type="dxa"/>
            <w:tcBorders/>
            <w:shd w:fill="CCEEFF" w:val="clear"/>
            <w:vAlign w:val="bottom"/>
          </w:tcPr>
          <w:p>
            <w:pPr>
              <w:pStyle w:val="TableContents"/>
              <w:bidi w:val="0"/>
              <w:spacing w:before="0" w:after="283"/>
              <w:jc w:val="left"/>
              <w:rPr/>
            </w:pPr>
            <w:r>
              <w:rPr/>
            </w:r>
          </w:p>
        </w:tc>
        <w:tc>
          <w:tcPr>
            <w:tcW w:w="155" w:type="dxa"/>
            <w:tcBorders/>
            <w:shd w:fill="CCEEFF" w:val="clear"/>
            <w:vAlign w:val="bottom"/>
          </w:tcPr>
          <w:p>
            <w:pPr>
              <w:pStyle w:val="TableContents"/>
              <w:bidi w:val="0"/>
              <w:spacing w:before="0" w:after="283"/>
              <w:jc w:val="left"/>
              <w:rPr/>
            </w:pPr>
            <w:r>
              <w:rPr/>
            </w:r>
          </w:p>
        </w:tc>
        <w:tc>
          <w:tcPr>
            <w:tcW w:w="1234" w:type="dxa"/>
            <w:tcBorders/>
            <w:shd w:fill="CCEEFF" w:val="clear"/>
            <w:vAlign w:val="bottom"/>
          </w:tcPr>
          <w:p>
            <w:pPr>
              <w:pStyle w:val="TableContents"/>
              <w:bidi w:val="0"/>
              <w:spacing w:before="0" w:after="283"/>
              <w:jc w:val="left"/>
              <w:rPr/>
            </w:pPr>
            <w:r>
              <w:rPr/>
            </w:r>
          </w:p>
        </w:tc>
        <w:tc>
          <w:tcPr>
            <w:tcW w:w="119" w:type="dxa"/>
            <w:tcBorders/>
            <w:shd w:fill="CCEEFF" w:val="clear"/>
            <w:vAlign w:val="bottom"/>
          </w:tcPr>
          <w:p>
            <w:pPr>
              <w:pStyle w:val="TableContents"/>
              <w:bidi w:val="0"/>
              <w:spacing w:before="0" w:after="283"/>
              <w:jc w:val="left"/>
              <w:rPr/>
            </w:pPr>
            <w:r>
              <w:rPr/>
            </w:r>
          </w:p>
        </w:tc>
        <w:tc>
          <w:tcPr>
            <w:tcW w:w="28" w:type="dxa"/>
            <w:tcBorders/>
            <w:shd w:fill="CCEEFF" w:val="clear"/>
            <w:vAlign w:val="bottom"/>
          </w:tcPr>
          <w:p>
            <w:pPr>
              <w:pStyle w:val="TableContents"/>
              <w:bidi w:val="0"/>
              <w:spacing w:before="0" w:after="283"/>
              <w:jc w:val="left"/>
              <w:rPr/>
            </w:pPr>
            <w:r>
              <w:rPr/>
            </w:r>
          </w:p>
        </w:tc>
        <w:tc>
          <w:tcPr>
            <w:tcW w:w="156" w:type="dxa"/>
            <w:tcBorders/>
            <w:shd w:fill="CCEEFF" w:val="clear"/>
            <w:vAlign w:val="bottom"/>
          </w:tcPr>
          <w:p>
            <w:pPr>
              <w:pStyle w:val="TableContents"/>
              <w:bidi w:val="0"/>
              <w:spacing w:before="0" w:after="283"/>
              <w:jc w:val="left"/>
              <w:rPr/>
            </w:pPr>
            <w:r>
              <w:rPr/>
            </w:r>
          </w:p>
        </w:tc>
        <w:tc>
          <w:tcPr>
            <w:tcW w:w="1234" w:type="dxa"/>
            <w:tcBorders/>
            <w:shd w:fill="CCEEFF" w:val="clear"/>
            <w:vAlign w:val="bottom"/>
          </w:tcPr>
          <w:p>
            <w:pPr>
              <w:pStyle w:val="TableContents"/>
              <w:bidi w:val="0"/>
              <w:spacing w:before="0" w:after="283"/>
              <w:jc w:val="left"/>
              <w:rPr/>
            </w:pPr>
            <w:r>
              <w:rPr/>
            </w:r>
          </w:p>
        </w:tc>
        <w:tc>
          <w:tcPr>
            <w:tcW w:w="119" w:type="dxa"/>
            <w:tcBorders/>
            <w:shd w:fill="CCEEFF" w:val="clear"/>
            <w:vAlign w:val="center"/>
          </w:tcPr>
          <w:p>
            <w:pPr>
              <w:pStyle w:val="TableContents"/>
              <w:bidi w:val="0"/>
              <w:spacing w:before="0" w:after="283"/>
              <w:jc w:val="left"/>
              <w:rPr>
                <w:sz w:val="4"/>
                <w:szCs w:val="4"/>
              </w:rPr>
            </w:pPr>
            <w:r>
              <w:rPr>
                <w:sz w:val="4"/>
                <w:szCs w:val="4"/>
              </w:rPr>
            </w:r>
          </w:p>
        </w:tc>
      </w:tr>
      <w:tr>
        <w:trPr/>
        <w:tc>
          <w:tcPr>
            <w:tcW w:w="4020" w:type="dxa"/>
            <w:tcBorders/>
            <w:vAlign w:val="center"/>
          </w:tcPr>
          <w:p>
            <w:pPr>
              <w:pStyle w:val="TableContents"/>
              <w:pBdr/>
              <w:bidi w:val="0"/>
              <w:spacing w:before="0" w:after="0"/>
              <w:ind w:left="0" w:right="0" w:hanging="0"/>
              <w:jc w:val="left"/>
              <w:rPr/>
            </w:pPr>
            <w:r>
              <w:rPr/>
              <w:t>From continuing operations</w:t>
            </w:r>
          </w:p>
        </w:tc>
        <w:tc>
          <w:tcPr>
            <w:tcW w:w="23" w:type="dxa"/>
            <w:tcBorders/>
            <w:vAlign w:val="center"/>
          </w:tcPr>
          <w:p>
            <w:pPr>
              <w:pStyle w:val="TableContents"/>
              <w:bidi w:val="0"/>
              <w:spacing w:before="0" w:after="283"/>
              <w:jc w:val="left"/>
              <w:rPr/>
            </w:pPr>
            <w:r>
              <w:rPr/>
            </w:r>
          </w:p>
        </w:tc>
        <w:tc>
          <w:tcPr>
            <w:tcW w:w="161" w:type="dxa"/>
            <w:tcBorders/>
            <w:vAlign w:val="bottom"/>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263" w:type="dxa"/>
            <w:tcBorders/>
            <w:vAlign w:val="bottom"/>
          </w:tcPr>
          <w:p>
            <w:pPr>
              <w:pStyle w:val="TableContents"/>
              <w:bidi w:val="0"/>
              <w:spacing w:before="0" w:after="283"/>
              <w:jc w:val="right"/>
              <w:rPr/>
            </w:pPr>
            <w:r>
              <w:rPr/>
              <w:t>(0.50</w:t>
            </w:r>
          </w:p>
        </w:tc>
        <w:tc>
          <w:tcPr>
            <w:tcW w:w="122" w:type="dxa"/>
            <w:tcBorders/>
            <w:vAlign w:val="bottom"/>
          </w:tcPr>
          <w:p>
            <w:pPr>
              <w:pStyle w:val="TableContents"/>
              <w:bidi w:val="0"/>
              <w:spacing w:before="0" w:after="283"/>
              <w:jc w:val="left"/>
              <w:rPr/>
            </w:pPr>
            <w:r>
              <w:rPr/>
              <w:t>)</w:t>
            </w:r>
          </w:p>
        </w:tc>
        <w:tc>
          <w:tcPr>
            <w:tcW w:w="29" w:type="dxa"/>
            <w:tcBorders/>
            <w:vAlign w:val="bottom"/>
          </w:tcPr>
          <w:p>
            <w:pPr>
              <w:pStyle w:val="TableContents"/>
              <w:bidi w:val="0"/>
              <w:spacing w:before="0" w:after="283"/>
              <w:jc w:val="left"/>
              <w:rPr/>
            </w:pPr>
            <w:r>
              <w:rPr/>
            </w:r>
          </w:p>
        </w:tc>
        <w:tc>
          <w:tcPr>
            <w:tcW w:w="161" w:type="dxa"/>
            <w:tcBorders/>
            <w:vAlign w:val="bottom"/>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263" w:type="dxa"/>
            <w:tcBorders/>
            <w:vAlign w:val="bottom"/>
          </w:tcPr>
          <w:p>
            <w:pPr>
              <w:pStyle w:val="TableContents"/>
              <w:bidi w:val="0"/>
              <w:spacing w:before="0" w:after="283"/>
              <w:jc w:val="right"/>
              <w:rPr/>
            </w:pPr>
            <w:r>
              <w:rPr/>
              <w:t>(0.45</w:t>
            </w:r>
          </w:p>
        </w:tc>
        <w:tc>
          <w:tcPr>
            <w:tcW w:w="95" w:type="dxa"/>
            <w:tcBorders/>
            <w:vAlign w:val="bottom"/>
          </w:tcPr>
          <w:p>
            <w:pPr>
              <w:pStyle w:val="TableContents"/>
              <w:bidi w:val="0"/>
              <w:spacing w:before="0" w:after="283"/>
              <w:jc w:val="left"/>
              <w:rPr/>
            </w:pPr>
            <w:r>
              <w:rPr/>
              <w:t>)</w:t>
            </w:r>
          </w:p>
        </w:tc>
        <w:tc>
          <w:tcPr>
            <w:tcW w:w="23" w:type="dxa"/>
            <w:tcBorders/>
            <w:vAlign w:val="bottom"/>
          </w:tcPr>
          <w:p>
            <w:pPr>
              <w:pStyle w:val="TableContents"/>
              <w:bidi w:val="0"/>
              <w:spacing w:before="0" w:after="283"/>
              <w:jc w:val="left"/>
              <w:rPr/>
            </w:pPr>
            <w:r>
              <w:rPr/>
            </w:r>
          </w:p>
        </w:tc>
        <w:tc>
          <w:tcPr>
            <w:tcW w:w="155" w:type="dxa"/>
            <w:tcBorders/>
            <w:vAlign w:val="bottom"/>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234" w:type="dxa"/>
            <w:tcBorders/>
            <w:vAlign w:val="bottom"/>
          </w:tcPr>
          <w:p>
            <w:pPr>
              <w:pStyle w:val="TableContents"/>
              <w:bidi w:val="0"/>
              <w:spacing w:before="0" w:after="283"/>
              <w:jc w:val="right"/>
              <w:rPr/>
            </w:pPr>
            <w:r>
              <w:rPr/>
              <w:t>(1.92</w:t>
            </w:r>
          </w:p>
        </w:tc>
        <w:tc>
          <w:tcPr>
            <w:tcW w:w="119" w:type="dxa"/>
            <w:tcBorders/>
            <w:vAlign w:val="bottom"/>
          </w:tcPr>
          <w:p>
            <w:pPr>
              <w:pStyle w:val="TableContents"/>
              <w:bidi w:val="0"/>
              <w:spacing w:before="0" w:after="283"/>
              <w:jc w:val="left"/>
              <w:rPr/>
            </w:pPr>
            <w:r>
              <w:rPr/>
              <w:t>)</w:t>
            </w:r>
          </w:p>
        </w:tc>
        <w:tc>
          <w:tcPr>
            <w:tcW w:w="28" w:type="dxa"/>
            <w:tcBorders/>
            <w:vAlign w:val="bottom"/>
          </w:tcPr>
          <w:p>
            <w:pPr>
              <w:pStyle w:val="TableContents"/>
              <w:bidi w:val="0"/>
              <w:spacing w:before="0" w:after="283"/>
              <w:jc w:val="left"/>
              <w:rPr/>
            </w:pPr>
            <w:r>
              <w:rPr/>
            </w:r>
          </w:p>
        </w:tc>
        <w:tc>
          <w:tcPr>
            <w:tcW w:w="156" w:type="dxa"/>
            <w:tcBorders/>
            <w:vAlign w:val="bottom"/>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234" w:type="dxa"/>
            <w:tcBorders/>
            <w:vAlign w:val="bottom"/>
          </w:tcPr>
          <w:p>
            <w:pPr>
              <w:pStyle w:val="TableContents"/>
              <w:bidi w:val="0"/>
              <w:spacing w:before="0" w:after="283"/>
              <w:jc w:val="right"/>
              <w:rPr/>
            </w:pPr>
            <w:r>
              <w:rPr/>
              <w:t>(1.30</w:t>
            </w:r>
          </w:p>
        </w:tc>
        <w:tc>
          <w:tcPr>
            <w:tcW w:w="119" w:type="dxa"/>
            <w:tcBorders/>
            <w:vAlign w:val="center"/>
          </w:tcPr>
          <w:p>
            <w:pPr>
              <w:pStyle w:val="TableContents"/>
              <w:bidi w:val="0"/>
              <w:spacing w:before="0" w:after="283"/>
              <w:jc w:val="left"/>
              <w:rPr/>
            </w:pPr>
            <w:r>
              <w:rPr/>
              <w:t>)</w:t>
            </w:r>
          </w:p>
        </w:tc>
      </w:tr>
      <w:tr>
        <w:trPr/>
        <w:tc>
          <w:tcPr>
            <w:tcW w:w="4020" w:type="dxa"/>
            <w:tcBorders/>
            <w:shd w:fill="CCEEFF" w:val="clear"/>
            <w:vAlign w:val="center"/>
          </w:tcPr>
          <w:p>
            <w:pPr>
              <w:pStyle w:val="TableContents"/>
              <w:pBdr/>
              <w:bidi w:val="0"/>
              <w:spacing w:before="0" w:after="0"/>
              <w:ind w:left="0" w:right="0" w:hanging="0"/>
              <w:jc w:val="left"/>
              <w:rPr/>
            </w:pPr>
            <w:r>
              <w:rPr/>
              <w:t>From discontinued operations</w:t>
            </w:r>
          </w:p>
        </w:tc>
        <w:tc>
          <w:tcPr>
            <w:tcW w:w="23" w:type="dxa"/>
            <w:tcBorders/>
            <w:shd w:fill="CCEEFF" w:val="clear"/>
            <w:vAlign w:val="center"/>
          </w:tcPr>
          <w:p>
            <w:pPr>
              <w:pStyle w:val="TableContents"/>
              <w:bidi w:val="0"/>
              <w:spacing w:before="0" w:after="283"/>
              <w:jc w:val="left"/>
              <w:rPr/>
            </w:pPr>
            <w:r>
              <w:rPr/>
            </w:r>
          </w:p>
        </w:tc>
        <w:tc>
          <w:tcPr>
            <w:tcW w:w="161" w:type="dxa"/>
            <w:tcBorders/>
            <w:shd w:fill="CCEEFF" w:val="clear"/>
            <w:vAlign w:val="bottom"/>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263" w:type="dxa"/>
            <w:tcBorders/>
            <w:shd w:fill="CCEEFF" w:val="clear"/>
            <w:vAlign w:val="bottom"/>
          </w:tcPr>
          <w:p>
            <w:pPr>
              <w:pStyle w:val="TableContents"/>
              <w:bidi w:val="0"/>
              <w:spacing w:before="0" w:after="283"/>
              <w:jc w:val="right"/>
              <w:rPr/>
            </w:pPr>
            <w:r>
              <w:rPr/>
              <w:t>(7.42</w:t>
            </w:r>
          </w:p>
        </w:tc>
        <w:tc>
          <w:tcPr>
            <w:tcW w:w="122" w:type="dxa"/>
            <w:tcBorders/>
            <w:shd w:fill="CCEEFF" w:val="clear"/>
            <w:vAlign w:val="bottom"/>
          </w:tcPr>
          <w:p>
            <w:pPr>
              <w:pStyle w:val="TableContents"/>
              <w:bidi w:val="0"/>
              <w:spacing w:before="0" w:after="283"/>
              <w:jc w:val="left"/>
              <w:rPr/>
            </w:pPr>
            <w:r>
              <w:rPr/>
              <w:t>)</w:t>
            </w:r>
          </w:p>
        </w:tc>
        <w:tc>
          <w:tcPr>
            <w:tcW w:w="29" w:type="dxa"/>
            <w:tcBorders/>
            <w:shd w:fill="CCEEFF" w:val="clear"/>
            <w:vAlign w:val="bottom"/>
          </w:tcPr>
          <w:p>
            <w:pPr>
              <w:pStyle w:val="TableContents"/>
              <w:bidi w:val="0"/>
              <w:spacing w:before="0" w:after="283"/>
              <w:jc w:val="left"/>
              <w:rPr/>
            </w:pPr>
            <w:r>
              <w:rPr/>
            </w:r>
          </w:p>
        </w:tc>
        <w:tc>
          <w:tcPr>
            <w:tcW w:w="161" w:type="dxa"/>
            <w:tcBorders/>
            <w:shd w:fill="CCEEFF" w:val="clear"/>
            <w:vAlign w:val="bottom"/>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263" w:type="dxa"/>
            <w:tcBorders/>
            <w:shd w:fill="CCEEFF" w:val="clear"/>
            <w:vAlign w:val="bottom"/>
          </w:tcPr>
          <w:p>
            <w:pPr>
              <w:pStyle w:val="TableContents"/>
              <w:bidi w:val="0"/>
              <w:spacing w:before="0" w:after="283"/>
              <w:jc w:val="right"/>
              <w:rPr/>
            </w:pPr>
            <w:r>
              <w:rPr/>
              <w:t>(0.84</w:t>
            </w:r>
          </w:p>
        </w:tc>
        <w:tc>
          <w:tcPr>
            <w:tcW w:w="95" w:type="dxa"/>
            <w:tcBorders/>
            <w:shd w:fill="CCEEFF" w:val="clear"/>
            <w:vAlign w:val="bottom"/>
          </w:tcPr>
          <w:p>
            <w:pPr>
              <w:pStyle w:val="TableContents"/>
              <w:bidi w:val="0"/>
              <w:spacing w:before="0" w:after="283"/>
              <w:jc w:val="left"/>
              <w:rPr/>
            </w:pPr>
            <w:r>
              <w:rPr/>
              <w:t>)</w:t>
            </w:r>
          </w:p>
        </w:tc>
        <w:tc>
          <w:tcPr>
            <w:tcW w:w="23" w:type="dxa"/>
            <w:tcBorders/>
            <w:shd w:fill="CCEEFF" w:val="clear"/>
            <w:vAlign w:val="bottom"/>
          </w:tcPr>
          <w:p>
            <w:pPr>
              <w:pStyle w:val="TableContents"/>
              <w:bidi w:val="0"/>
              <w:spacing w:before="0" w:after="283"/>
              <w:jc w:val="left"/>
              <w:rPr/>
            </w:pPr>
            <w:r>
              <w:rPr/>
            </w:r>
          </w:p>
        </w:tc>
        <w:tc>
          <w:tcPr>
            <w:tcW w:w="155" w:type="dxa"/>
            <w:tcBorders/>
            <w:shd w:fill="CCEEFF" w:val="clear"/>
            <w:vAlign w:val="bottom"/>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234" w:type="dxa"/>
            <w:tcBorders/>
            <w:shd w:fill="CCEEFF" w:val="clear"/>
            <w:vAlign w:val="bottom"/>
          </w:tcPr>
          <w:p>
            <w:pPr>
              <w:pStyle w:val="TableContents"/>
              <w:bidi w:val="0"/>
              <w:spacing w:before="0" w:after="283"/>
              <w:jc w:val="right"/>
              <w:rPr/>
            </w:pPr>
            <w:r>
              <w:rPr/>
              <w:t>(10.47</w:t>
            </w:r>
          </w:p>
        </w:tc>
        <w:tc>
          <w:tcPr>
            <w:tcW w:w="119" w:type="dxa"/>
            <w:tcBorders/>
            <w:shd w:fill="CCEEFF" w:val="clear"/>
            <w:vAlign w:val="bottom"/>
          </w:tcPr>
          <w:p>
            <w:pPr>
              <w:pStyle w:val="TableContents"/>
              <w:bidi w:val="0"/>
              <w:spacing w:before="0" w:after="283"/>
              <w:jc w:val="left"/>
              <w:rPr/>
            </w:pPr>
            <w:r>
              <w:rPr/>
              <w:t>)</w:t>
            </w:r>
          </w:p>
        </w:tc>
        <w:tc>
          <w:tcPr>
            <w:tcW w:w="28" w:type="dxa"/>
            <w:tcBorders/>
            <w:shd w:fill="CCEEFF" w:val="clear"/>
            <w:vAlign w:val="bottom"/>
          </w:tcPr>
          <w:p>
            <w:pPr>
              <w:pStyle w:val="TableContents"/>
              <w:bidi w:val="0"/>
              <w:spacing w:before="0" w:after="283"/>
              <w:jc w:val="left"/>
              <w:rPr/>
            </w:pPr>
            <w:r>
              <w:rPr/>
            </w:r>
          </w:p>
        </w:tc>
        <w:tc>
          <w:tcPr>
            <w:tcW w:w="156" w:type="dxa"/>
            <w:tcBorders/>
            <w:shd w:fill="CCEEFF" w:val="clear"/>
            <w:vAlign w:val="bottom"/>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234" w:type="dxa"/>
            <w:tcBorders/>
            <w:shd w:fill="CCEEFF" w:val="clear"/>
            <w:vAlign w:val="bottom"/>
          </w:tcPr>
          <w:p>
            <w:pPr>
              <w:pStyle w:val="TableContents"/>
              <w:bidi w:val="0"/>
              <w:spacing w:before="0" w:after="283"/>
              <w:jc w:val="right"/>
              <w:rPr/>
            </w:pPr>
            <w:r>
              <w:rPr/>
              <w:t>(2.94</w:t>
            </w:r>
          </w:p>
        </w:tc>
        <w:tc>
          <w:tcPr>
            <w:tcW w:w="119" w:type="dxa"/>
            <w:tcBorders/>
            <w:shd w:fill="CCEEFF" w:val="clear"/>
            <w:vAlign w:val="center"/>
          </w:tcPr>
          <w:p>
            <w:pPr>
              <w:pStyle w:val="TableContents"/>
              <w:bidi w:val="0"/>
              <w:spacing w:before="0" w:after="283"/>
              <w:jc w:val="left"/>
              <w:rPr/>
            </w:pPr>
            <w:r>
              <w:rPr/>
              <w:t>)</w:t>
            </w:r>
          </w:p>
        </w:tc>
      </w:tr>
      <w:tr>
        <w:trPr/>
        <w:tc>
          <w:tcPr>
            <w:tcW w:w="4020" w:type="dxa"/>
            <w:tcBorders/>
            <w:vAlign w:val="center"/>
          </w:tcPr>
          <w:p>
            <w:pPr>
              <w:pStyle w:val="TableContents"/>
              <w:pBdr/>
              <w:bidi w:val="0"/>
              <w:spacing w:before="0" w:after="0"/>
              <w:ind w:left="0" w:right="0" w:hanging="0"/>
              <w:jc w:val="left"/>
              <w:rPr/>
            </w:pPr>
            <w:r>
              <w:rPr/>
              <w:t>Total</w:t>
            </w:r>
          </w:p>
        </w:tc>
        <w:tc>
          <w:tcPr>
            <w:tcW w:w="23" w:type="dxa"/>
            <w:tcBorders/>
            <w:vAlign w:val="center"/>
          </w:tcPr>
          <w:p>
            <w:pPr>
              <w:pStyle w:val="TableContents"/>
              <w:bidi w:val="0"/>
              <w:spacing w:before="0" w:after="283"/>
              <w:jc w:val="left"/>
              <w:rPr/>
            </w:pPr>
            <w:r>
              <w:rPr/>
            </w:r>
          </w:p>
        </w:tc>
        <w:tc>
          <w:tcPr>
            <w:tcW w:w="161" w:type="dxa"/>
            <w:tcBorders/>
            <w:vAlign w:val="bottom"/>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263" w:type="dxa"/>
            <w:tcBorders/>
            <w:vAlign w:val="bottom"/>
          </w:tcPr>
          <w:p>
            <w:pPr>
              <w:pStyle w:val="TableContents"/>
              <w:bidi w:val="0"/>
              <w:spacing w:before="0" w:after="283"/>
              <w:jc w:val="right"/>
              <w:rPr/>
            </w:pPr>
            <w:r>
              <w:rPr/>
              <w:t>(7.92</w:t>
            </w:r>
          </w:p>
        </w:tc>
        <w:tc>
          <w:tcPr>
            <w:tcW w:w="122" w:type="dxa"/>
            <w:tcBorders/>
            <w:vAlign w:val="bottom"/>
          </w:tcPr>
          <w:p>
            <w:pPr>
              <w:pStyle w:val="TableContents"/>
              <w:bidi w:val="0"/>
              <w:spacing w:before="0" w:after="283"/>
              <w:jc w:val="left"/>
              <w:rPr/>
            </w:pPr>
            <w:r>
              <w:rPr/>
              <w:t>)</w:t>
            </w:r>
          </w:p>
        </w:tc>
        <w:tc>
          <w:tcPr>
            <w:tcW w:w="29" w:type="dxa"/>
            <w:tcBorders/>
            <w:vAlign w:val="bottom"/>
          </w:tcPr>
          <w:p>
            <w:pPr>
              <w:pStyle w:val="TableContents"/>
              <w:bidi w:val="0"/>
              <w:spacing w:before="0" w:after="283"/>
              <w:jc w:val="left"/>
              <w:rPr/>
            </w:pPr>
            <w:r>
              <w:rPr/>
            </w:r>
          </w:p>
        </w:tc>
        <w:tc>
          <w:tcPr>
            <w:tcW w:w="161" w:type="dxa"/>
            <w:tcBorders/>
            <w:vAlign w:val="bottom"/>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263" w:type="dxa"/>
            <w:tcBorders/>
            <w:vAlign w:val="bottom"/>
          </w:tcPr>
          <w:p>
            <w:pPr>
              <w:pStyle w:val="TableContents"/>
              <w:bidi w:val="0"/>
              <w:spacing w:before="0" w:after="283"/>
              <w:jc w:val="right"/>
              <w:rPr/>
            </w:pPr>
            <w:r>
              <w:rPr/>
              <w:t>(1.29</w:t>
            </w:r>
          </w:p>
        </w:tc>
        <w:tc>
          <w:tcPr>
            <w:tcW w:w="95" w:type="dxa"/>
            <w:tcBorders/>
            <w:vAlign w:val="bottom"/>
          </w:tcPr>
          <w:p>
            <w:pPr>
              <w:pStyle w:val="TableContents"/>
              <w:bidi w:val="0"/>
              <w:spacing w:before="0" w:after="283"/>
              <w:jc w:val="left"/>
              <w:rPr/>
            </w:pPr>
            <w:r>
              <w:rPr/>
              <w:t>)</w:t>
            </w:r>
          </w:p>
        </w:tc>
        <w:tc>
          <w:tcPr>
            <w:tcW w:w="23" w:type="dxa"/>
            <w:tcBorders/>
            <w:vAlign w:val="bottom"/>
          </w:tcPr>
          <w:p>
            <w:pPr>
              <w:pStyle w:val="TableContents"/>
              <w:bidi w:val="0"/>
              <w:spacing w:before="0" w:after="283"/>
              <w:jc w:val="left"/>
              <w:rPr/>
            </w:pPr>
            <w:r>
              <w:rPr/>
            </w:r>
          </w:p>
        </w:tc>
        <w:tc>
          <w:tcPr>
            <w:tcW w:w="155" w:type="dxa"/>
            <w:tcBorders/>
            <w:vAlign w:val="bottom"/>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234" w:type="dxa"/>
            <w:tcBorders/>
            <w:vAlign w:val="bottom"/>
          </w:tcPr>
          <w:p>
            <w:pPr>
              <w:pStyle w:val="TableContents"/>
              <w:bidi w:val="0"/>
              <w:spacing w:before="0" w:after="283"/>
              <w:jc w:val="right"/>
              <w:rPr/>
            </w:pPr>
            <w:r>
              <w:rPr/>
              <w:t>(12.39</w:t>
            </w:r>
          </w:p>
        </w:tc>
        <w:tc>
          <w:tcPr>
            <w:tcW w:w="119" w:type="dxa"/>
            <w:tcBorders/>
            <w:vAlign w:val="bottom"/>
          </w:tcPr>
          <w:p>
            <w:pPr>
              <w:pStyle w:val="TableContents"/>
              <w:bidi w:val="0"/>
              <w:spacing w:before="0" w:after="283"/>
              <w:jc w:val="left"/>
              <w:rPr/>
            </w:pPr>
            <w:r>
              <w:rPr/>
              <w:t>)</w:t>
            </w:r>
          </w:p>
        </w:tc>
        <w:tc>
          <w:tcPr>
            <w:tcW w:w="28" w:type="dxa"/>
            <w:tcBorders/>
            <w:vAlign w:val="bottom"/>
          </w:tcPr>
          <w:p>
            <w:pPr>
              <w:pStyle w:val="TableContents"/>
              <w:bidi w:val="0"/>
              <w:spacing w:before="0" w:after="283"/>
              <w:jc w:val="left"/>
              <w:rPr/>
            </w:pPr>
            <w:r>
              <w:rPr/>
            </w:r>
          </w:p>
        </w:tc>
        <w:tc>
          <w:tcPr>
            <w:tcW w:w="156" w:type="dxa"/>
            <w:tcBorders/>
            <w:vAlign w:val="bottom"/>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234" w:type="dxa"/>
            <w:tcBorders/>
            <w:vAlign w:val="bottom"/>
          </w:tcPr>
          <w:p>
            <w:pPr>
              <w:pStyle w:val="TableContents"/>
              <w:bidi w:val="0"/>
              <w:spacing w:before="0" w:after="283"/>
              <w:jc w:val="right"/>
              <w:rPr/>
            </w:pPr>
            <w:r>
              <w:rPr/>
              <w:t>(4.24</w:t>
            </w:r>
          </w:p>
        </w:tc>
        <w:tc>
          <w:tcPr>
            <w:tcW w:w="119" w:type="dxa"/>
            <w:tcBorders/>
            <w:vAlign w:val="center"/>
          </w:tcPr>
          <w:p>
            <w:pPr>
              <w:pStyle w:val="TableContents"/>
              <w:bidi w:val="0"/>
              <w:spacing w:before="0" w:after="283"/>
              <w:jc w:val="left"/>
              <w:rPr/>
            </w:pPr>
            <w:r>
              <w:rPr/>
              <w:t>)</w:t>
            </w:r>
          </w:p>
        </w:tc>
      </w:tr>
      <w:tr>
        <w:trPr/>
        <w:tc>
          <w:tcPr>
            <w:tcW w:w="4020"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161" w:type="dxa"/>
            <w:tcBorders/>
            <w:shd w:fill="CCEEFF" w:val="clear"/>
            <w:vAlign w:val="bottom"/>
          </w:tcPr>
          <w:p>
            <w:pPr>
              <w:pStyle w:val="TableContents"/>
              <w:bidi w:val="0"/>
              <w:spacing w:before="0" w:after="283"/>
              <w:jc w:val="left"/>
              <w:rPr/>
            </w:pPr>
            <w:r>
              <w:rPr/>
            </w:r>
          </w:p>
        </w:tc>
        <w:tc>
          <w:tcPr>
            <w:tcW w:w="1263" w:type="dxa"/>
            <w:tcBorders/>
            <w:shd w:fill="CCEEFF" w:val="clear"/>
            <w:vAlign w:val="bottom"/>
          </w:tcPr>
          <w:p>
            <w:pPr>
              <w:pStyle w:val="TableContents"/>
              <w:bidi w:val="0"/>
              <w:spacing w:before="0" w:after="283"/>
              <w:jc w:val="left"/>
              <w:rPr/>
            </w:pPr>
            <w:r>
              <w:rPr/>
            </w:r>
          </w:p>
        </w:tc>
        <w:tc>
          <w:tcPr>
            <w:tcW w:w="122" w:type="dxa"/>
            <w:tcBorders/>
            <w:shd w:fill="CCEEFF" w:val="clear"/>
            <w:vAlign w:val="bottom"/>
          </w:tcPr>
          <w:p>
            <w:pPr>
              <w:pStyle w:val="TableContents"/>
              <w:bidi w:val="0"/>
              <w:spacing w:before="0" w:after="283"/>
              <w:jc w:val="left"/>
              <w:rPr/>
            </w:pPr>
            <w:r>
              <w:rPr/>
            </w:r>
          </w:p>
        </w:tc>
        <w:tc>
          <w:tcPr>
            <w:tcW w:w="29" w:type="dxa"/>
            <w:tcBorders/>
            <w:shd w:fill="CCEEFF" w:val="clear"/>
            <w:vAlign w:val="bottom"/>
          </w:tcPr>
          <w:p>
            <w:pPr>
              <w:pStyle w:val="TableContents"/>
              <w:bidi w:val="0"/>
              <w:spacing w:before="0" w:after="283"/>
              <w:jc w:val="left"/>
              <w:rPr/>
            </w:pPr>
            <w:r>
              <w:rPr/>
            </w:r>
          </w:p>
        </w:tc>
        <w:tc>
          <w:tcPr>
            <w:tcW w:w="161" w:type="dxa"/>
            <w:tcBorders/>
            <w:shd w:fill="CCEEFF" w:val="clear"/>
            <w:vAlign w:val="bottom"/>
          </w:tcPr>
          <w:p>
            <w:pPr>
              <w:pStyle w:val="TableContents"/>
              <w:bidi w:val="0"/>
              <w:spacing w:before="0" w:after="283"/>
              <w:jc w:val="left"/>
              <w:rPr/>
            </w:pPr>
            <w:r>
              <w:rPr/>
            </w:r>
          </w:p>
        </w:tc>
        <w:tc>
          <w:tcPr>
            <w:tcW w:w="1263" w:type="dxa"/>
            <w:tcBorders/>
            <w:shd w:fill="CCEEFF" w:val="clear"/>
            <w:vAlign w:val="bottom"/>
          </w:tcPr>
          <w:p>
            <w:pPr>
              <w:pStyle w:val="TableContents"/>
              <w:bidi w:val="0"/>
              <w:spacing w:before="0" w:after="283"/>
              <w:jc w:val="left"/>
              <w:rPr/>
            </w:pPr>
            <w:r>
              <w:rPr/>
            </w:r>
          </w:p>
        </w:tc>
        <w:tc>
          <w:tcPr>
            <w:tcW w:w="95" w:type="dxa"/>
            <w:tcBorders/>
            <w:shd w:fill="CCEEFF" w:val="clear"/>
            <w:vAlign w:val="bottom"/>
          </w:tcPr>
          <w:p>
            <w:pPr>
              <w:pStyle w:val="TableContents"/>
              <w:bidi w:val="0"/>
              <w:spacing w:before="0" w:after="283"/>
              <w:jc w:val="left"/>
              <w:rPr/>
            </w:pPr>
            <w:r>
              <w:rPr/>
            </w:r>
          </w:p>
        </w:tc>
        <w:tc>
          <w:tcPr>
            <w:tcW w:w="23" w:type="dxa"/>
            <w:tcBorders/>
            <w:shd w:fill="CCEEFF" w:val="clear"/>
            <w:vAlign w:val="bottom"/>
          </w:tcPr>
          <w:p>
            <w:pPr>
              <w:pStyle w:val="TableContents"/>
              <w:bidi w:val="0"/>
              <w:spacing w:before="0" w:after="283"/>
              <w:jc w:val="left"/>
              <w:rPr/>
            </w:pPr>
            <w:r>
              <w:rPr/>
            </w:r>
          </w:p>
        </w:tc>
        <w:tc>
          <w:tcPr>
            <w:tcW w:w="155" w:type="dxa"/>
            <w:tcBorders/>
            <w:shd w:fill="CCEEFF" w:val="clear"/>
            <w:vAlign w:val="bottom"/>
          </w:tcPr>
          <w:p>
            <w:pPr>
              <w:pStyle w:val="TableContents"/>
              <w:bidi w:val="0"/>
              <w:spacing w:before="0" w:after="283"/>
              <w:jc w:val="left"/>
              <w:rPr/>
            </w:pPr>
            <w:r>
              <w:rPr/>
            </w:r>
          </w:p>
        </w:tc>
        <w:tc>
          <w:tcPr>
            <w:tcW w:w="1234" w:type="dxa"/>
            <w:tcBorders/>
            <w:shd w:fill="CCEEFF" w:val="clear"/>
            <w:vAlign w:val="bottom"/>
          </w:tcPr>
          <w:p>
            <w:pPr>
              <w:pStyle w:val="TableContents"/>
              <w:bidi w:val="0"/>
              <w:spacing w:before="0" w:after="283"/>
              <w:jc w:val="left"/>
              <w:rPr/>
            </w:pPr>
            <w:r>
              <w:rPr/>
            </w:r>
          </w:p>
        </w:tc>
        <w:tc>
          <w:tcPr>
            <w:tcW w:w="119" w:type="dxa"/>
            <w:tcBorders/>
            <w:shd w:fill="CCEEFF" w:val="clear"/>
            <w:vAlign w:val="bottom"/>
          </w:tcPr>
          <w:p>
            <w:pPr>
              <w:pStyle w:val="TableContents"/>
              <w:bidi w:val="0"/>
              <w:spacing w:before="0" w:after="283"/>
              <w:jc w:val="left"/>
              <w:rPr/>
            </w:pPr>
            <w:r>
              <w:rPr/>
            </w:r>
          </w:p>
        </w:tc>
        <w:tc>
          <w:tcPr>
            <w:tcW w:w="28" w:type="dxa"/>
            <w:tcBorders/>
            <w:shd w:fill="CCEEFF" w:val="clear"/>
            <w:vAlign w:val="bottom"/>
          </w:tcPr>
          <w:p>
            <w:pPr>
              <w:pStyle w:val="TableContents"/>
              <w:bidi w:val="0"/>
              <w:spacing w:before="0" w:after="283"/>
              <w:jc w:val="left"/>
              <w:rPr/>
            </w:pPr>
            <w:r>
              <w:rPr/>
            </w:r>
          </w:p>
        </w:tc>
        <w:tc>
          <w:tcPr>
            <w:tcW w:w="156" w:type="dxa"/>
            <w:tcBorders/>
            <w:shd w:fill="CCEEFF" w:val="clear"/>
            <w:vAlign w:val="bottom"/>
          </w:tcPr>
          <w:p>
            <w:pPr>
              <w:pStyle w:val="TableContents"/>
              <w:bidi w:val="0"/>
              <w:spacing w:before="0" w:after="283"/>
              <w:jc w:val="left"/>
              <w:rPr/>
            </w:pPr>
            <w:r>
              <w:rPr/>
            </w:r>
          </w:p>
        </w:tc>
        <w:tc>
          <w:tcPr>
            <w:tcW w:w="1234" w:type="dxa"/>
            <w:tcBorders/>
            <w:shd w:fill="CCEEFF" w:val="clear"/>
            <w:vAlign w:val="bottom"/>
          </w:tcPr>
          <w:p>
            <w:pPr>
              <w:pStyle w:val="TableContents"/>
              <w:bidi w:val="0"/>
              <w:spacing w:before="0" w:after="283"/>
              <w:jc w:val="left"/>
              <w:rPr/>
            </w:pPr>
            <w:r>
              <w:rPr/>
            </w:r>
          </w:p>
        </w:tc>
        <w:tc>
          <w:tcPr>
            <w:tcW w:w="119" w:type="dxa"/>
            <w:tcBorders/>
            <w:shd w:fill="CCEEFF" w:val="clear"/>
            <w:vAlign w:val="center"/>
          </w:tcPr>
          <w:p>
            <w:pPr>
              <w:pStyle w:val="TableContents"/>
              <w:bidi w:val="0"/>
              <w:spacing w:before="0" w:after="283"/>
              <w:jc w:val="left"/>
              <w:rPr/>
            </w:pPr>
            <w:r>
              <w:rPr/>
            </w:r>
          </w:p>
        </w:tc>
      </w:tr>
      <w:tr>
        <w:trPr/>
        <w:tc>
          <w:tcPr>
            <w:tcW w:w="402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Weighted average options, warrants and convertibles outstanding </w:t>
            </w:r>
          </w:p>
        </w:tc>
        <w:tc>
          <w:tcPr>
            <w:tcW w:w="23" w:type="dxa"/>
            <w:tcBorders/>
            <w:vAlign w:val="center"/>
          </w:tcPr>
          <w:p>
            <w:pPr>
              <w:pStyle w:val="TableContents"/>
              <w:bidi w:val="0"/>
              <w:spacing w:before="0" w:after="283"/>
              <w:jc w:val="left"/>
              <w:rPr/>
            </w:pPr>
            <w:r>
              <w:rPr/>
            </w:r>
          </w:p>
        </w:tc>
        <w:tc>
          <w:tcPr>
            <w:tcW w:w="161" w:type="dxa"/>
            <w:tcBorders/>
            <w:vAlign w:val="bottom"/>
          </w:tcPr>
          <w:p>
            <w:pPr>
              <w:pStyle w:val="TableContents"/>
              <w:bidi w:val="0"/>
              <w:spacing w:before="0" w:after="283"/>
              <w:jc w:val="left"/>
              <w:rPr/>
            </w:pPr>
            <w:r>
              <w:rPr/>
            </w:r>
          </w:p>
        </w:tc>
        <w:tc>
          <w:tcPr>
            <w:tcW w:w="1263" w:type="dxa"/>
            <w:tcBorders/>
            <w:vAlign w:val="bottom"/>
          </w:tcPr>
          <w:p>
            <w:pPr>
              <w:pStyle w:val="TableContents"/>
              <w:bidi w:val="0"/>
              <w:spacing w:before="0" w:after="283"/>
              <w:jc w:val="right"/>
              <w:rPr/>
            </w:pPr>
            <w:r>
              <w:rPr/>
              <w:t>883,592</w:t>
            </w:r>
          </w:p>
        </w:tc>
        <w:tc>
          <w:tcPr>
            <w:tcW w:w="122" w:type="dxa"/>
            <w:tcBorders/>
            <w:vAlign w:val="bottom"/>
          </w:tcPr>
          <w:p>
            <w:pPr>
              <w:pStyle w:val="TableContents"/>
              <w:bidi w:val="0"/>
              <w:spacing w:before="0" w:after="283"/>
              <w:jc w:val="left"/>
              <w:rPr/>
            </w:pPr>
            <w:r>
              <w:rPr/>
            </w:r>
          </w:p>
        </w:tc>
        <w:tc>
          <w:tcPr>
            <w:tcW w:w="29" w:type="dxa"/>
            <w:tcBorders/>
            <w:vAlign w:val="bottom"/>
          </w:tcPr>
          <w:p>
            <w:pPr>
              <w:pStyle w:val="TableContents"/>
              <w:bidi w:val="0"/>
              <w:spacing w:before="0" w:after="283"/>
              <w:jc w:val="left"/>
              <w:rPr/>
            </w:pPr>
            <w:r>
              <w:rPr/>
            </w:r>
          </w:p>
        </w:tc>
        <w:tc>
          <w:tcPr>
            <w:tcW w:w="161" w:type="dxa"/>
            <w:tcBorders/>
            <w:vAlign w:val="bottom"/>
          </w:tcPr>
          <w:p>
            <w:pPr>
              <w:pStyle w:val="TableContents"/>
              <w:bidi w:val="0"/>
              <w:spacing w:before="0" w:after="283"/>
              <w:jc w:val="left"/>
              <w:rPr/>
            </w:pPr>
            <w:r>
              <w:rPr/>
            </w:r>
          </w:p>
        </w:tc>
        <w:tc>
          <w:tcPr>
            <w:tcW w:w="1263" w:type="dxa"/>
            <w:tcBorders/>
            <w:vAlign w:val="bottom"/>
          </w:tcPr>
          <w:p>
            <w:pPr>
              <w:pStyle w:val="TableContents"/>
              <w:bidi w:val="0"/>
              <w:spacing w:before="0" w:after="283"/>
              <w:jc w:val="right"/>
              <w:rPr/>
            </w:pPr>
            <w:r>
              <w:rPr/>
              <w:t>366,640</w:t>
            </w:r>
          </w:p>
        </w:tc>
        <w:tc>
          <w:tcPr>
            <w:tcW w:w="95" w:type="dxa"/>
            <w:tcBorders/>
            <w:vAlign w:val="bottom"/>
          </w:tcPr>
          <w:p>
            <w:pPr>
              <w:pStyle w:val="TableContents"/>
              <w:bidi w:val="0"/>
              <w:spacing w:before="0" w:after="283"/>
              <w:jc w:val="left"/>
              <w:rPr/>
            </w:pPr>
            <w:r>
              <w:rPr/>
            </w:r>
          </w:p>
        </w:tc>
        <w:tc>
          <w:tcPr>
            <w:tcW w:w="23" w:type="dxa"/>
            <w:tcBorders/>
            <w:vAlign w:val="bottom"/>
          </w:tcPr>
          <w:p>
            <w:pPr>
              <w:pStyle w:val="TableContents"/>
              <w:bidi w:val="0"/>
              <w:spacing w:before="0" w:after="283"/>
              <w:jc w:val="left"/>
              <w:rPr/>
            </w:pPr>
            <w:r>
              <w:rPr/>
            </w:r>
          </w:p>
        </w:tc>
        <w:tc>
          <w:tcPr>
            <w:tcW w:w="155" w:type="dxa"/>
            <w:tcBorders/>
            <w:vAlign w:val="bottom"/>
          </w:tcPr>
          <w:p>
            <w:pPr>
              <w:pStyle w:val="TableContents"/>
              <w:bidi w:val="0"/>
              <w:spacing w:before="0" w:after="283"/>
              <w:jc w:val="left"/>
              <w:rPr/>
            </w:pPr>
            <w:r>
              <w:rPr/>
            </w:r>
          </w:p>
        </w:tc>
        <w:tc>
          <w:tcPr>
            <w:tcW w:w="1234" w:type="dxa"/>
            <w:tcBorders/>
            <w:vAlign w:val="bottom"/>
          </w:tcPr>
          <w:p>
            <w:pPr>
              <w:pStyle w:val="TableContents"/>
              <w:bidi w:val="0"/>
              <w:spacing w:before="0" w:after="283"/>
              <w:jc w:val="right"/>
              <w:rPr/>
            </w:pPr>
            <w:r>
              <w:rPr/>
              <w:t>565,904</w:t>
            </w:r>
          </w:p>
        </w:tc>
        <w:tc>
          <w:tcPr>
            <w:tcW w:w="119" w:type="dxa"/>
            <w:tcBorders/>
            <w:vAlign w:val="bottom"/>
          </w:tcPr>
          <w:p>
            <w:pPr>
              <w:pStyle w:val="TableContents"/>
              <w:bidi w:val="0"/>
              <w:spacing w:before="0" w:after="283"/>
              <w:jc w:val="left"/>
              <w:rPr/>
            </w:pPr>
            <w:r>
              <w:rPr/>
            </w:r>
          </w:p>
        </w:tc>
        <w:tc>
          <w:tcPr>
            <w:tcW w:w="28" w:type="dxa"/>
            <w:tcBorders/>
            <w:vAlign w:val="bottom"/>
          </w:tcPr>
          <w:p>
            <w:pPr>
              <w:pStyle w:val="TableContents"/>
              <w:bidi w:val="0"/>
              <w:spacing w:before="0" w:after="283"/>
              <w:jc w:val="left"/>
              <w:rPr/>
            </w:pPr>
            <w:r>
              <w:rPr/>
            </w:r>
          </w:p>
        </w:tc>
        <w:tc>
          <w:tcPr>
            <w:tcW w:w="156" w:type="dxa"/>
            <w:tcBorders/>
            <w:vAlign w:val="bottom"/>
          </w:tcPr>
          <w:p>
            <w:pPr>
              <w:pStyle w:val="TableContents"/>
              <w:bidi w:val="0"/>
              <w:spacing w:before="0" w:after="283"/>
              <w:jc w:val="left"/>
              <w:rPr/>
            </w:pPr>
            <w:r>
              <w:rPr/>
            </w:r>
          </w:p>
        </w:tc>
        <w:tc>
          <w:tcPr>
            <w:tcW w:w="1234" w:type="dxa"/>
            <w:tcBorders/>
            <w:vAlign w:val="bottom"/>
          </w:tcPr>
          <w:p>
            <w:pPr>
              <w:pStyle w:val="TableContents"/>
              <w:bidi w:val="0"/>
              <w:spacing w:before="0" w:after="283"/>
              <w:jc w:val="right"/>
              <w:rPr/>
            </w:pPr>
            <w:r>
              <w:rPr/>
              <w:t>371,427</w:t>
            </w:r>
          </w:p>
        </w:tc>
        <w:tc>
          <w:tcPr>
            <w:tcW w:w="119" w:type="dxa"/>
            <w:tcBorders/>
            <w:vAlign w:val="center"/>
          </w:tcPr>
          <w:p>
            <w:pPr>
              <w:pStyle w:val="TableContents"/>
              <w:bidi w:val="0"/>
              <w:spacing w:before="0" w:after="283"/>
              <w:jc w:val="left"/>
              <w:rPr/>
            </w:pPr>
            <w:r>
              <w:rPr/>
            </w:r>
          </w:p>
        </w:tc>
      </w:tr>
      <w:tr>
        <w:trPr/>
        <w:tc>
          <w:tcPr>
            <w:tcW w:w="4020" w:type="dxa"/>
            <w:tcBorders/>
            <w:shd w:fill="CCEEFF" w:val="clear"/>
            <w:vAlign w:val="center"/>
          </w:tcPr>
          <w:p>
            <w:pPr>
              <w:pStyle w:val="TableContents"/>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Anti-dilutive options, warrants and convertibles not included in the computation </w:t>
            </w:r>
          </w:p>
        </w:tc>
        <w:tc>
          <w:tcPr>
            <w:tcW w:w="23" w:type="dxa"/>
            <w:tcBorders/>
            <w:shd w:fill="CCEEFF" w:val="clear"/>
            <w:vAlign w:val="center"/>
          </w:tcPr>
          <w:p>
            <w:pPr>
              <w:pStyle w:val="TableContents"/>
              <w:bidi w:val="0"/>
              <w:spacing w:before="0" w:after="283"/>
              <w:jc w:val="left"/>
              <w:rPr/>
            </w:pPr>
            <w:r>
              <w:rPr/>
            </w:r>
          </w:p>
        </w:tc>
        <w:tc>
          <w:tcPr>
            <w:tcW w:w="161" w:type="dxa"/>
            <w:tcBorders/>
            <w:shd w:fill="CCEEFF" w:val="clear"/>
            <w:vAlign w:val="bottom"/>
          </w:tcPr>
          <w:p>
            <w:pPr>
              <w:pStyle w:val="TableContents"/>
              <w:bidi w:val="0"/>
              <w:spacing w:before="0" w:after="283"/>
              <w:jc w:val="left"/>
              <w:rPr/>
            </w:pPr>
            <w:r>
              <w:rPr/>
            </w:r>
          </w:p>
        </w:tc>
        <w:tc>
          <w:tcPr>
            <w:tcW w:w="1263" w:type="dxa"/>
            <w:tcBorders/>
            <w:shd w:fill="CCEEFF" w:val="clear"/>
            <w:vAlign w:val="bottom"/>
          </w:tcPr>
          <w:p>
            <w:pPr>
              <w:pStyle w:val="TableContents"/>
              <w:bidi w:val="0"/>
              <w:spacing w:before="0" w:after="283"/>
              <w:jc w:val="right"/>
              <w:rPr/>
            </w:pPr>
            <w:r>
              <w:rPr/>
              <w:t>883,592</w:t>
            </w:r>
          </w:p>
        </w:tc>
        <w:tc>
          <w:tcPr>
            <w:tcW w:w="122" w:type="dxa"/>
            <w:tcBorders/>
            <w:shd w:fill="CCEEFF" w:val="clear"/>
            <w:vAlign w:val="bottom"/>
          </w:tcPr>
          <w:p>
            <w:pPr>
              <w:pStyle w:val="TableContents"/>
              <w:bidi w:val="0"/>
              <w:spacing w:before="0" w:after="283"/>
              <w:jc w:val="left"/>
              <w:rPr/>
            </w:pPr>
            <w:r>
              <w:rPr/>
            </w:r>
          </w:p>
        </w:tc>
        <w:tc>
          <w:tcPr>
            <w:tcW w:w="29" w:type="dxa"/>
            <w:tcBorders/>
            <w:shd w:fill="CCEEFF" w:val="clear"/>
            <w:vAlign w:val="bottom"/>
          </w:tcPr>
          <w:p>
            <w:pPr>
              <w:pStyle w:val="TableContents"/>
              <w:bidi w:val="0"/>
              <w:spacing w:before="0" w:after="283"/>
              <w:jc w:val="left"/>
              <w:rPr/>
            </w:pPr>
            <w:r>
              <w:rPr/>
            </w:r>
          </w:p>
        </w:tc>
        <w:tc>
          <w:tcPr>
            <w:tcW w:w="161" w:type="dxa"/>
            <w:tcBorders/>
            <w:shd w:fill="CCEEFF" w:val="clear"/>
            <w:vAlign w:val="bottom"/>
          </w:tcPr>
          <w:p>
            <w:pPr>
              <w:pStyle w:val="TableContents"/>
              <w:bidi w:val="0"/>
              <w:spacing w:before="0" w:after="283"/>
              <w:jc w:val="left"/>
              <w:rPr/>
            </w:pPr>
            <w:r>
              <w:rPr/>
            </w:r>
          </w:p>
        </w:tc>
        <w:tc>
          <w:tcPr>
            <w:tcW w:w="1263" w:type="dxa"/>
            <w:tcBorders/>
            <w:shd w:fill="CCEEFF" w:val="clear"/>
            <w:vAlign w:val="bottom"/>
          </w:tcPr>
          <w:p>
            <w:pPr>
              <w:pStyle w:val="TableContents"/>
              <w:bidi w:val="0"/>
              <w:spacing w:before="0" w:after="283"/>
              <w:jc w:val="right"/>
              <w:rPr/>
            </w:pPr>
            <w:r>
              <w:rPr/>
              <w:t>366,640</w:t>
            </w:r>
          </w:p>
        </w:tc>
        <w:tc>
          <w:tcPr>
            <w:tcW w:w="95" w:type="dxa"/>
            <w:tcBorders/>
            <w:shd w:fill="CCEEFF" w:val="clear"/>
            <w:vAlign w:val="bottom"/>
          </w:tcPr>
          <w:p>
            <w:pPr>
              <w:pStyle w:val="TableContents"/>
              <w:bidi w:val="0"/>
              <w:spacing w:before="0" w:after="283"/>
              <w:jc w:val="left"/>
              <w:rPr/>
            </w:pPr>
            <w:r>
              <w:rPr/>
            </w:r>
          </w:p>
        </w:tc>
        <w:tc>
          <w:tcPr>
            <w:tcW w:w="23" w:type="dxa"/>
            <w:tcBorders/>
            <w:shd w:fill="CCEEFF" w:val="clear"/>
            <w:vAlign w:val="bottom"/>
          </w:tcPr>
          <w:p>
            <w:pPr>
              <w:pStyle w:val="TableContents"/>
              <w:bidi w:val="0"/>
              <w:spacing w:before="0" w:after="283"/>
              <w:jc w:val="left"/>
              <w:rPr/>
            </w:pPr>
            <w:r>
              <w:rPr/>
            </w:r>
          </w:p>
        </w:tc>
        <w:tc>
          <w:tcPr>
            <w:tcW w:w="155" w:type="dxa"/>
            <w:tcBorders/>
            <w:shd w:fill="CCEEFF" w:val="clear"/>
            <w:vAlign w:val="bottom"/>
          </w:tcPr>
          <w:p>
            <w:pPr>
              <w:pStyle w:val="TableContents"/>
              <w:bidi w:val="0"/>
              <w:spacing w:before="0" w:after="283"/>
              <w:jc w:val="left"/>
              <w:rPr/>
            </w:pPr>
            <w:r>
              <w:rPr/>
            </w:r>
          </w:p>
        </w:tc>
        <w:tc>
          <w:tcPr>
            <w:tcW w:w="1234" w:type="dxa"/>
            <w:tcBorders/>
            <w:shd w:fill="CCEEFF" w:val="clear"/>
            <w:vAlign w:val="bottom"/>
          </w:tcPr>
          <w:p>
            <w:pPr>
              <w:pStyle w:val="TableContents"/>
              <w:bidi w:val="0"/>
              <w:spacing w:before="0" w:after="283"/>
              <w:jc w:val="right"/>
              <w:rPr/>
            </w:pPr>
            <w:r>
              <w:rPr/>
              <w:t>565,904</w:t>
            </w:r>
          </w:p>
        </w:tc>
        <w:tc>
          <w:tcPr>
            <w:tcW w:w="119" w:type="dxa"/>
            <w:tcBorders/>
            <w:shd w:fill="CCEEFF" w:val="clear"/>
            <w:vAlign w:val="bottom"/>
          </w:tcPr>
          <w:p>
            <w:pPr>
              <w:pStyle w:val="TableContents"/>
              <w:bidi w:val="0"/>
              <w:spacing w:before="0" w:after="283"/>
              <w:jc w:val="left"/>
              <w:rPr/>
            </w:pPr>
            <w:r>
              <w:rPr/>
            </w:r>
          </w:p>
        </w:tc>
        <w:tc>
          <w:tcPr>
            <w:tcW w:w="28" w:type="dxa"/>
            <w:tcBorders/>
            <w:shd w:fill="CCEEFF" w:val="clear"/>
            <w:vAlign w:val="bottom"/>
          </w:tcPr>
          <w:p>
            <w:pPr>
              <w:pStyle w:val="TableContents"/>
              <w:bidi w:val="0"/>
              <w:spacing w:before="0" w:after="283"/>
              <w:jc w:val="left"/>
              <w:rPr/>
            </w:pPr>
            <w:r>
              <w:rPr/>
            </w:r>
          </w:p>
        </w:tc>
        <w:tc>
          <w:tcPr>
            <w:tcW w:w="156" w:type="dxa"/>
            <w:tcBorders/>
            <w:shd w:fill="CCEEFF" w:val="clear"/>
            <w:vAlign w:val="bottom"/>
          </w:tcPr>
          <w:p>
            <w:pPr>
              <w:pStyle w:val="TableContents"/>
              <w:bidi w:val="0"/>
              <w:spacing w:before="0" w:after="283"/>
              <w:jc w:val="left"/>
              <w:rPr/>
            </w:pPr>
            <w:r>
              <w:rPr/>
            </w:r>
          </w:p>
        </w:tc>
        <w:tc>
          <w:tcPr>
            <w:tcW w:w="1234" w:type="dxa"/>
            <w:tcBorders/>
            <w:shd w:fill="CCEEFF" w:val="clear"/>
            <w:vAlign w:val="bottom"/>
          </w:tcPr>
          <w:p>
            <w:pPr>
              <w:pStyle w:val="TableContents"/>
              <w:bidi w:val="0"/>
              <w:spacing w:before="0" w:after="283"/>
              <w:jc w:val="right"/>
              <w:rPr/>
            </w:pPr>
            <w:r>
              <w:rPr/>
              <w:t>371,427</w:t>
            </w:r>
          </w:p>
        </w:tc>
        <w:tc>
          <w:tcPr>
            <w:tcW w:w="119" w:type="dxa"/>
            <w:tcBorders/>
            <w:shd w:fill="CCEEFF" w:val="clear"/>
            <w:vAlign w:val="center"/>
          </w:tcPr>
          <w:p>
            <w:pPr>
              <w:pStyle w:val="TableContents"/>
              <w:bidi w:val="0"/>
              <w:spacing w:before="0" w:after="283"/>
              <w:jc w:val="left"/>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bookmarkStart w:id="210" w:name="PageBreakNo13"/>
            <w:bookmarkEnd w:id="210"/>
            <w:r>
              <w:rPr>
                <w:sz w:val="20"/>
              </w:rPr>
              <w:t>13</w:t>
            </w:r>
          </w:p>
        </w:tc>
      </w:tr>
    </w:tbl>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sz w:val="20"/>
          </w:rPr>
          <w:t>Table of Contents</w:t>
        </w:r>
      </w:hyperlink>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UNAUDITED NOTES TO CONDENSED CONSOLIDATED FINANCIAL STATEMENTS</w:t>
      </w:r>
    </w:p>
    <w:p>
      <w:pPr>
        <w:pStyle w:val="TextBody"/>
        <w:bidi w:val="0"/>
        <w:spacing w:lineRule="auto" w:line="288" w:before="0" w:after="0"/>
        <w:ind w:left="144" w:right="144" w:hanging="0"/>
        <w:jc w:val="center"/>
        <w:rPr>
          <w:rFonts w:ascii="Times New Roman" w:hAnsi="Times New Roman"/>
          <w:sz w:val="20"/>
        </w:rPr>
      </w:pPr>
      <w:r>
        <w:rPr>
          <w:rFonts w:ascii="Times New Roman" w:hAnsi="Times New Roman"/>
          <w:sz w:val="20"/>
        </w:rPr>
        <w:t>(Unaudited - Dollars in thousands, except per share amounts)</w:t>
      </w:r>
    </w:p>
    <w:p>
      <w:pPr>
        <w:pStyle w:val="TextBody"/>
        <w:bidi w:val="0"/>
        <w:spacing w:lineRule="auto" w:line="288" w:before="0" w:after="0"/>
        <w:ind w:left="144" w:right="144" w:hanging="0"/>
        <w:jc w:val="center"/>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8</w:t>
      </w:r>
      <w:r>
        <w:rPr>
          <w:rFonts w:ascii="Times New Roman" w:hAnsi="Times New Roman"/>
          <w:b/>
          <w:sz w:val="20"/>
        </w:rPr>
        <w:t>. Intangible Assets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 xml:space="preserve">As of </w:t>
      </w:r>
      <w:bookmarkStart w:id="211" w:name="fs_GS5LJWPJ7400000000000000000000FM"/>
      <w:bookmarkEnd w:id="211"/>
      <w:r>
        <w:rPr>
          <w:rFonts w:ascii="Times New Roman" w:hAnsi="Times New Roman"/>
          <w:sz w:val="20"/>
        </w:rPr>
        <w:t>September 30, 2025, inventories and certain intangible assets were classified as assets held for sale and are therefore excluded from continuing operations disclosures. See Note 2.</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9</w:t>
      </w:r>
      <w:r>
        <w:rPr>
          <w:rFonts w:ascii="Times New Roman" w:hAnsi="Times New Roman"/>
          <w:b/>
          <w:sz w:val="20"/>
        </w:rPr>
        <w:t>. Inventories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 xml:space="preserve">As of </w:t>
      </w:r>
      <w:bookmarkStart w:id="212" w:name="fs_1E2FIRTCN400000000000000000000FM"/>
      <w:bookmarkEnd w:id="212"/>
      <w:r>
        <w:rPr>
          <w:rFonts w:ascii="Times New Roman" w:hAnsi="Times New Roman"/>
          <w:sz w:val="20"/>
        </w:rPr>
        <w:t>September 30, 2025, significant inventories were classified as assets held for sale and are therefore excluded from continuing operations disclosures. See Note 2. Some inventories were retained to service warranty liabilities.</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t xml:space="preserve">Inventories, net of reserves, as of </w:t>
      </w:r>
      <w:bookmarkStart w:id="213" w:name="fs_SAEI9UWDQO00000000000000000000FM"/>
      <w:bookmarkEnd w:id="213"/>
      <w:r>
        <w:rPr>
          <w:rFonts w:ascii="Times New Roman" w:hAnsi="Times New Roman"/>
          <w:sz w:val="20"/>
        </w:rPr>
        <w:t xml:space="preserve">September 30, 2025 and </w:t>
      </w:r>
      <w:bookmarkStart w:id="214" w:name="fs_ZLKWSVMHMO00000000000000000000FM"/>
      <w:bookmarkEnd w:id="214"/>
      <w:r>
        <w:rPr>
          <w:rFonts w:ascii="Times New Roman" w:hAnsi="Times New Roman"/>
          <w:sz w:val="20"/>
        </w:rPr>
        <w:t>December 31, 2024 consisted of the following:  </w:t>
      </w:r>
    </w:p>
    <w:p>
      <w:pPr>
        <w:pStyle w:val="TextBody"/>
        <w:bidi w:val="0"/>
        <w:spacing w:lineRule="auto" w:line="288" w:before="0" w:after="0"/>
        <w:ind w:left="144" w:right="144" w:hanging="0"/>
        <w:jc w:val="left"/>
        <w:rPr/>
      </w:pPr>
      <w:r>
        <w:rPr/>
        <w:t> </w:t>
      </w:r>
    </w:p>
    <w:tbl>
      <w:tblPr>
        <w:tblW w:w="5000" w:type="pct"/>
        <w:jc w:val="left"/>
        <w:tblInd w:w="0" w:type="dxa"/>
        <w:tblLayout w:type="fixed"/>
        <w:tblCellMar>
          <w:top w:w="0" w:type="dxa"/>
          <w:left w:w="0" w:type="dxa"/>
          <w:bottom w:w="0" w:type="dxa"/>
          <w:right w:w="0" w:type="dxa"/>
        </w:tblCellMar>
      </w:tblPr>
      <w:tblGrid>
        <w:gridCol w:w="2584"/>
        <w:gridCol w:w="233"/>
        <w:gridCol w:w="1198"/>
        <w:gridCol w:w="2174"/>
        <w:gridCol w:w="234"/>
        <w:gridCol w:w="234"/>
        <w:gridCol w:w="1283"/>
        <w:gridCol w:w="2001"/>
        <w:gridCol w:w="264"/>
      </w:tblGrid>
      <w:tr>
        <w:trPr/>
        <w:tc>
          <w:tcPr>
            <w:tcW w:w="2584" w:type="dxa"/>
            <w:tcBorders/>
            <w:vAlign w:val="center"/>
          </w:tcPr>
          <w:p>
            <w:pPr>
              <w:pStyle w:val="TableContents"/>
              <w:bidi w:val="0"/>
              <w:spacing w:before="0" w:after="0"/>
              <w:ind w:left="0" w:right="0" w:hanging="0"/>
              <w:jc w:val="left"/>
              <w:rPr/>
            </w:pPr>
            <w:r>
              <w:rPr/>
              <w:t xml:space="preserve">  </w:t>
            </w:r>
          </w:p>
        </w:tc>
        <w:tc>
          <w:tcPr>
            <w:tcW w:w="233" w:type="dxa"/>
            <w:tcBorders/>
            <w:vAlign w:val="center"/>
          </w:tcPr>
          <w:p>
            <w:pPr>
              <w:pStyle w:val="TableContents"/>
              <w:bidi w:val="0"/>
              <w:spacing w:before="0" w:after="0"/>
              <w:ind w:left="0" w:right="0" w:hanging="0"/>
              <w:jc w:val="left"/>
              <w:rPr/>
            </w:pPr>
            <w:r>
              <w:rPr/>
              <w:t xml:space="preserve">  </w:t>
            </w:r>
          </w:p>
        </w:tc>
        <w:tc>
          <w:tcPr>
            <w:tcW w:w="3372" w:type="dxa"/>
            <w:gridSpan w:val="2"/>
            <w:tcBorders/>
            <w:vAlign w:val="center"/>
          </w:tcPr>
          <w:p>
            <w:pPr>
              <w:pStyle w:val="TableContents"/>
              <w:bidi w:val="0"/>
              <w:spacing w:before="0" w:after="0"/>
              <w:ind w:left="0" w:right="0" w:hanging="0"/>
              <w:jc w:val="center"/>
              <w:rPr>
                <w:rFonts w:ascii="Times New Roman" w:hAnsi="Times New Roman"/>
                <w:b/>
                <w:sz w:val="20"/>
              </w:rPr>
            </w:pPr>
            <w:bookmarkStart w:id="215" w:name="fs_U3UG4KMZA800000000000000000000FM"/>
            <w:bookmarkEnd w:id="215"/>
            <w:r>
              <w:rPr>
                <w:rFonts w:ascii="Times New Roman" w:hAnsi="Times New Roman"/>
                <w:b/>
                <w:sz w:val="20"/>
              </w:rPr>
              <w:t xml:space="preserve">September 30, 2025 </w:t>
            </w:r>
          </w:p>
        </w:tc>
        <w:tc>
          <w:tcPr>
            <w:tcW w:w="234" w:type="dxa"/>
            <w:tcBorders/>
            <w:vAlign w:val="center"/>
          </w:tcPr>
          <w:p>
            <w:pPr>
              <w:pStyle w:val="TableContents"/>
              <w:bidi w:val="0"/>
              <w:spacing w:before="0" w:after="0"/>
              <w:ind w:left="0" w:right="0" w:hanging="0"/>
              <w:jc w:val="left"/>
              <w:rPr/>
            </w:pPr>
            <w:r>
              <w:rPr/>
              <w:t xml:space="preserve">  </w:t>
            </w:r>
          </w:p>
        </w:tc>
        <w:tc>
          <w:tcPr>
            <w:tcW w:w="234" w:type="dxa"/>
            <w:tcBorders/>
            <w:vAlign w:val="center"/>
          </w:tcPr>
          <w:p>
            <w:pPr>
              <w:pStyle w:val="TableContents"/>
              <w:bidi w:val="0"/>
              <w:spacing w:before="0" w:after="0"/>
              <w:ind w:left="0" w:right="0" w:hanging="0"/>
              <w:jc w:val="left"/>
              <w:rPr/>
            </w:pPr>
            <w:r>
              <w:rPr/>
              <w:t xml:space="preserve">  </w:t>
            </w:r>
          </w:p>
        </w:tc>
        <w:tc>
          <w:tcPr>
            <w:tcW w:w="3284" w:type="dxa"/>
            <w:gridSpan w:val="2"/>
            <w:tcBorders/>
            <w:vAlign w:val="center"/>
          </w:tcPr>
          <w:p>
            <w:pPr>
              <w:pStyle w:val="TableContents"/>
              <w:bidi w:val="0"/>
              <w:spacing w:before="0" w:after="0"/>
              <w:ind w:left="0" w:right="0" w:hanging="0"/>
              <w:jc w:val="center"/>
              <w:rPr>
                <w:rFonts w:ascii="Times New Roman" w:hAnsi="Times New Roman"/>
                <w:b/>
                <w:sz w:val="20"/>
              </w:rPr>
            </w:pPr>
            <w:bookmarkStart w:id="216" w:name="fs_YJENM7ZY5S00000000000000000000FM"/>
            <w:bookmarkEnd w:id="216"/>
            <w:r>
              <w:rPr>
                <w:rFonts w:ascii="Times New Roman" w:hAnsi="Times New Roman"/>
                <w:b/>
                <w:sz w:val="20"/>
              </w:rPr>
              <w:t xml:space="preserve">December 31, 2024 </w:t>
            </w:r>
          </w:p>
        </w:tc>
        <w:tc>
          <w:tcPr>
            <w:tcW w:w="264" w:type="dxa"/>
            <w:tcBorders/>
            <w:vAlign w:val="center"/>
          </w:tcPr>
          <w:p>
            <w:pPr>
              <w:pStyle w:val="TableContents"/>
              <w:bidi w:val="0"/>
              <w:spacing w:before="0" w:after="0"/>
              <w:ind w:left="0" w:right="0" w:hanging="0"/>
              <w:jc w:val="left"/>
              <w:rPr/>
            </w:pPr>
            <w:r>
              <w:rPr/>
              <w:t xml:space="preserve">  </w:t>
            </w:r>
          </w:p>
        </w:tc>
      </w:tr>
      <w:tr>
        <w:trPr/>
        <w:tc>
          <w:tcPr>
            <w:tcW w:w="258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Current: </w:t>
            </w:r>
          </w:p>
        </w:tc>
        <w:tc>
          <w:tcPr>
            <w:tcW w:w="233" w:type="dxa"/>
            <w:tcBorders/>
            <w:shd w:fill="CCEEFF" w:val="clear"/>
            <w:vAlign w:val="center"/>
          </w:tcPr>
          <w:p>
            <w:pPr>
              <w:pStyle w:val="TableContents"/>
              <w:bidi w:val="0"/>
              <w:spacing w:before="0" w:after="0"/>
              <w:ind w:left="0" w:right="0" w:hanging="0"/>
              <w:jc w:val="left"/>
              <w:rPr/>
            </w:pPr>
            <w:r>
              <w:rPr/>
              <w:t xml:space="preserve">  </w:t>
            </w:r>
          </w:p>
        </w:tc>
        <w:tc>
          <w:tcPr>
            <w:tcW w:w="1198" w:type="dxa"/>
            <w:tcBorders/>
            <w:shd w:fill="CCEEFF" w:val="clear"/>
            <w:vAlign w:val="center"/>
          </w:tcPr>
          <w:p>
            <w:pPr>
              <w:pStyle w:val="TableContents"/>
              <w:bidi w:val="0"/>
              <w:spacing w:before="0" w:after="0"/>
              <w:ind w:left="0" w:right="0" w:hanging="0"/>
              <w:jc w:val="left"/>
              <w:rPr/>
            </w:pPr>
            <w:r>
              <w:rPr/>
              <w:t xml:space="preserve">  </w:t>
            </w:r>
          </w:p>
        </w:tc>
        <w:tc>
          <w:tcPr>
            <w:tcW w:w="2174" w:type="dxa"/>
            <w:tcBorders/>
            <w:shd w:fill="CCEEFF" w:val="clear"/>
            <w:vAlign w:val="center"/>
          </w:tcPr>
          <w:p>
            <w:pPr>
              <w:pStyle w:val="TableContents"/>
              <w:bidi w:val="0"/>
              <w:spacing w:before="0" w:after="0"/>
              <w:ind w:left="0" w:right="0" w:hanging="0"/>
              <w:jc w:val="left"/>
              <w:rPr/>
            </w:pPr>
            <w:r>
              <w:rPr/>
              <w:t xml:space="preserve">  </w:t>
            </w:r>
          </w:p>
        </w:tc>
        <w:tc>
          <w:tcPr>
            <w:tcW w:w="234" w:type="dxa"/>
            <w:tcBorders/>
            <w:shd w:fill="CCEEFF" w:val="clear"/>
            <w:vAlign w:val="center"/>
          </w:tcPr>
          <w:p>
            <w:pPr>
              <w:pStyle w:val="TableContents"/>
              <w:bidi w:val="0"/>
              <w:spacing w:before="0" w:after="0"/>
              <w:ind w:left="0" w:right="0" w:hanging="0"/>
              <w:jc w:val="left"/>
              <w:rPr/>
            </w:pPr>
            <w:r>
              <w:rPr/>
              <w:t xml:space="preserve">  </w:t>
            </w:r>
          </w:p>
        </w:tc>
        <w:tc>
          <w:tcPr>
            <w:tcW w:w="234" w:type="dxa"/>
            <w:tcBorders/>
            <w:shd w:fill="CCEEFF" w:val="clear"/>
            <w:vAlign w:val="center"/>
          </w:tcPr>
          <w:p>
            <w:pPr>
              <w:pStyle w:val="TableContents"/>
              <w:bidi w:val="0"/>
              <w:spacing w:before="0" w:after="0"/>
              <w:ind w:left="0" w:right="0" w:hanging="0"/>
              <w:jc w:val="left"/>
              <w:rPr/>
            </w:pPr>
            <w:r>
              <w:rPr/>
              <w:t xml:space="preserve">  </w:t>
            </w:r>
          </w:p>
        </w:tc>
        <w:tc>
          <w:tcPr>
            <w:tcW w:w="1283" w:type="dxa"/>
            <w:tcBorders/>
            <w:shd w:fill="CCEEFF" w:val="clear"/>
            <w:vAlign w:val="center"/>
          </w:tcPr>
          <w:p>
            <w:pPr>
              <w:pStyle w:val="TableContents"/>
              <w:bidi w:val="0"/>
              <w:spacing w:before="0" w:after="0"/>
              <w:ind w:left="0" w:right="0" w:hanging="0"/>
              <w:jc w:val="left"/>
              <w:rPr/>
            </w:pPr>
            <w:r>
              <w:rPr/>
              <w:t xml:space="preserve">  </w:t>
            </w:r>
          </w:p>
        </w:tc>
        <w:tc>
          <w:tcPr>
            <w:tcW w:w="2001" w:type="dxa"/>
            <w:tcBorders/>
            <w:shd w:fill="CCEEFF" w:val="clear"/>
            <w:vAlign w:val="center"/>
          </w:tcPr>
          <w:p>
            <w:pPr>
              <w:pStyle w:val="TableContents"/>
              <w:bidi w:val="0"/>
              <w:spacing w:before="0" w:after="0"/>
              <w:ind w:left="0" w:right="0" w:hanging="0"/>
              <w:jc w:val="left"/>
              <w:rPr/>
            </w:pPr>
            <w:r>
              <w:rPr/>
              <w:t xml:space="preserve">  </w:t>
            </w:r>
          </w:p>
        </w:tc>
        <w:tc>
          <w:tcPr>
            <w:tcW w:w="264" w:type="dxa"/>
            <w:tcBorders/>
            <w:shd w:fill="CCEEFF" w:val="clear"/>
            <w:vAlign w:val="center"/>
          </w:tcPr>
          <w:p>
            <w:pPr>
              <w:pStyle w:val="TableContents"/>
              <w:bidi w:val="0"/>
              <w:spacing w:before="0" w:after="0"/>
              <w:ind w:left="0" w:right="0" w:hanging="0"/>
              <w:jc w:val="left"/>
              <w:rPr/>
            </w:pPr>
            <w:r>
              <w:rPr/>
              <w:t xml:space="preserve">  </w:t>
            </w:r>
          </w:p>
        </w:tc>
      </w:tr>
      <w:tr>
        <w:trPr/>
        <w:tc>
          <w:tcPr>
            <w:tcW w:w="2584" w:type="dxa"/>
            <w:tcBorders/>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 xml:space="preserve">Finished goods </w:t>
            </w:r>
          </w:p>
        </w:tc>
        <w:tc>
          <w:tcPr>
            <w:tcW w:w="233" w:type="dxa"/>
            <w:tcBorders/>
            <w:vAlign w:val="center"/>
          </w:tcPr>
          <w:p>
            <w:pPr>
              <w:pStyle w:val="TableContents"/>
              <w:bidi w:val="0"/>
              <w:spacing w:before="0" w:after="0"/>
              <w:ind w:left="0" w:right="0" w:hanging="0"/>
              <w:jc w:val="left"/>
              <w:rPr/>
            </w:pPr>
            <w:r>
              <w:rPr/>
              <w:t xml:space="preserve">  </w:t>
            </w:r>
          </w:p>
        </w:tc>
        <w:tc>
          <w:tcPr>
            <w:tcW w:w="1198" w:type="dxa"/>
            <w:tcBorders/>
            <w:vAlign w:val="center"/>
          </w:tcPr>
          <w:p>
            <w:pPr>
              <w:pStyle w:val="TableContents"/>
              <w:bidi w:val="0"/>
              <w:spacing w:before="0" w:after="0"/>
              <w:ind w:left="0" w:right="0" w:hanging="0"/>
              <w:jc w:val="left"/>
              <w:rPr/>
            </w:pPr>
            <w:r>
              <w:rPr/>
              <w:t> </w:t>
            </w:r>
            <w:r>
              <w:rPr>
                <w:rFonts w:ascii="Times New Roman" w:hAnsi="Times New Roman"/>
                <w:sz w:val="20"/>
              </w:rPr>
              <w:t>$</w:t>
            </w:r>
          </w:p>
        </w:tc>
        <w:tc>
          <w:tcPr>
            <w:tcW w:w="2174"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392 </w:t>
            </w:r>
          </w:p>
        </w:tc>
        <w:tc>
          <w:tcPr>
            <w:tcW w:w="234" w:type="dxa"/>
            <w:tcBorders/>
            <w:vAlign w:val="center"/>
          </w:tcPr>
          <w:p>
            <w:pPr>
              <w:pStyle w:val="TableContents"/>
              <w:pBdr/>
              <w:bidi w:val="0"/>
              <w:spacing w:before="0" w:after="0"/>
              <w:ind w:left="0" w:right="0" w:hanging="0"/>
              <w:jc w:val="left"/>
              <w:rPr/>
            </w:pPr>
            <w:r>
              <w:rPr/>
              <w:t xml:space="preserve">  </w:t>
            </w:r>
          </w:p>
        </w:tc>
        <w:tc>
          <w:tcPr>
            <w:tcW w:w="234" w:type="dxa"/>
            <w:tcBorders/>
            <w:vAlign w:val="center"/>
          </w:tcPr>
          <w:p>
            <w:pPr>
              <w:pStyle w:val="TableContents"/>
              <w:pBdr/>
              <w:bidi w:val="0"/>
              <w:spacing w:before="0" w:after="0"/>
              <w:ind w:left="0" w:right="0" w:hanging="0"/>
              <w:jc w:val="left"/>
              <w:rPr/>
            </w:pPr>
            <w:r>
              <w:rPr/>
              <w:t xml:space="preserve">  </w:t>
            </w:r>
          </w:p>
        </w:tc>
        <w:tc>
          <w:tcPr>
            <w:tcW w:w="1283" w:type="dxa"/>
            <w:tcBorders/>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w:t>
            </w:r>
          </w:p>
        </w:tc>
        <w:tc>
          <w:tcPr>
            <w:tcW w:w="2001"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392 </w:t>
            </w:r>
          </w:p>
        </w:tc>
        <w:tc>
          <w:tcPr>
            <w:tcW w:w="264" w:type="dxa"/>
            <w:tcBorders/>
            <w:vAlign w:val="center"/>
          </w:tcPr>
          <w:p>
            <w:pPr>
              <w:pStyle w:val="TableContents"/>
              <w:bidi w:val="0"/>
              <w:spacing w:before="0" w:after="0"/>
              <w:ind w:left="0" w:right="0" w:hanging="0"/>
              <w:jc w:val="left"/>
              <w:rPr/>
            </w:pPr>
            <w:r>
              <w:rPr/>
              <w:t xml:space="preserve">  </w:t>
            </w:r>
          </w:p>
        </w:tc>
      </w:tr>
    </w:tbl>
    <w:p>
      <w:pPr>
        <w:pStyle w:val="TextBody"/>
        <w:bidi w:val="0"/>
        <w:spacing w:lineRule="auto" w:line="288" w:before="0" w:after="0"/>
        <w:ind w:left="144" w:right="144" w:hanging="0"/>
        <w:jc w:val="both"/>
        <w:rPr/>
      </w:pPr>
      <w:r>
        <w:rPr/>
        <w:t>  </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 xml:space="preserve">Net loss incurred on valuation of inventory at lower of cost or net realizable value and write-off of obsolete inventory for </w:t>
      </w:r>
      <w:bookmarkStart w:id="217" w:name="fs_AVVG1ITA5S00000000000000000000fs"/>
      <w:bookmarkEnd w:id="217"/>
      <w:r>
        <w:rPr>
          <w:rFonts w:ascii="times new roman;times" w:hAnsi="times new roman;times"/>
          <w:sz w:val="20"/>
        </w:rPr>
        <w:t>three and nine months ended </w:t>
      </w:r>
      <w:bookmarkStart w:id="218" w:name="fs_8U2I9I1KSW00000000000000000000FM"/>
      <w:bookmarkEnd w:id="218"/>
      <w:r>
        <w:rPr>
          <w:rFonts w:ascii="times new roman;times" w:hAnsi="times new roman;times"/>
          <w:sz w:val="20"/>
        </w:rPr>
        <w:t>September 30, 2025 </w:t>
      </w:r>
      <w:r>
        <w:rPr>
          <w:rFonts w:ascii="times new roman;times" w:hAnsi="times new roman;times"/>
          <w:sz w:val="20"/>
        </w:rPr>
        <w:t xml:space="preserve">and </w:t>
      </w:r>
      <w:bookmarkStart w:id="219" w:name="fs_SS9BIKO0N400000000000000000000FM"/>
      <w:bookmarkEnd w:id="219"/>
      <w:r>
        <w:rPr>
          <w:rFonts w:ascii="times new roman;times" w:hAnsi="times new roman;times"/>
          <w:sz w:val="20"/>
        </w:rPr>
        <w:t>2024 was as follows:</w:t>
      </w:r>
    </w:p>
    <w:p>
      <w:pPr>
        <w:pStyle w:val="TextBody"/>
        <w:bidi w:val="0"/>
        <w:spacing w:lineRule="auto" w:line="288" w:before="0" w:after="0"/>
        <w:ind w:left="144" w:right="144" w:hanging="0"/>
        <w:jc w:val="center"/>
        <w:rPr/>
      </w:pPr>
      <w:r>
        <w:rPr/>
        <w:t> </w:t>
      </w:r>
    </w:p>
    <w:tbl>
      <w:tblPr>
        <w:tblW w:w="5000" w:type="pct"/>
        <w:jc w:val="left"/>
        <w:tblInd w:w="0" w:type="dxa"/>
        <w:tblLayout w:type="fixed"/>
        <w:tblCellMar>
          <w:top w:w="0" w:type="dxa"/>
          <w:left w:w="0" w:type="dxa"/>
          <w:bottom w:w="0" w:type="dxa"/>
          <w:right w:w="0" w:type="dxa"/>
        </w:tblCellMar>
      </w:tblPr>
      <w:tblGrid>
        <w:gridCol w:w="5738"/>
        <w:gridCol w:w="23"/>
        <w:gridCol w:w="331"/>
        <w:gridCol w:w="626"/>
        <w:gridCol w:w="53"/>
        <w:gridCol w:w="53"/>
        <w:gridCol w:w="329"/>
        <w:gridCol w:w="635"/>
        <w:gridCol w:w="23"/>
        <w:gridCol w:w="23"/>
        <w:gridCol w:w="355"/>
        <w:gridCol w:w="740"/>
        <w:gridCol w:w="64"/>
        <w:gridCol w:w="64"/>
        <w:gridCol w:w="355"/>
        <w:gridCol w:w="748"/>
        <w:gridCol w:w="45"/>
      </w:tblGrid>
      <w:tr>
        <w:trPr/>
        <w:tc>
          <w:tcPr>
            <w:tcW w:w="5738" w:type="dxa"/>
            <w:tcBorders/>
            <w:vAlign w:val="center"/>
          </w:tcPr>
          <w:p>
            <w:pPr>
              <w:pStyle w:val="TableContents"/>
              <w:bidi w:val="0"/>
              <w:spacing w:before="0" w:after="0"/>
              <w:ind w:left="0" w:right="0" w:hanging="0"/>
              <w:jc w:val="left"/>
              <w:rPr/>
            </w:pPr>
            <w:r>
              <w:rPr/>
              <w:t> </w:t>
            </w:r>
          </w:p>
        </w:tc>
        <w:tc>
          <w:tcPr>
            <w:tcW w:w="23" w:type="dxa"/>
            <w:tcBorders/>
            <w:vAlign w:val="center"/>
          </w:tcPr>
          <w:p>
            <w:pPr>
              <w:pStyle w:val="TableContents"/>
              <w:bidi w:val="0"/>
              <w:spacing w:before="0" w:after="283"/>
              <w:jc w:val="left"/>
              <w:rPr/>
            </w:pPr>
            <w:r>
              <w:rPr/>
            </w:r>
          </w:p>
        </w:tc>
        <w:tc>
          <w:tcPr>
            <w:tcW w:w="2027" w:type="dxa"/>
            <w:gridSpan w:val="6"/>
            <w:tcBorders/>
            <w:vAlign w:val="center"/>
          </w:tcPr>
          <w:p>
            <w:pPr>
              <w:pStyle w:val="TableContents"/>
              <w:widowControl/>
              <w:bidi w:val="0"/>
              <w:spacing w:before="0" w:after="283"/>
              <w:ind w:left="0" w:right="0" w:hanging="0"/>
              <w:jc w:val="center"/>
              <w:rPr>
                <w:rFonts w:ascii="Times New Roman" w:hAnsi="Times New Roman"/>
                <w:b/>
                <w:i w:val="false"/>
                <w:caps w:val="false"/>
                <w:smallCaps w:val="false"/>
                <w:color w:val="000000"/>
                <w:spacing w:val="0"/>
                <w:sz w:val="20"/>
              </w:rPr>
            </w:pPr>
            <w:bookmarkStart w:id="220" w:name="fs_T7FU2XNTQO00000000000000000000FM"/>
            <w:bookmarkEnd w:id="220"/>
            <w:r>
              <w:rPr>
                <w:rFonts w:ascii="Times New Roman" w:hAnsi="Times New Roman"/>
                <w:b/>
                <w:i w:val="false"/>
                <w:caps w:val="false"/>
                <w:smallCaps w:val="false"/>
                <w:color w:val="000000"/>
                <w:spacing w:val="0"/>
                <w:sz w:val="20"/>
              </w:rPr>
              <w:t>Three months ended September 30,</w:t>
            </w:r>
          </w:p>
        </w:tc>
        <w:tc>
          <w:tcPr>
            <w:tcW w:w="2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326" w:type="dxa"/>
            <w:gridSpan w:val="6"/>
            <w:tcBorders>
              <w:bottom w:val="single" w:sz="2" w:space="0" w:color="000000"/>
            </w:tcBorders>
            <w:tcMar>
              <w:bottom w:w="28" w:type="dxa"/>
            </w:tcMar>
            <w:vAlign w:val="center"/>
          </w:tcPr>
          <w:p>
            <w:pPr>
              <w:pStyle w:val="TableContents"/>
              <w:bidi w:val="0"/>
              <w:spacing w:before="0" w:after="283"/>
              <w:jc w:val="center"/>
              <w:rPr>
                <w:b/>
              </w:rPr>
            </w:pPr>
            <w:bookmarkStart w:id="221" w:name="fs_OU00CPSTDC00000000000000000000FM"/>
            <w:bookmarkEnd w:id="221"/>
            <w:r>
              <w:rPr>
                <w:b/>
              </w:rPr>
              <w:t>Nine months ended September 30,</w:t>
            </w:r>
          </w:p>
        </w:tc>
        <w:tc>
          <w:tcPr>
            <w:tcW w:w="45" w:type="dxa"/>
            <w:tcBorders/>
            <w:vAlign w:val="center"/>
          </w:tcPr>
          <w:p>
            <w:pPr>
              <w:pStyle w:val="TableContents"/>
              <w:bidi w:val="0"/>
              <w:spacing w:before="0" w:after="283"/>
              <w:jc w:val="left"/>
              <w:rPr/>
            </w:pPr>
            <w:r>
              <w:rPr/>
            </w:r>
          </w:p>
        </w:tc>
      </w:tr>
      <w:tr>
        <w:trPr/>
        <w:tc>
          <w:tcPr>
            <w:tcW w:w="5738" w:type="dxa"/>
            <w:tcBorders/>
            <w:vAlign w:val="center"/>
          </w:tcPr>
          <w:p>
            <w:pPr>
              <w:pStyle w:val="TableContents"/>
              <w:bidi w:val="0"/>
              <w:spacing w:before="0" w:after="0"/>
              <w:ind w:left="0" w:right="0" w:hanging="0"/>
              <w:jc w:val="left"/>
              <w:rPr/>
            </w:pPr>
            <w:r>
              <w:rPr/>
              <w:t xml:space="preserve">  </w:t>
            </w:r>
          </w:p>
        </w:tc>
        <w:tc>
          <w:tcPr>
            <w:tcW w:w="23" w:type="dxa"/>
            <w:tcBorders/>
            <w:vAlign w:val="center"/>
          </w:tcPr>
          <w:p>
            <w:pPr>
              <w:pStyle w:val="TableContents"/>
              <w:bidi w:val="0"/>
              <w:spacing w:before="0" w:after="283"/>
              <w:jc w:val="left"/>
              <w:rPr/>
            </w:pPr>
            <w:r>
              <w:rPr/>
            </w:r>
          </w:p>
        </w:tc>
        <w:tc>
          <w:tcPr>
            <w:tcW w:w="957" w:type="dxa"/>
            <w:gridSpan w:val="2"/>
            <w:tcBorders/>
            <w:vAlign w:val="center"/>
          </w:tcPr>
          <w:p>
            <w:pPr>
              <w:pStyle w:val="TableContents"/>
              <w:bidi w:val="0"/>
              <w:spacing w:before="0" w:after="283"/>
              <w:jc w:val="center"/>
              <w:rPr>
                <w:b/>
              </w:rPr>
            </w:pPr>
            <w:bookmarkStart w:id="222" w:name="fs_MGZYTLOS8000000000000000000000FM"/>
            <w:bookmarkEnd w:id="222"/>
            <w:r>
              <w:rPr>
                <w:b/>
              </w:rPr>
              <w:t>2025</w:t>
            </w:r>
          </w:p>
        </w:tc>
        <w:tc>
          <w:tcPr>
            <w:tcW w:w="53" w:type="dxa"/>
            <w:tcBorders/>
            <w:vAlign w:val="center"/>
          </w:tcPr>
          <w:p>
            <w:pPr>
              <w:pStyle w:val="TableContents"/>
              <w:bidi w:val="0"/>
              <w:spacing w:before="0" w:after="283"/>
              <w:jc w:val="left"/>
              <w:rPr/>
            </w:pPr>
            <w:r>
              <w:rPr/>
            </w:r>
          </w:p>
        </w:tc>
        <w:tc>
          <w:tcPr>
            <w:tcW w:w="53" w:type="dxa"/>
            <w:tcBorders/>
            <w:vAlign w:val="center"/>
          </w:tcPr>
          <w:p>
            <w:pPr>
              <w:pStyle w:val="TableContents"/>
              <w:bidi w:val="0"/>
              <w:spacing w:before="0" w:after="283"/>
              <w:jc w:val="left"/>
              <w:rPr/>
            </w:pPr>
            <w:r>
              <w:rPr/>
            </w:r>
          </w:p>
        </w:tc>
        <w:tc>
          <w:tcPr>
            <w:tcW w:w="964" w:type="dxa"/>
            <w:gridSpan w:val="2"/>
            <w:tcBorders/>
            <w:vAlign w:val="center"/>
          </w:tcPr>
          <w:p>
            <w:pPr>
              <w:pStyle w:val="TableContents"/>
              <w:bidi w:val="0"/>
              <w:spacing w:before="0" w:after="283"/>
              <w:jc w:val="center"/>
              <w:rPr>
                <w:b/>
              </w:rPr>
            </w:pPr>
            <w:bookmarkStart w:id="223" w:name="fs_UZDCVN8TQO00000000000000000000FM"/>
            <w:bookmarkEnd w:id="223"/>
            <w:r>
              <w:rPr>
                <w:b/>
              </w:rPr>
              <w:t>2024</w:t>
            </w:r>
          </w:p>
        </w:tc>
        <w:tc>
          <w:tcPr>
            <w:tcW w:w="2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1095" w:type="dxa"/>
            <w:gridSpan w:val="2"/>
            <w:tcBorders>
              <w:bottom w:val="single" w:sz="2" w:space="0" w:color="000000"/>
            </w:tcBorders>
            <w:tcMar>
              <w:bottom w:w="28" w:type="dxa"/>
            </w:tcMar>
            <w:vAlign w:val="center"/>
          </w:tcPr>
          <w:p>
            <w:pPr>
              <w:pStyle w:val="TableContents"/>
              <w:bidi w:val="0"/>
              <w:spacing w:before="0" w:after="283"/>
              <w:jc w:val="center"/>
              <w:rPr>
                <w:b/>
              </w:rPr>
            </w:pPr>
            <w:bookmarkStart w:id="224" w:name="fs_HBDAOCT6LS00000000000000000000FM"/>
            <w:bookmarkEnd w:id="224"/>
            <w:r>
              <w:rPr>
                <w:b/>
              </w:rPr>
              <w:t>2025</w:t>
            </w:r>
          </w:p>
        </w:tc>
        <w:tc>
          <w:tcPr>
            <w:tcW w:w="64" w:type="dxa"/>
            <w:tcBorders/>
            <w:vAlign w:val="center"/>
          </w:tcPr>
          <w:p>
            <w:pPr>
              <w:pStyle w:val="TableContents"/>
              <w:bidi w:val="0"/>
              <w:spacing w:before="0" w:after="283"/>
              <w:jc w:val="left"/>
              <w:rPr/>
            </w:pPr>
            <w:r>
              <w:rPr/>
            </w:r>
          </w:p>
        </w:tc>
        <w:tc>
          <w:tcPr>
            <w:tcW w:w="64" w:type="dxa"/>
            <w:tcBorders/>
            <w:vAlign w:val="center"/>
          </w:tcPr>
          <w:p>
            <w:pPr>
              <w:pStyle w:val="TableContents"/>
              <w:bidi w:val="0"/>
              <w:spacing w:before="0" w:after="283"/>
              <w:jc w:val="left"/>
              <w:rPr/>
            </w:pPr>
            <w:r>
              <w:rPr/>
            </w:r>
          </w:p>
        </w:tc>
        <w:tc>
          <w:tcPr>
            <w:tcW w:w="1103" w:type="dxa"/>
            <w:gridSpan w:val="2"/>
            <w:tcBorders>
              <w:bottom w:val="single" w:sz="2" w:space="0" w:color="000000"/>
            </w:tcBorders>
            <w:tcMar>
              <w:bottom w:w="28" w:type="dxa"/>
            </w:tcMar>
            <w:vAlign w:val="center"/>
          </w:tcPr>
          <w:p>
            <w:pPr>
              <w:pStyle w:val="TableContents"/>
              <w:bidi w:val="0"/>
              <w:spacing w:before="0" w:after="283"/>
              <w:jc w:val="center"/>
              <w:rPr>
                <w:b/>
              </w:rPr>
            </w:pPr>
            <w:bookmarkStart w:id="225" w:name="fs_KWVUCQBIY800000000000000000000FM"/>
            <w:bookmarkEnd w:id="225"/>
            <w:r>
              <w:rPr>
                <w:b/>
              </w:rPr>
              <w:t>2024</w:t>
            </w:r>
          </w:p>
        </w:tc>
        <w:tc>
          <w:tcPr>
            <w:tcW w:w="45" w:type="dxa"/>
            <w:tcBorders/>
            <w:vAlign w:val="center"/>
          </w:tcPr>
          <w:p>
            <w:pPr>
              <w:pStyle w:val="TableContents"/>
              <w:bidi w:val="0"/>
              <w:spacing w:before="0" w:after="283"/>
              <w:jc w:val="left"/>
              <w:rPr/>
            </w:pPr>
            <w:r>
              <w:rPr/>
            </w:r>
          </w:p>
        </w:tc>
      </w:tr>
      <w:tr>
        <w:trPr/>
        <w:tc>
          <w:tcPr>
            <w:tcW w:w="5738" w:type="dxa"/>
            <w:tcBorders/>
            <w:shd w:fill="CCEEFF" w:val="clear"/>
            <w:vAlign w:val="center"/>
          </w:tcPr>
          <w:p>
            <w:pPr>
              <w:pStyle w:val="TableContents"/>
              <w:bidi w:val="0"/>
              <w:spacing w:lineRule="auto" w:line="264" w:before="0" w:after="0"/>
              <w:ind w:left="0" w:right="0" w:hanging="0"/>
              <w:jc w:val="left"/>
              <w:rPr>
                <w:rFonts w:ascii="Times New Roman" w:hAnsi="Times New Roman"/>
                <w:sz w:val="20"/>
              </w:rPr>
            </w:pPr>
            <w:r>
              <w:rPr>
                <w:rFonts w:ascii="Times New Roman" w:hAnsi="Times New Roman"/>
                <w:sz w:val="20"/>
              </w:rPr>
              <w:t xml:space="preserve">Net loss (recovery) incurred on valuation of inventory at lower of cost or net realizable value and write-off of obsolete inventory </w:t>
            </w:r>
          </w:p>
        </w:tc>
        <w:tc>
          <w:tcPr>
            <w:tcW w:w="23" w:type="dxa"/>
            <w:tcBorders/>
            <w:shd w:fill="CCEEFF" w:val="clear"/>
            <w:vAlign w:val="center"/>
          </w:tcPr>
          <w:p>
            <w:pPr>
              <w:pStyle w:val="TableContents"/>
              <w:bidi w:val="0"/>
              <w:spacing w:before="0" w:after="283"/>
              <w:jc w:val="left"/>
              <w:rPr/>
            </w:pPr>
            <w:r>
              <w:rPr/>
            </w:r>
          </w:p>
        </w:tc>
        <w:tc>
          <w:tcPr>
            <w:tcW w:w="331" w:type="dxa"/>
            <w:tcBorders/>
            <w:shd w:fill="CCEEFF" w:val="clear"/>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626" w:type="dxa"/>
            <w:tcBorders/>
            <w:shd w:fill="CCEEFF" w:val="clear"/>
            <w:vAlign w:val="center"/>
          </w:tcPr>
          <w:p>
            <w:pPr>
              <w:pStyle w:val="TableContents"/>
              <w:bidi w:val="0"/>
              <w:spacing w:before="0" w:after="0"/>
              <w:ind w:left="0" w:right="0" w:hanging="0"/>
              <w:jc w:val="right"/>
              <w:rPr/>
            </w:pPr>
            <w:r>
              <w:rPr/>
              <w:t>—</w:t>
            </w:r>
          </w:p>
        </w:tc>
        <w:tc>
          <w:tcPr>
            <w:tcW w:w="53"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53" w:type="dxa"/>
            <w:tcBorders/>
            <w:shd w:fill="CCEEFF" w:val="clear"/>
            <w:vAlign w:val="center"/>
          </w:tcPr>
          <w:p>
            <w:pPr>
              <w:pStyle w:val="TableContents"/>
              <w:bidi w:val="0"/>
              <w:spacing w:before="0" w:after="283"/>
              <w:ind w:left="0" w:right="0" w:hanging="0"/>
              <w:jc w:val="left"/>
              <w:rPr/>
            </w:pPr>
            <w:r>
              <w:rPr/>
            </w:r>
          </w:p>
        </w:tc>
        <w:tc>
          <w:tcPr>
            <w:tcW w:w="329" w:type="dxa"/>
            <w:tcBorders/>
            <w:shd w:fill="CCEEFF" w:val="clear"/>
            <w:vAlign w:val="center"/>
          </w:tcPr>
          <w:p>
            <w:pPr>
              <w:pStyle w:val="TableContents"/>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635"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283"/>
              <w:ind w:left="0" w:right="0" w:hanging="0"/>
              <w:jc w:val="left"/>
              <w:rPr/>
            </w:pPr>
            <w:r>
              <w:rPr/>
            </w:r>
          </w:p>
        </w:tc>
        <w:tc>
          <w:tcPr>
            <w:tcW w:w="23" w:type="dxa"/>
            <w:tcBorders/>
            <w:shd w:fill="CCEEFF" w:val="clear"/>
            <w:vAlign w:val="center"/>
          </w:tcPr>
          <w:p>
            <w:pPr>
              <w:pStyle w:val="TableContents"/>
              <w:bidi w:val="0"/>
              <w:spacing w:before="0" w:after="283"/>
              <w:ind w:left="0" w:right="0" w:hanging="0"/>
              <w:jc w:val="left"/>
              <w:rPr/>
            </w:pPr>
            <w:r>
              <w:rPr/>
            </w:r>
          </w:p>
        </w:tc>
        <w:tc>
          <w:tcPr>
            <w:tcW w:w="355" w:type="dxa"/>
            <w:tcBorders/>
            <w:shd w:fill="CCEEFF" w:val="clear"/>
            <w:vAlign w:val="center"/>
          </w:tcPr>
          <w:p>
            <w:pPr>
              <w:pStyle w:val="TableContents"/>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740" w:type="dxa"/>
            <w:tcBorders/>
            <w:shd w:fill="CCEEFF" w:val="clear"/>
            <w:vAlign w:val="center"/>
          </w:tcPr>
          <w:p>
            <w:pPr>
              <w:pStyle w:val="TableContents"/>
              <w:bidi w:val="0"/>
              <w:spacing w:before="0" w:after="0"/>
              <w:ind w:left="0" w:right="0" w:hanging="0"/>
              <w:jc w:val="right"/>
              <w:rPr/>
            </w:pPr>
            <w:r>
              <w:rPr/>
              <w:t>—</w:t>
            </w:r>
          </w:p>
        </w:tc>
        <w:tc>
          <w:tcPr>
            <w:tcW w:w="64" w:type="dxa"/>
            <w:tcBorders/>
            <w:shd w:fill="CCEEFF" w:val="clear"/>
            <w:vAlign w:val="center"/>
          </w:tcPr>
          <w:p>
            <w:pPr>
              <w:pStyle w:val="TableContents"/>
              <w:bidi w:val="0"/>
              <w:spacing w:before="0" w:after="283"/>
              <w:ind w:left="0" w:right="0" w:hanging="0"/>
              <w:jc w:val="left"/>
              <w:rPr/>
            </w:pPr>
            <w:r>
              <w:rPr/>
            </w:r>
          </w:p>
        </w:tc>
        <w:tc>
          <w:tcPr>
            <w:tcW w:w="64" w:type="dxa"/>
            <w:tcBorders/>
            <w:shd w:fill="CCEEFF" w:val="clear"/>
            <w:vAlign w:val="center"/>
          </w:tcPr>
          <w:p>
            <w:pPr>
              <w:pStyle w:val="TableContents"/>
              <w:bidi w:val="0"/>
              <w:spacing w:before="0" w:after="283"/>
              <w:ind w:left="0" w:right="0" w:hanging="0"/>
              <w:jc w:val="left"/>
              <w:rPr/>
            </w:pPr>
            <w:r>
              <w:rPr/>
            </w:r>
          </w:p>
        </w:tc>
        <w:tc>
          <w:tcPr>
            <w:tcW w:w="355" w:type="dxa"/>
            <w:tcBorders/>
            <w:shd w:fill="CCEEFF" w:val="clear"/>
            <w:vAlign w:val="center"/>
          </w:tcPr>
          <w:p>
            <w:pPr>
              <w:pStyle w:val="TableContents"/>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748" w:type="dxa"/>
            <w:tcBorders/>
            <w:shd w:fill="CCEEFF" w:val="clear"/>
            <w:vAlign w:val="center"/>
          </w:tcPr>
          <w:p>
            <w:pPr>
              <w:pStyle w:val="TableContents"/>
              <w:bidi w:val="0"/>
              <w:spacing w:before="0" w:after="0"/>
              <w:ind w:left="0" w:right="0" w:hanging="0"/>
              <w:jc w:val="right"/>
              <w:rPr/>
            </w:pPr>
            <w:r>
              <w:rPr/>
              <w:t>—</w:t>
            </w:r>
          </w:p>
        </w:tc>
        <w:tc>
          <w:tcPr>
            <w:tcW w:w="45" w:type="dxa"/>
            <w:tcBorders/>
            <w:shd w:fill="CCEEFF" w:val="clear"/>
            <w:vAlign w:val="center"/>
          </w:tcPr>
          <w:p>
            <w:pPr>
              <w:pStyle w:val="TableContents"/>
              <w:bidi w:val="0"/>
              <w:spacing w:before="0" w:after="283"/>
              <w:jc w:val="left"/>
              <w:rPr/>
            </w:pPr>
            <w:r>
              <w:rPr/>
            </w:r>
          </w:p>
        </w:tc>
      </w:tr>
    </w:tbl>
    <w:p>
      <w:pPr>
        <w:pStyle w:val="TextBody"/>
        <w:bidi w:val="0"/>
        <w:spacing w:lineRule="auto" w:line="288" w:before="0" w:after="0"/>
        <w:ind w:left="0" w:right="0" w:hanging="0"/>
        <w:jc w:val="both"/>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10. Leases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Rent expense is recognized on a straight-line basis over the period of the lease taking into account future rent escalation and holiday periods. </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 xml:space="preserve">Rent expense for </w:t>
      </w:r>
      <w:bookmarkStart w:id="226" w:name="fs_ZF37SKM60W00000000000000000000FM"/>
      <w:bookmarkEnd w:id="226"/>
      <w:r>
        <w:rPr>
          <w:rFonts w:ascii="Times New Roman" w:hAnsi="Times New Roman"/>
          <w:sz w:val="20"/>
        </w:rPr>
        <w:t xml:space="preserve">three and nine months ended </w:t>
      </w:r>
      <w:bookmarkStart w:id="227" w:name="fs_5M38THF01S00000000000000000000FM"/>
      <w:bookmarkEnd w:id="227"/>
      <w:r>
        <w:rPr>
          <w:rFonts w:ascii="Times New Roman" w:hAnsi="Times New Roman"/>
          <w:sz w:val="20"/>
        </w:rPr>
        <w:t>September 30, 2025 </w:t>
      </w:r>
      <w:r>
        <w:rPr>
          <w:rFonts w:ascii="Times New Roman" w:hAnsi="Times New Roman"/>
          <w:sz w:val="20"/>
        </w:rPr>
        <w:t xml:space="preserve">and </w:t>
      </w:r>
      <w:bookmarkStart w:id="228" w:name="fs_BW7AADK1G000000000000000000000fs"/>
      <w:bookmarkEnd w:id="228"/>
      <w:r>
        <w:rPr>
          <w:rFonts w:ascii="Times New Roman" w:hAnsi="Times New Roman"/>
          <w:sz w:val="20"/>
        </w:rPr>
        <w:t>2024</w:t>
      </w:r>
      <w:r>
        <w:rPr>
          <w:rFonts w:ascii="times new roman;times" w:hAnsi="times new roman;times"/>
          <w:sz w:val="20"/>
        </w:rPr>
        <w:t> </w:t>
      </w:r>
      <w:r>
        <w:rPr>
          <w:rFonts w:ascii="Times New Roman" w:hAnsi="Times New Roman"/>
          <w:sz w:val="20"/>
        </w:rPr>
        <w:t>was as follows: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144" w:right="144" w:hanging="0"/>
        <w:jc w:val="center"/>
        <w:rPr/>
      </w:pPr>
      <w:r>
        <w:rPr/>
        <w:t> </w:t>
      </w:r>
    </w:p>
    <w:tbl>
      <w:tblPr>
        <w:tblW w:w="5000" w:type="pct"/>
        <w:jc w:val="left"/>
        <w:tblInd w:w="0" w:type="dxa"/>
        <w:tblLayout w:type="fixed"/>
        <w:tblCellMar>
          <w:top w:w="0" w:type="dxa"/>
          <w:left w:w="0" w:type="dxa"/>
          <w:bottom w:w="0" w:type="dxa"/>
          <w:right w:w="0" w:type="dxa"/>
        </w:tblCellMar>
      </w:tblPr>
      <w:tblGrid>
        <w:gridCol w:w="1505"/>
        <w:gridCol w:w="156"/>
        <w:gridCol w:w="538"/>
        <w:gridCol w:w="872"/>
        <w:gridCol w:w="380"/>
        <w:gridCol w:w="381"/>
        <w:gridCol w:w="538"/>
        <w:gridCol w:w="1206"/>
        <w:gridCol w:w="29"/>
        <w:gridCol w:w="30"/>
        <w:gridCol w:w="534"/>
        <w:gridCol w:w="1632"/>
        <w:gridCol w:w="97"/>
        <w:gridCol w:w="98"/>
        <w:gridCol w:w="533"/>
        <w:gridCol w:w="1646"/>
        <w:gridCol w:w="30"/>
      </w:tblGrid>
      <w:tr>
        <w:trPr/>
        <w:tc>
          <w:tcPr>
            <w:tcW w:w="1505" w:type="dxa"/>
            <w:tcBorders/>
            <w:vAlign w:val="bottom"/>
          </w:tcPr>
          <w:p>
            <w:pPr>
              <w:pStyle w:val="TableContents"/>
              <w:pBdr/>
              <w:bidi w:val="0"/>
              <w:spacing w:before="0" w:after="0"/>
              <w:ind w:left="0" w:right="0" w:hanging="0"/>
              <w:jc w:val="left"/>
              <w:rPr/>
            </w:pPr>
            <w:r>
              <w:rPr/>
              <w:t xml:space="preserve">  </w:t>
            </w:r>
          </w:p>
        </w:tc>
        <w:tc>
          <w:tcPr>
            <w:tcW w:w="156" w:type="dxa"/>
            <w:tcBorders/>
            <w:vAlign w:val="bottom"/>
          </w:tcPr>
          <w:p>
            <w:pPr>
              <w:pStyle w:val="TableContents"/>
              <w:pBdr/>
              <w:bidi w:val="0"/>
              <w:spacing w:before="0" w:after="0"/>
              <w:ind w:left="0" w:right="0" w:hanging="0"/>
              <w:jc w:val="left"/>
              <w:rPr/>
            </w:pPr>
            <w:r>
              <w:rPr/>
              <w:t xml:space="preserve">  </w:t>
            </w:r>
          </w:p>
        </w:tc>
        <w:tc>
          <w:tcPr>
            <w:tcW w:w="3915" w:type="dxa"/>
            <w:gridSpan w:val="6"/>
            <w:tcBorders/>
            <w:vAlign w:val="bottom"/>
          </w:tcPr>
          <w:p>
            <w:pPr>
              <w:pStyle w:val="TableContents"/>
              <w:pBdr/>
              <w:bidi w:val="0"/>
              <w:spacing w:before="0" w:after="0"/>
              <w:ind w:left="0" w:right="0" w:hanging="0"/>
              <w:jc w:val="center"/>
              <w:rPr>
                <w:rFonts w:ascii="times new roman;times" w:hAnsi="times new roman;times"/>
                <w:b/>
                <w:sz w:val="20"/>
              </w:rPr>
            </w:pPr>
            <w:bookmarkStart w:id="229" w:name="fs_Y0B6RGS5G000000000000000000000FM"/>
            <w:bookmarkEnd w:id="229"/>
            <w:r>
              <w:rPr>
                <w:rFonts w:ascii="times new roman;times" w:hAnsi="times new roman;times"/>
                <w:b/>
                <w:sz w:val="20"/>
              </w:rPr>
              <w:t>Three months ended September 30,</w:t>
            </w:r>
            <w:r>
              <w:rPr>
                <w:rFonts w:ascii="times new roman;times" w:hAnsi="times new roman;times"/>
                <w:b/>
                <w:sz w:val="20"/>
              </w:rPr>
              <w:t xml:space="preserve"> </w:t>
            </w:r>
          </w:p>
        </w:tc>
        <w:tc>
          <w:tcPr>
            <w:tcW w:w="29" w:type="dxa"/>
            <w:tcBorders/>
            <w:vAlign w:val="center"/>
          </w:tcPr>
          <w:p>
            <w:pPr>
              <w:pStyle w:val="TableContents"/>
              <w:bidi w:val="0"/>
              <w:spacing w:before="0" w:after="283"/>
              <w:ind w:left="0" w:right="0" w:hanging="0"/>
              <w:jc w:val="left"/>
              <w:rPr/>
            </w:pPr>
            <w:r>
              <w:rPr/>
            </w:r>
          </w:p>
        </w:tc>
        <w:tc>
          <w:tcPr>
            <w:tcW w:w="30" w:type="dxa"/>
            <w:tcBorders/>
            <w:vAlign w:val="center"/>
          </w:tcPr>
          <w:p>
            <w:pPr>
              <w:pStyle w:val="TableContents"/>
              <w:bidi w:val="0"/>
              <w:spacing w:before="0" w:after="283"/>
              <w:ind w:left="0" w:right="0" w:hanging="0"/>
              <w:jc w:val="left"/>
              <w:rPr/>
            </w:pPr>
            <w:r>
              <w:rPr/>
            </w:r>
          </w:p>
        </w:tc>
        <w:tc>
          <w:tcPr>
            <w:tcW w:w="4540" w:type="dxa"/>
            <w:gridSpan w:val="6"/>
            <w:tcBorders/>
            <w:vAlign w:val="center"/>
          </w:tcPr>
          <w:p>
            <w:pPr>
              <w:pStyle w:val="TableContents"/>
              <w:bidi w:val="0"/>
              <w:spacing w:before="0" w:after="0"/>
              <w:ind w:left="0" w:right="0" w:hanging="0"/>
              <w:jc w:val="center"/>
              <w:rPr>
                <w:b/>
              </w:rPr>
            </w:pPr>
            <w:bookmarkStart w:id="230" w:name="fs_FA2008695S00000000000000000000FM"/>
            <w:bookmarkEnd w:id="230"/>
            <w:r>
              <w:rPr>
                <w:b/>
              </w:rPr>
              <w:t>Nine months ended September 30,</w:t>
            </w:r>
          </w:p>
        </w:tc>
        <w:tc>
          <w:tcPr>
            <w:tcW w:w="30" w:type="dxa"/>
            <w:tcBorders/>
            <w:vAlign w:val="center"/>
          </w:tcPr>
          <w:p>
            <w:pPr>
              <w:pStyle w:val="TableContents"/>
              <w:bidi w:val="0"/>
              <w:spacing w:before="0" w:after="283"/>
              <w:ind w:left="0" w:right="0" w:hanging="0"/>
              <w:jc w:val="left"/>
              <w:rPr/>
            </w:pPr>
            <w:r>
              <w:rPr/>
            </w:r>
          </w:p>
        </w:tc>
      </w:tr>
      <w:tr>
        <w:trPr/>
        <w:tc>
          <w:tcPr>
            <w:tcW w:w="1505" w:type="dxa"/>
            <w:tcBorders/>
            <w:vAlign w:val="bottom"/>
          </w:tcPr>
          <w:p>
            <w:pPr>
              <w:pStyle w:val="TableContents"/>
              <w:pBdr/>
              <w:bidi w:val="0"/>
              <w:spacing w:before="0" w:after="0"/>
              <w:ind w:left="0" w:right="0" w:hanging="0"/>
              <w:jc w:val="left"/>
              <w:rPr/>
            </w:pPr>
            <w:r>
              <w:rPr/>
              <w:t xml:space="preserve">  </w:t>
            </w:r>
          </w:p>
        </w:tc>
        <w:tc>
          <w:tcPr>
            <w:tcW w:w="156" w:type="dxa"/>
            <w:tcBorders/>
            <w:vAlign w:val="bottom"/>
          </w:tcPr>
          <w:p>
            <w:pPr>
              <w:pStyle w:val="TableContents"/>
              <w:pBdr/>
              <w:bidi w:val="0"/>
              <w:spacing w:before="0" w:after="0"/>
              <w:ind w:left="0" w:right="0" w:hanging="0"/>
              <w:jc w:val="left"/>
              <w:rPr/>
            </w:pPr>
            <w:r>
              <w:rPr/>
              <w:t xml:space="preserve">  </w:t>
            </w:r>
          </w:p>
        </w:tc>
        <w:tc>
          <w:tcPr>
            <w:tcW w:w="1410" w:type="dxa"/>
            <w:gridSpan w:val="2"/>
            <w:tcBorders/>
            <w:vAlign w:val="center"/>
          </w:tcPr>
          <w:p>
            <w:pPr>
              <w:pStyle w:val="TableContents"/>
              <w:pBdr/>
              <w:bidi w:val="0"/>
              <w:spacing w:before="0" w:after="0"/>
              <w:ind w:left="0" w:right="0" w:hanging="0"/>
              <w:jc w:val="center"/>
              <w:rPr>
                <w:rFonts w:ascii="times new roman;times" w:hAnsi="times new roman;times"/>
                <w:b/>
                <w:sz w:val="20"/>
              </w:rPr>
            </w:pPr>
            <w:bookmarkStart w:id="231" w:name="fs_SY1JRZTXY800000000000000000000fs"/>
            <w:bookmarkEnd w:id="231"/>
            <w:r>
              <w:rPr>
                <w:rFonts w:ascii="times new roman;times" w:hAnsi="times new roman;times"/>
                <w:b/>
                <w:sz w:val="20"/>
              </w:rPr>
              <w:t xml:space="preserve">2025 </w:t>
            </w:r>
          </w:p>
        </w:tc>
        <w:tc>
          <w:tcPr>
            <w:tcW w:w="380" w:type="dxa"/>
            <w:tcBorders/>
            <w:vAlign w:val="bottom"/>
          </w:tcPr>
          <w:p>
            <w:pPr>
              <w:pStyle w:val="TableContents"/>
              <w:pBdr/>
              <w:bidi w:val="0"/>
              <w:spacing w:before="0" w:after="0"/>
              <w:ind w:left="0" w:right="0" w:hanging="0"/>
              <w:jc w:val="left"/>
              <w:rPr/>
            </w:pPr>
            <w:r>
              <w:rPr/>
              <w:t xml:space="preserve">  </w:t>
            </w:r>
          </w:p>
        </w:tc>
        <w:tc>
          <w:tcPr>
            <w:tcW w:w="381" w:type="dxa"/>
            <w:tcBorders/>
            <w:vAlign w:val="bottom"/>
          </w:tcPr>
          <w:p>
            <w:pPr>
              <w:pStyle w:val="TableContents"/>
              <w:pBdr/>
              <w:bidi w:val="0"/>
              <w:spacing w:before="0" w:after="0"/>
              <w:ind w:left="0" w:right="0" w:hanging="0"/>
              <w:jc w:val="left"/>
              <w:rPr/>
            </w:pPr>
            <w:r>
              <w:rPr/>
              <w:t xml:space="preserve">  </w:t>
            </w:r>
          </w:p>
        </w:tc>
        <w:tc>
          <w:tcPr>
            <w:tcW w:w="1744" w:type="dxa"/>
            <w:gridSpan w:val="2"/>
            <w:tcBorders/>
            <w:vAlign w:val="bottom"/>
          </w:tcPr>
          <w:p>
            <w:pPr>
              <w:pStyle w:val="TableContents"/>
              <w:pBdr/>
              <w:bidi w:val="0"/>
              <w:spacing w:before="0" w:after="0"/>
              <w:ind w:left="0" w:right="0" w:hanging="0"/>
              <w:jc w:val="center"/>
              <w:rPr>
                <w:rFonts w:ascii="times new roman;times" w:hAnsi="times new roman;times"/>
                <w:b/>
                <w:sz w:val="20"/>
              </w:rPr>
            </w:pPr>
            <w:bookmarkStart w:id="232" w:name="fs_BYV4K70NNK00000000000000000000fs"/>
            <w:bookmarkEnd w:id="232"/>
            <w:r>
              <w:rPr>
                <w:rFonts w:ascii="times new roman;times" w:hAnsi="times new roman;times"/>
                <w:b/>
                <w:sz w:val="20"/>
              </w:rPr>
              <w:t xml:space="preserve">2024 </w:t>
            </w:r>
          </w:p>
        </w:tc>
        <w:tc>
          <w:tcPr>
            <w:tcW w:w="29" w:type="dxa"/>
            <w:tcBorders/>
            <w:vAlign w:val="center"/>
          </w:tcPr>
          <w:p>
            <w:pPr>
              <w:pStyle w:val="TableContents"/>
              <w:bidi w:val="0"/>
              <w:spacing w:before="0" w:after="283"/>
              <w:ind w:left="0" w:right="0" w:hanging="0"/>
              <w:jc w:val="left"/>
              <w:rPr/>
            </w:pPr>
            <w:r>
              <w:rPr/>
            </w:r>
          </w:p>
        </w:tc>
        <w:tc>
          <w:tcPr>
            <w:tcW w:w="30" w:type="dxa"/>
            <w:tcBorders/>
            <w:vAlign w:val="center"/>
          </w:tcPr>
          <w:p>
            <w:pPr>
              <w:pStyle w:val="TableContents"/>
              <w:bidi w:val="0"/>
              <w:spacing w:before="0" w:after="283"/>
              <w:ind w:left="0" w:right="0" w:hanging="0"/>
              <w:jc w:val="left"/>
              <w:rPr/>
            </w:pPr>
            <w:r>
              <w:rPr/>
            </w:r>
          </w:p>
        </w:tc>
        <w:tc>
          <w:tcPr>
            <w:tcW w:w="2166" w:type="dxa"/>
            <w:gridSpan w:val="2"/>
            <w:tcBorders/>
            <w:vAlign w:val="center"/>
          </w:tcPr>
          <w:p>
            <w:pPr>
              <w:pStyle w:val="TableContents"/>
              <w:bidi w:val="0"/>
              <w:spacing w:before="0" w:after="0"/>
              <w:ind w:left="0" w:right="0" w:hanging="0"/>
              <w:jc w:val="center"/>
              <w:rPr>
                <w:b/>
              </w:rPr>
            </w:pPr>
            <w:bookmarkStart w:id="233" w:name="fs_F5W84T376O00000000000000000000FM"/>
            <w:bookmarkEnd w:id="233"/>
            <w:r>
              <w:rPr>
                <w:b/>
              </w:rPr>
              <w:t>2025</w:t>
            </w:r>
          </w:p>
        </w:tc>
        <w:tc>
          <w:tcPr>
            <w:tcW w:w="97" w:type="dxa"/>
            <w:tcBorders/>
            <w:vAlign w:val="center"/>
          </w:tcPr>
          <w:p>
            <w:pPr>
              <w:pStyle w:val="TableContents"/>
              <w:bidi w:val="0"/>
              <w:spacing w:before="0" w:after="283"/>
              <w:ind w:left="0" w:right="0" w:hanging="0"/>
              <w:jc w:val="left"/>
              <w:rPr/>
            </w:pPr>
            <w:r>
              <w:rPr/>
            </w:r>
          </w:p>
        </w:tc>
        <w:tc>
          <w:tcPr>
            <w:tcW w:w="98" w:type="dxa"/>
            <w:tcBorders/>
            <w:vAlign w:val="center"/>
          </w:tcPr>
          <w:p>
            <w:pPr>
              <w:pStyle w:val="TableContents"/>
              <w:bidi w:val="0"/>
              <w:spacing w:before="0" w:after="283"/>
              <w:ind w:left="0" w:right="0" w:hanging="0"/>
              <w:jc w:val="left"/>
              <w:rPr/>
            </w:pPr>
            <w:r>
              <w:rPr/>
            </w:r>
          </w:p>
        </w:tc>
        <w:tc>
          <w:tcPr>
            <w:tcW w:w="2179" w:type="dxa"/>
            <w:gridSpan w:val="2"/>
            <w:tcBorders/>
            <w:vAlign w:val="center"/>
          </w:tcPr>
          <w:p>
            <w:pPr>
              <w:pStyle w:val="TableContents"/>
              <w:bidi w:val="0"/>
              <w:spacing w:before="0" w:after="0"/>
              <w:ind w:left="0" w:right="0" w:hanging="0"/>
              <w:jc w:val="center"/>
              <w:rPr>
                <w:b/>
              </w:rPr>
            </w:pPr>
            <w:bookmarkStart w:id="234" w:name="fs_RC0WRIN6KG00000000000000000000FM"/>
            <w:bookmarkEnd w:id="234"/>
            <w:r>
              <w:rPr>
                <w:b/>
              </w:rPr>
              <w:t>2024</w:t>
            </w:r>
          </w:p>
        </w:tc>
        <w:tc>
          <w:tcPr>
            <w:tcW w:w="30" w:type="dxa"/>
            <w:tcBorders/>
            <w:vAlign w:val="center"/>
          </w:tcPr>
          <w:p>
            <w:pPr>
              <w:pStyle w:val="TableContents"/>
              <w:bidi w:val="0"/>
              <w:spacing w:before="0" w:after="283"/>
              <w:ind w:left="0" w:right="0" w:hanging="0"/>
              <w:jc w:val="left"/>
              <w:rPr/>
            </w:pPr>
            <w:r>
              <w:rPr/>
            </w:r>
          </w:p>
        </w:tc>
      </w:tr>
      <w:tr>
        <w:trPr/>
        <w:tc>
          <w:tcPr>
            <w:tcW w:w="1505" w:type="dxa"/>
            <w:tcBorders/>
            <w:shd w:fill="CCEEFF" w:val="clear"/>
            <w:vAlign w:val="bottom"/>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Rent expense </w:t>
            </w:r>
          </w:p>
        </w:tc>
        <w:tc>
          <w:tcPr>
            <w:tcW w:w="156" w:type="dxa"/>
            <w:tcBorders/>
            <w:shd w:fill="CCEEFF" w:val="clear"/>
            <w:vAlign w:val="bottom"/>
          </w:tcPr>
          <w:p>
            <w:pPr>
              <w:pStyle w:val="TableContents"/>
              <w:pBdr/>
              <w:bidi w:val="0"/>
              <w:spacing w:before="0" w:after="0"/>
              <w:ind w:left="0" w:right="0" w:hanging="0"/>
              <w:jc w:val="left"/>
              <w:rPr/>
            </w:pPr>
            <w:r>
              <w:rPr/>
              <w:t xml:space="preserve">  </w:t>
            </w:r>
          </w:p>
        </w:tc>
        <w:tc>
          <w:tcPr>
            <w:tcW w:w="538" w:type="dxa"/>
            <w:tcBorders/>
            <w:shd w:fill="CCEEFF" w:val="clear"/>
            <w:vAlign w:val="bottom"/>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872" w:type="dxa"/>
            <w:tcBorders/>
            <w:shd w:fill="CCEEFF" w:val="clear"/>
            <w:vAlign w:val="bottom"/>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73 </w:t>
            </w:r>
          </w:p>
        </w:tc>
        <w:tc>
          <w:tcPr>
            <w:tcW w:w="380" w:type="dxa"/>
            <w:tcBorders/>
            <w:shd w:fill="CCEEFF" w:val="clear"/>
            <w:vAlign w:val="bottom"/>
          </w:tcPr>
          <w:p>
            <w:pPr>
              <w:pStyle w:val="TableContents"/>
              <w:pBdr/>
              <w:bidi w:val="0"/>
              <w:spacing w:before="0" w:after="0"/>
              <w:ind w:left="0" w:right="0" w:hanging="0"/>
              <w:jc w:val="left"/>
              <w:rPr/>
            </w:pPr>
            <w:r>
              <w:rPr/>
              <w:t xml:space="preserve">  </w:t>
            </w:r>
          </w:p>
        </w:tc>
        <w:tc>
          <w:tcPr>
            <w:tcW w:w="381" w:type="dxa"/>
            <w:tcBorders/>
            <w:shd w:fill="CCEEFF" w:val="clear"/>
            <w:vAlign w:val="bottom"/>
          </w:tcPr>
          <w:p>
            <w:pPr>
              <w:pStyle w:val="TableContents"/>
              <w:pBdr/>
              <w:bidi w:val="0"/>
              <w:spacing w:before="0" w:after="0"/>
              <w:ind w:left="0" w:right="0" w:hanging="0"/>
              <w:jc w:val="left"/>
              <w:rPr/>
            </w:pPr>
            <w:r>
              <w:rPr/>
              <w:t xml:space="preserve">  </w:t>
            </w:r>
          </w:p>
        </w:tc>
        <w:tc>
          <w:tcPr>
            <w:tcW w:w="538" w:type="dxa"/>
            <w:tcBorders/>
            <w:shd w:fill="CCEEFF" w:val="clear"/>
            <w:vAlign w:val="bottom"/>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206" w:type="dxa"/>
            <w:tcBorders/>
            <w:shd w:fill="CCEEFF" w:val="clear"/>
            <w:vAlign w:val="bottom"/>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116 </w:t>
            </w:r>
          </w:p>
        </w:tc>
        <w:tc>
          <w:tcPr>
            <w:tcW w:w="29" w:type="dxa"/>
            <w:tcBorders/>
            <w:shd w:fill="CCEEFF" w:val="clear"/>
            <w:vAlign w:val="center"/>
          </w:tcPr>
          <w:p>
            <w:pPr>
              <w:pStyle w:val="TableContents"/>
              <w:bidi w:val="0"/>
              <w:spacing w:before="0" w:after="283"/>
              <w:ind w:left="0" w:right="0" w:hanging="0"/>
              <w:jc w:val="left"/>
              <w:rPr/>
            </w:pPr>
            <w:r>
              <w:rPr/>
            </w:r>
          </w:p>
        </w:tc>
        <w:tc>
          <w:tcPr>
            <w:tcW w:w="30" w:type="dxa"/>
            <w:tcBorders/>
            <w:shd w:fill="CCEEFF" w:val="clear"/>
            <w:vAlign w:val="center"/>
          </w:tcPr>
          <w:p>
            <w:pPr>
              <w:pStyle w:val="TableContents"/>
              <w:bidi w:val="0"/>
              <w:spacing w:before="0" w:after="283"/>
              <w:ind w:left="0" w:right="0" w:hanging="0"/>
              <w:jc w:val="left"/>
              <w:rPr/>
            </w:pPr>
            <w:r>
              <w:rPr/>
            </w:r>
          </w:p>
        </w:tc>
        <w:tc>
          <w:tcPr>
            <w:tcW w:w="534" w:type="dxa"/>
            <w:tcBorders/>
            <w:shd w:fill="CCEEFF" w:val="clear"/>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1632" w:type="dxa"/>
            <w:tcBorders/>
            <w:shd w:fill="CCEEFF" w:val="clear"/>
            <w:vAlign w:val="center"/>
          </w:tcPr>
          <w:p>
            <w:pPr>
              <w:pStyle w:val="TableContents"/>
              <w:bidi w:val="0"/>
              <w:spacing w:before="0" w:after="0"/>
              <w:ind w:left="0" w:right="0" w:hanging="0"/>
              <w:jc w:val="right"/>
              <w:rPr/>
            </w:pPr>
            <w:r>
              <w:rPr/>
              <w:t>285</w:t>
            </w:r>
          </w:p>
        </w:tc>
        <w:tc>
          <w:tcPr>
            <w:tcW w:w="97" w:type="dxa"/>
            <w:tcBorders/>
            <w:shd w:fill="CCEEFF" w:val="clear"/>
            <w:vAlign w:val="center"/>
          </w:tcPr>
          <w:p>
            <w:pPr>
              <w:pStyle w:val="TableContents"/>
              <w:bidi w:val="0"/>
              <w:spacing w:before="0" w:after="283"/>
              <w:ind w:left="0" w:right="0" w:hanging="0"/>
              <w:jc w:val="left"/>
              <w:rPr/>
            </w:pPr>
            <w:r>
              <w:rPr/>
            </w:r>
          </w:p>
        </w:tc>
        <w:tc>
          <w:tcPr>
            <w:tcW w:w="98" w:type="dxa"/>
            <w:tcBorders/>
            <w:shd w:fill="CCEEFF" w:val="clear"/>
            <w:vAlign w:val="center"/>
          </w:tcPr>
          <w:p>
            <w:pPr>
              <w:pStyle w:val="TableContents"/>
              <w:bidi w:val="0"/>
              <w:spacing w:before="0" w:after="283"/>
              <w:ind w:left="0" w:right="0" w:hanging="0"/>
              <w:jc w:val="left"/>
              <w:rPr/>
            </w:pPr>
            <w:r>
              <w:rPr/>
            </w:r>
          </w:p>
        </w:tc>
        <w:tc>
          <w:tcPr>
            <w:tcW w:w="533" w:type="dxa"/>
            <w:tcBorders/>
            <w:shd w:fill="CCEEFF" w:val="clear"/>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1646" w:type="dxa"/>
            <w:tcBorders/>
            <w:shd w:fill="CCEEFF" w:val="clear"/>
            <w:vAlign w:val="center"/>
          </w:tcPr>
          <w:p>
            <w:pPr>
              <w:pStyle w:val="TableContents"/>
              <w:bidi w:val="0"/>
              <w:spacing w:before="0" w:after="0"/>
              <w:ind w:left="0" w:right="0" w:hanging="0"/>
              <w:jc w:val="right"/>
              <w:rPr/>
            </w:pPr>
            <w:r>
              <w:rPr/>
              <w:t>343</w:t>
            </w:r>
          </w:p>
        </w:tc>
        <w:tc>
          <w:tcPr>
            <w:tcW w:w="30" w:type="dxa"/>
            <w:tcBorders/>
            <w:shd w:fill="CCEEFF" w:val="clear"/>
            <w:vAlign w:val="center"/>
          </w:tcPr>
          <w:p>
            <w:pPr>
              <w:pStyle w:val="TableContents"/>
              <w:bidi w:val="0"/>
              <w:spacing w:before="0" w:after="283"/>
              <w:jc w:val="left"/>
              <w:rPr/>
            </w:pPr>
            <w:r>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0"/>
        <w:ind w:left="0" w:right="0" w:hanging="0"/>
        <w:jc w:val="both"/>
        <w:rPr/>
      </w:pPr>
      <w:r>
        <w:rPr>
          <w:rFonts w:ascii="Times New Roman" w:hAnsi="Times New Roman"/>
          <w:sz w:val="20"/>
        </w:rPr>
        <w:t>The Company leases</w:t>
      </w:r>
      <w:r>
        <w:rPr/>
        <w:t> </w:t>
      </w:r>
      <w:r>
        <w:rPr>
          <w:rFonts w:ascii="Times New Roman" w:hAnsi="Times New Roman"/>
          <w:sz w:val="20"/>
        </w:rPr>
        <w:t xml:space="preserve">a 1,350-square-foot facility in Gainesville, Florida under an operating lease that expires in February </w:t>
      </w:r>
      <w:bookmarkStart w:id="235" w:name="fs_AF3NQT8S0W00000000000000000000fs"/>
      <w:bookmarkEnd w:id="235"/>
      <w:r>
        <w:rPr>
          <w:rFonts w:ascii="Times New Roman" w:hAnsi="Times New Roman"/>
          <w:sz w:val="20"/>
        </w:rPr>
        <w:t>2028. The facility has been used primarily for research and development. The Company is seeking a third party to assume the remaining lease term.</w:t>
      </w:r>
    </w:p>
    <w:p>
      <w:pPr>
        <w:pStyle w:val="TextBody"/>
        <w:widowControl/>
        <w:bidi w:val="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ind w:left="0" w:right="0" w:hanging="0"/>
        <w:jc w:val="left"/>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Company leases a 9,402 square-foot facility in Salt Lake City, Utah under the terms of an operating lease expiring in February 2028. The facility supported </w:t>
      </w:r>
      <w:r>
        <w:rPr>
          <w:rFonts w:ascii="Times New Roman" w:hAnsi="Times New Roman"/>
          <w:b w:val="false"/>
          <w:i w:val="false"/>
          <w:caps w:val="false"/>
          <w:smallCaps w:val="false"/>
          <w:color w:val="000000"/>
          <w:spacing w:val="0"/>
          <w:sz w:val="20"/>
        </w:rPr>
        <w:t>the Company's </w:t>
      </w:r>
      <w:r>
        <w:rPr>
          <w:rFonts w:ascii="Times New Roman" w:hAnsi="Times New Roman"/>
          <w:b w:val="false"/>
          <w:i w:val="false"/>
          <w:caps w:val="false"/>
          <w:smallCaps w:val="false"/>
          <w:color w:val="000000"/>
          <w:spacing w:val="0"/>
          <w:sz w:val="20"/>
        </w:rPr>
        <w:t>principal administrative, sales, marketing, customer support, and research and product development activities. The Company is seeking a third party to assume the remaining lease term.</w:t>
      </w:r>
    </w:p>
    <w:p>
      <w:pPr>
        <w:pStyle w:val="TextBody"/>
        <w:bidi w:val="0"/>
        <w:spacing w:lineRule="auto" w:line="288" w:before="0" w:after="0"/>
        <w:ind w:left="144" w:right="144" w:hanging="0"/>
        <w:jc w:val="both"/>
        <w:rPr/>
      </w:pPr>
      <w:r>
        <w:rPr/>
        <w:t> </w:t>
      </w:r>
    </w:p>
    <w:p>
      <w:pPr>
        <w:sectPr>
          <w:type w:val="continuous"/>
          <w:pgSz w:w="11906" w:h="16838"/>
          <w:pgMar w:left="1134" w:right="567" w:gutter="0" w:header="0" w:top="567" w:footer="0" w:bottom="567"/>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bookmarkStart w:id="236" w:name="PageBreakNo14"/>
            <w:bookmarkEnd w:id="236"/>
            <w:r>
              <w:rPr>
                <w:sz w:val="20"/>
              </w:rPr>
              <w:t>14</w:t>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jc w:val="left"/>
        <w:rPr/>
      </w:pPr>
      <w:r>
        <w:rPr/>
      </w:r>
    </w:p>
    <w:p>
      <w:pPr>
        <w:pStyle w:val="TextBody"/>
        <w:bidi w:val="0"/>
        <w:spacing w:lineRule="auto" w:line="288"/>
        <w:jc w:val="left"/>
        <w:rPr/>
      </w:pPr>
      <w:hyperlink w:anchor="TOC">
        <w:r>
          <w:rPr>
            <w:rStyle w:val="InternetLink"/>
            <w:rFonts w:ascii="times new roman;times" w:hAnsi="times new roman;times"/>
            <w:sz w:val="20"/>
          </w:rPr>
          <w:t>Table of Contents</w:t>
        </w:r>
      </w:hyperlink>
    </w:p>
    <w:p>
      <w:pPr>
        <w:pStyle w:val="TextBody"/>
        <w:bidi w:val="0"/>
        <w:spacing w:lineRule="auto" w:line="288" w:before="0" w:after="0"/>
        <w:ind w:left="0" w:right="0" w:hanging="0"/>
        <w:jc w:val="left"/>
        <w:rPr/>
      </w:pPr>
      <w:r>
        <w:rPr/>
      </w:r>
    </w:p>
    <w:p>
      <w:pPr>
        <w:pStyle w:val="TextBody"/>
        <w:widowControl/>
        <w:bidi w:val="0"/>
        <w:spacing w:lineRule="auto" w:line="288" w:before="0" w:after="0"/>
        <w:ind w:left="144" w:right="144" w:hanging="0"/>
        <w:jc w:val="center"/>
        <w:rPr>
          <w:rFonts w:ascii="Times New Roman" w:hAnsi="Times New Roman"/>
          <w:b/>
          <w:sz w:val="20"/>
        </w:rPr>
      </w:pPr>
      <w:r>
        <w:rPr>
          <w:rFonts w:ascii="Times New Roman" w:hAnsi="Times New Roman"/>
          <w:b/>
          <w:i w:val="false"/>
          <w:caps w:val="false"/>
          <w:smallCaps w:val="false"/>
          <w:color w:val="000000"/>
          <w:spacing w:val="0"/>
          <w:sz w:val="20"/>
        </w:rPr>
        <w:t>UNAUDITED </w:t>
      </w:r>
      <w:r>
        <w:rPr>
          <w:rFonts w:ascii="Times New Roman" w:hAnsi="Times New Roman"/>
          <w:b/>
          <w:sz w:val="20"/>
        </w:rPr>
        <w:t>NOTES TO CONDENSED CONSOLIDATED FINANCIAL STATEMENTS</w:t>
      </w:r>
    </w:p>
    <w:p>
      <w:pPr>
        <w:pStyle w:val="TextBody"/>
        <w:bidi w:val="0"/>
        <w:spacing w:lineRule="auto" w:line="288" w:before="0" w:after="0"/>
        <w:ind w:left="144" w:right="144" w:hanging="0"/>
        <w:jc w:val="center"/>
        <w:rPr>
          <w:rFonts w:ascii="Times New Roman" w:hAnsi="Times New Roman"/>
          <w:sz w:val="20"/>
        </w:rPr>
      </w:pPr>
      <w:r>
        <w:rPr>
          <w:rFonts w:ascii="Times New Roman" w:hAnsi="Times New Roman"/>
          <w:sz w:val="20"/>
        </w:rPr>
        <w:t>(Dollars in thousands, except per share amounts)</w:t>
      </w:r>
    </w:p>
    <w:p>
      <w:pPr>
        <w:pStyle w:val="TextBody"/>
        <w:bidi w:val="0"/>
        <w:spacing w:lineRule="auto" w:line="288" w:before="0" w:after="0"/>
        <w:ind w:left="144" w:right="144" w:hanging="0"/>
        <w:jc w:val="left"/>
        <w:rPr/>
      </w:pPr>
      <w:r>
        <w:rPr/>
      </w:r>
    </w:p>
    <w:p>
      <w:pPr>
        <w:pStyle w:val="TextBody"/>
        <w:bidi w:val="0"/>
        <w:spacing w:lineRule="atLeast" w:line="240" w:before="0" w:after="0"/>
        <w:ind w:left="0" w:right="0" w:hanging="0"/>
        <w:jc w:val="both"/>
        <w:rPr>
          <w:rFonts w:ascii="Times New Roman;serif" w:hAnsi="Times New Roman;serif"/>
          <w:sz w:val="24"/>
        </w:rPr>
      </w:pPr>
      <w:r>
        <w:rPr>
          <w:rFonts w:ascii="Times New Roman;serif" w:hAnsi="Times New Roman;serif"/>
          <w:color w:val="000000"/>
          <w:sz w:val="20"/>
        </w:rPr>
        <w:t>We entered into a lease on December 1, 2024 to occupy a 2,590 square-foot warehouse in Salt Lake City Utah. The lease is an operating lease expiring in February 2028. This facility serves as our primary warranty and repair center.  </w:t>
      </w:r>
      <w:r>
        <w:rPr>
          <w:rFonts w:ascii="Times New Roman;serif" w:hAnsi="Times New Roman;serif"/>
          <w:sz w:val="24"/>
        </w:rPr>
        <w:t>  </w:t>
      </w:r>
    </w:p>
    <w:p>
      <w:pPr>
        <w:pStyle w:val="TextBody"/>
        <w:bidi w:val="0"/>
        <w:spacing w:lineRule="auto" w:line="288" w:before="0" w:after="0"/>
        <w:ind w:left="144" w:right="144" w:hanging="0"/>
        <w:jc w:val="left"/>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Supplemental cash flow information related to leases was as follows: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144" w:right="144" w:hanging="0"/>
        <w:jc w:val="center"/>
        <w:rPr/>
      </w:pPr>
      <w:r>
        <w:rPr/>
        <w:t> </w:t>
      </w:r>
    </w:p>
    <w:tbl>
      <w:tblPr>
        <w:tblW w:w="5000" w:type="pct"/>
        <w:jc w:val="left"/>
        <w:tblInd w:w="0" w:type="dxa"/>
        <w:tblLayout w:type="fixed"/>
        <w:tblCellMar>
          <w:top w:w="0" w:type="dxa"/>
          <w:left w:w="0" w:type="dxa"/>
          <w:bottom w:w="0" w:type="dxa"/>
          <w:right w:w="0" w:type="dxa"/>
        </w:tblCellMar>
      </w:tblPr>
      <w:tblGrid>
        <w:gridCol w:w="6598"/>
        <w:gridCol w:w="138"/>
        <w:gridCol w:w="362"/>
        <w:gridCol w:w="985"/>
        <w:gridCol w:w="310"/>
        <w:gridCol w:w="310"/>
        <w:gridCol w:w="363"/>
        <w:gridCol w:w="984"/>
        <w:gridCol w:w="155"/>
      </w:tblGrid>
      <w:tr>
        <w:trPr/>
        <w:tc>
          <w:tcPr>
            <w:tcW w:w="6598" w:type="dxa"/>
            <w:tcBorders/>
            <w:vAlign w:val="center"/>
          </w:tcPr>
          <w:p>
            <w:pPr>
              <w:pStyle w:val="TableContents"/>
              <w:bidi w:val="0"/>
              <w:spacing w:before="0" w:after="0"/>
              <w:ind w:left="0" w:right="0" w:hanging="0"/>
              <w:jc w:val="left"/>
              <w:rPr/>
            </w:pPr>
            <w:r>
              <w:rPr/>
              <w:t xml:space="preserve">  </w:t>
            </w:r>
          </w:p>
        </w:tc>
        <w:tc>
          <w:tcPr>
            <w:tcW w:w="138" w:type="dxa"/>
            <w:tcBorders/>
            <w:vAlign w:val="center"/>
          </w:tcPr>
          <w:p>
            <w:pPr>
              <w:pStyle w:val="TableContents"/>
              <w:bidi w:val="0"/>
              <w:spacing w:before="0" w:after="0"/>
              <w:ind w:left="0" w:right="0" w:hanging="0"/>
              <w:jc w:val="left"/>
              <w:rPr/>
            </w:pPr>
            <w:r>
              <w:rPr/>
              <w:t xml:space="preserve">  </w:t>
            </w:r>
          </w:p>
        </w:tc>
        <w:tc>
          <w:tcPr>
            <w:tcW w:w="3314" w:type="dxa"/>
            <w:gridSpan w:val="6"/>
            <w:tcBorders/>
            <w:vAlign w:val="center"/>
          </w:tcPr>
          <w:p>
            <w:pPr>
              <w:pStyle w:val="TableContents"/>
              <w:bidi w:val="0"/>
              <w:spacing w:before="0" w:after="0"/>
              <w:ind w:left="0" w:right="0" w:hanging="0"/>
              <w:jc w:val="center"/>
              <w:rPr>
                <w:rFonts w:ascii="Times New Roman" w:hAnsi="Times New Roman"/>
                <w:b/>
                <w:sz w:val="20"/>
              </w:rPr>
            </w:pPr>
            <w:bookmarkStart w:id="237" w:name="fs_IO97YORQOW00000000000000000000FM"/>
            <w:bookmarkEnd w:id="237"/>
            <w:r>
              <w:rPr>
                <w:rFonts w:ascii="Times New Roman" w:hAnsi="Times New Roman"/>
                <w:b/>
                <w:sz w:val="20"/>
              </w:rPr>
              <w:t xml:space="preserve">Nine months ended September 30, </w:t>
            </w:r>
          </w:p>
        </w:tc>
        <w:tc>
          <w:tcPr>
            <w:tcW w:w="155" w:type="dxa"/>
            <w:tcBorders/>
            <w:vAlign w:val="center"/>
          </w:tcPr>
          <w:p>
            <w:pPr>
              <w:pStyle w:val="TableContents"/>
              <w:bidi w:val="0"/>
              <w:spacing w:before="0" w:after="0"/>
              <w:ind w:left="0" w:right="0" w:hanging="0"/>
              <w:jc w:val="left"/>
              <w:rPr/>
            </w:pPr>
            <w:r>
              <w:rPr/>
              <w:t xml:space="preserve">  </w:t>
            </w:r>
          </w:p>
        </w:tc>
      </w:tr>
      <w:tr>
        <w:trPr/>
        <w:tc>
          <w:tcPr>
            <w:tcW w:w="6598" w:type="dxa"/>
            <w:tcBorders/>
            <w:vAlign w:val="center"/>
          </w:tcPr>
          <w:p>
            <w:pPr>
              <w:pStyle w:val="TableContents"/>
              <w:bidi w:val="0"/>
              <w:spacing w:before="0" w:after="0"/>
              <w:ind w:left="0" w:right="0" w:hanging="0"/>
              <w:jc w:val="left"/>
              <w:rPr/>
            </w:pPr>
            <w:r>
              <w:rPr/>
              <w:t xml:space="preserve">  </w:t>
            </w:r>
          </w:p>
        </w:tc>
        <w:tc>
          <w:tcPr>
            <w:tcW w:w="138" w:type="dxa"/>
            <w:tcBorders/>
            <w:vAlign w:val="center"/>
          </w:tcPr>
          <w:p>
            <w:pPr>
              <w:pStyle w:val="TableContents"/>
              <w:bidi w:val="0"/>
              <w:spacing w:before="0" w:after="0"/>
              <w:ind w:left="0" w:right="0" w:hanging="0"/>
              <w:jc w:val="left"/>
              <w:rPr/>
            </w:pPr>
            <w:r>
              <w:rPr/>
              <w:t xml:space="preserve">  </w:t>
            </w:r>
          </w:p>
        </w:tc>
        <w:tc>
          <w:tcPr>
            <w:tcW w:w="1347" w:type="dxa"/>
            <w:gridSpan w:val="2"/>
            <w:tcBorders/>
            <w:vAlign w:val="center"/>
          </w:tcPr>
          <w:p>
            <w:pPr>
              <w:pStyle w:val="TableContents"/>
              <w:bidi w:val="0"/>
              <w:spacing w:before="0" w:after="0"/>
              <w:ind w:left="0" w:right="0" w:hanging="0"/>
              <w:jc w:val="center"/>
              <w:rPr>
                <w:rFonts w:ascii="Times New Roman" w:hAnsi="Times New Roman"/>
                <w:b/>
                <w:sz w:val="20"/>
              </w:rPr>
            </w:pPr>
            <w:bookmarkStart w:id="238" w:name="fs_WMFH0ZLQYO00000000000000000000fs"/>
            <w:bookmarkEnd w:id="238"/>
            <w:r>
              <w:rPr>
                <w:rFonts w:ascii="Times New Roman" w:hAnsi="Times New Roman"/>
                <w:b/>
                <w:sz w:val="20"/>
              </w:rPr>
              <w:t xml:space="preserve">2025 </w:t>
            </w:r>
          </w:p>
        </w:tc>
        <w:tc>
          <w:tcPr>
            <w:tcW w:w="310" w:type="dxa"/>
            <w:tcBorders/>
            <w:vAlign w:val="center"/>
          </w:tcPr>
          <w:p>
            <w:pPr>
              <w:pStyle w:val="TableContents"/>
              <w:bidi w:val="0"/>
              <w:spacing w:before="0" w:after="0"/>
              <w:ind w:left="0" w:right="0" w:hanging="0"/>
              <w:jc w:val="left"/>
              <w:rPr/>
            </w:pPr>
            <w:r>
              <w:rPr/>
              <w:t xml:space="preserve">  </w:t>
            </w:r>
          </w:p>
        </w:tc>
        <w:tc>
          <w:tcPr>
            <w:tcW w:w="310" w:type="dxa"/>
            <w:tcBorders/>
            <w:vAlign w:val="center"/>
          </w:tcPr>
          <w:p>
            <w:pPr>
              <w:pStyle w:val="TableContents"/>
              <w:bidi w:val="0"/>
              <w:spacing w:before="0" w:after="0"/>
              <w:ind w:left="0" w:right="0" w:hanging="0"/>
              <w:jc w:val="left"/>
              <w:rPr/>
            </w:pPr>
            <w:r>
              <w:rPr/>
              <w:t xml:space="preserve">  </w:t>
            </w:r>
          </w:p>
        </w:tc>
        <w:tc>
          <w:tcPr>
            <w:tcW w:w="1347" w:type="dxa"/>
            <w:gridSpan w:val="2"/>
            <w:tcBorders/>
            <w:vAlign w:val="center"/>
          </w:tcPr>
          <w:p>
            <w:pPr>
              <w:pStyle w:val="TableContents"/>
              <w:bidi w:val="0"/>
              <w:spacing w:before="0" w:after="0"/>
              <w:ind w:left="0" w:right="0" w:hanging="0"/>
              <w:jc w:val="center"/>
              <w:rPr>
                <w:rFonts w:ascii="Times New Roman" w:hAnsi="Times New Roman"/>
                <w:b/>
                <w:sz w:val="20"/>
              </w:rPr>
            </w:pPr>
            <w:bookmarkStart w:id="239" w:name="fs_6436FJTWWW00000000000000000000fs"/>
            <w:bookmarkEnd w:id="239"/>
            <w:r>
              <w:rPr>
                <w:rFonts w:ascii="Times New Roman" w:hAnsi="Times New Roman"/>
                <w:b/>
                <w:sz w:val="20"/>
              </w:rPr>
              <w:t xml:space="preserve">2024 </w:t>
            </w:r>
          </w:p>
        </w:tc>
        <w:tc>
          <w:tcPr>
            <w:tcW w:w="155" w:type="dxa"/>
            <w:tcBorders/>
            <w:vAlign w:val="center"/>
          </w:tcPr>
          <w:p>
            <w:pPr>
              <w:pStyle w:val="TableContents"/>
              <w:bidi w:val="0"/>
              <w:spacing w:before="0" w:after="0"/>
              <w:ind w:left="0" w:right="0" w:hanging="0"/>
              <w:jc w:val="left"/>
              <w:rPr/>
            </w:pPr>
            <w:r>
              <w:rPr/>
              <w:t xml:space="preserve">  </w:t>
            </w:r>
          </w:p>
        </w:tc>
      </w:tr>
      <w:tr>
        <w:trPr/>
        <w:tc>
          <w:tcPr>
            <w:tcW w:w="659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Cash paid for amounts included in the measurement of lease liabilities </w:t>
            </w:r>
          </w:p>
        </w:tc>
        <w:tc>
          <w:tcPr>
            <w:tcW w:w="138" w:type="dxa"/>
            <w:tcBorders/>
            <w:shd w:fill="CCEEFF" w:val="clear"/>
            <w:vAlign w:val="center"/>
          </w:tcPr>
          <w:p>
            <w:pPr>
              <w:pStyle w:val="TableContents"/>
              <w:bidi w:val="0"/>
              <w:spacing w:before="0" w:after="0"/>
              <w:ind w:left="0" w:right="0" w:hanging="0"/>
              <w:jc w:val="left"/>
              <w:rPr/>
            </w:pPr>
            <w:r>
              <w:rPr/>
              <w:t xml:space="preserve">  </w:t>
            </w:r>
          </w:p>
        </w:tc>
        <w:tc>
          <w:tcPr>
            <w:tcW w:w="362" w:type="dxa"/>
            <w:tcBorders/>
            <w:shd w:fill="CCEEFF" w:val="clear"/>
            <w:vAlign w:val="center"/>
          </w:tcPr>
          <w:p>
            <w:pPr>
              <w:pStyle w:val="TableContents"/>
              <w:bidi w:val="0"/>
              <w:spacing w:before="0" w:after="283"/>
              <w:jc w:val="left"/>
              <w:rPr/>
            </w:pPr>
            <w:r>
              <w:rPr/>
            </w:r>
          </w:p>
        </w:tc>
        <w:tc>
          <w:tcPr>
            <w:tcW w:w="985" w:type="dxa"/>
            <w:tcBorders/>
            <w:shd w:fill="CCEEFF" w:val="clear"/>
            <w:vAlign w:val="center"/>
          </w:tcPr>
          <w:p>
            <w:pPr>
              <w:pStyle w:val="TableContents"/>
              <w:bidi w:val="0"/>
              <w:spacing w:before="0" w:after="283"/>
              <w:jc w:val="left"/>
              <w:rPr/>
            </w:pPr>
            <w:r>
              <w:rPr/>
            </w:r>
          </w:p>
        </w:tc>
        <w:tc>
          <w:tcPr>
            <w:tcW w:w="310" w:type="dxa"/>
            <w:tcBorders/>
            <w:shd w:fill="CCEEFF" w:val="clear"/>
            <w:vAlign w:val="center"/>
          </w:tcPr>
          <w:p>
            <w:pPr>
              <w:pStyle w:val="TableContents"/>
              <w:bidi w:val="0"/>
              <w:spacing w:before="0" w:after="0"/>
              <w:ind w:left="0" w:right="0" w:hanging="0"/>
              <w:jc w:val="left"/>
              <w:rPr/>
            </w:pPr>
            <w:r>
              <w:rPr/>
              <w:t xml:space="preserve">  </w:t>
            </w:r>
          </w:p>
        </w:tc>
        <w:tc>
          <w:tcPr>
            <w:tcW w:w="310" w:type="dxa"/>
            <w:tcBorders/>
            <w:shd w:fill="CCEEFF" w:val="clear"/>
            <w:vAlign w:val="center"/>
          </w:tcPr>
          <w:p>
            <w:pPr>
              <w:pStyle w:val="TableContents"/>
              <w:bidi w:val="0"/>
              <w:spacing w:before="0" w:after="0"/>
              <w:ind w:left="0" w:right="0" w:hanging="0"/>
              <w:jc w:val="left"/>
              <w:rPr/>
            </w:pPr>
            <w:r>
              <w:rPr/>
              <w:t xml:space="preserve">  </w:t>
            </w:r>
          </w:p>
        </w:tc>
        <w:tc>
          <w:tcPr>
            <w:tcW w:w="363" w:type="dxa"/>
            <w:tcBorders/>
            <w:shd w:fill="CCEEFF" w:val="clear"/>
            <w:vAlign w:val="center"/>
          </w:tcPr>
          <w:p>
            <w:pPr>
              <w:pStyle w:val="TableContents"/>
              <w:bidi w:val="0"/>
              <w:spacing w:before="0" w:after="0"/>
              <w:ind w:left="0" w:right="0" w:hanging="0"/>
              <w:jc w:val="left"/>
              <w:rPr/>
            </w:pPr>
            <w:r>
              <w:rPr/>
            </w:r>
          </w:p>
        </w:tc>
        <w:tc>
          <w:tcPr>
            <w:tcW w:w="984" w:type="dxa"/>
            <w:tcBorders/>
            <w:shd w:fill="CCEEFF" w:val="clear"/>
            <w:vAlign w:val="center"/>
          </w:tcPr>
          <w:p>
            <w:pPr>
              <w:pStyle w:val="TableContents"/>
              <w:bidi w:val="0"/>
              <w:spacing w:before="0" w:after="0"/>
              <w:ind w:left="0" w:right="0" w:hanging="0"/>
              <w:jc w:val="right"/>
              <w:rPr/>
            </w:pPr>
            <w:r>
              <w:rPr/>
            </w:r>
          </w:p>
        </w:tc>
        <w:tc>
          <w:tcPr>
            <w:tcW w:w="155" w:type="dxa"/>
            <w:tcBorders/>
            <w:shd w:fill="CCEEFF" w:val="clear"/>
            <w:vAlign w:val="center"/>
          </w:tcPr>
          <w:p>
            <w:pPr>
              <w:pStyle w:val="TableContents"/>
              <w:bidi w:val="0"/>
              <w:spacing w:before="0" w:after="0"/>
              <w:ind w:left="0" w:right="0" w:hanging="0"/>
              <w:jc w:val="left"/>
              <w:rPr/>
            </w:pPr>
            <w:r>
              <w:rPr/>
              <w:t xml:space="preserve">  </w:t>
            </w:r>
          </w:p>
        </w:tc>
      </w:tr>
      <w:tr>
        <w:trPr/>
        <w:tc>
          <w:tcPr>
            <w:tcW w:w="6598" w:type="dxa"/>
            <w:tcBorders/>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Operating cash flows from operating leases</w:t>
            </w:r>
          </w:p>
        </w:tc>
        <w:tc>
          <w:tcPr>
            <w:tcW w:w="138" w:type="dxa"/>
            <w:tcBorders/>
            <w:vAlign w:val="center"/>
          </w:tcPr>
          <w:p>
            <w:pPr>
              <w:pStyle w:val="TableContents"/>
              <w:bidi w:val="0"/>
              <w:spacing w:before="0" w:after="283"/>
              <w:jc w:val="left"/>
              <w:rPr/>
            </w:pPr>
            <w:r>
              <w:rPr/>
            </w:r>
          </w:p>
        </w:tc>
        <w:tc>
          <w:tcPr>
            <w:tcW w:w="362" w:type="dxa"/>
            <w:tcBorders/>
            <w:vAlign w:val="center"/>
          </w:tcPr>
          <w:p>
            <w:pPr>
              <w:pStyle w:val="TableContents"/>
              <w:bidi w:val="0"/>
              <w:spacing w:before="0" w:after="283"/>
              <w:jc w:val="left"/>
              <w:rPr/>
            </w:pPr>
            <w:r>
              <w:rPr/>
              <w:t>$</w:t>
            </w:r>
          </w:p>
        </w:tc>
        <w:tc>
          <w:tcPr>
            <w:tcW w:w="985" w:type="dxa"/>
            <w:tcBorders/>
            <w:vAlign w:val="center"/>
          </w:tcPr>
          <w:p>
            <w:pPr>
              <w:pStyle w:val="TableContents"/>
              <w:bidi w:val="0"/>
              <w:spacing w:before="0" w:after="283"/>
              <w:jc w:val="right"/>
              <w:rPr/>
            </w:pPr>
            <w:r>
              <w:rPr/>
              <w:t>204</w:t>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pPr>
            <w:r>
              <w:rPr/>
            </w:r>
          </w:p>
        </w:tc>
        <w:tc>
          <w:tcPr>
            <w:tcW w:w="363" w:type="dxa"/>
            <w:tcBorders/>
            <w:vAlign w:val="center"/>
          </w:tcPr>
          <w:p>
            <w:pPr>
              <w:pStyle w:val="TableContents"/>
              <w:bidi w:val="0"/>
              <w:spacing w:before="0" w:after="283"/>
              <w:jc w:val="left"/>
              <w:rPr/>
            </w:pPr>
            <w:r>
              <w:rPr/>
              <w:t>$</w:t>
            </w:r>
          </w:p>
        </w:tc>
        <w:tc>
          <w:tcPr>
            <w:tcW w:w="984" w:type="dxa"/>
            <w:tcBorders/>
            <w:vAlign w:val="center"/>
          </w:tcPr>
          <w:p>
            <w:pPr>
              <w:pStyle w:val="TableContents"/>
              <w:bidi w:val="0"/>
              <w:spacing w:before="0" w:after="283"/>
              <w:jc w:val="right"/>
              <w:rPr/>
            </w:pPr>
            <w:r>
              <w:rPr/>
              <w:t>338</w:t>
            </w:r>
          </w:p>
        </w:tc>
        <w:tc>
          <w:tcPr>
            <w:tcW w:w="155" w:type="dxa"/>
            <w:tcBorders/>
            <w:vAlign w:val="center"/>
          </w:tcPr>
          <w:p>
            <w:pPr>
              <w:pStyle w:val="TableContents"/>
              <w:bidi w:val="0"/>
              <w:spacing w:before="0" w:after="283"/>
              <w:jc w:val="left"/>
              <w:rPr>
                <w:sz w:val="4"/>
                <w:szCs w:val="4"/>
              </w:rPr>
            </w:pPr>
            <w:r>
              <w:rPr>
                <w:sz w:val="4"/>
                <w:szCs w:val="4"/>
              </w:rPr>
            </w:r>
          </w:p>
        </w:tc>
      </w:tr>
      <w:tr>
        <w:trPr/>
        <w:tc>
          <w:tcPr>
            <w:tcW w:w="6598" w:type="dxa"/>
            <w:tcBorders/>
            <w:shd w:fill="CCEEFF" w:val="clear"/>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Right-of-use assets obtained in exchange for lease obligations:</w:t>
            </w:r>
          </w:p>
        </w:tc>
        <w:tc>
          <w:tcPr>
            <w:tcW w:w="138" w:type="dxa"/>
            <w:tcBorders/>
            <w:shd w:fill="CCEEFF" w:val="clear"/>
            <w:vAlign w:val="center"/>
          </w:tcPr>
          <w:p>
            <w:pPr>
              <w:pStyle w:val="TableContents"/>
              <w:bidi w:val="0"/>
              <w:spacing w:before="0" w:after="283"/>
              <w:jc w:val="left"/>
              <w:rPr/>
            </w:pPr>
            <w:r>
              <w:rPr/>
            </w:r>
          </w:p>
        </w:tc>
        <w:tc>
          <w:tcPr>
            <w:tcW w:w="362" w:type="dxa"/>
            <w:tcBorders/>
            <w:shd w:fill="CCEEFF" w:val="clear"/>
            <w:vAlign w:val="center"/>
          </w:tcPr>
          <w:p>
            <w:pPr>
              <w:pStyle w:val="TableContents"/>
              <w:bidi w:val="0"/>
              <w:spacing w:before="0" w:after="283"/>
              <w:jc w:val="left"/>
              <w:rPr/>
            </w:pPr>
            <w:r>
              <w:rPr/>
            </w:r>
          </w:p>
        </w:tc>
        <w:tc>
          <w:tcPr>
            <w:tcW w:w="985" w:type="dxa"/>
            <w:tcBorders/>
            <w:shd w:fill="CCEEFF" w:val="clear"/>
            <w:vAlign w:val="center"/>
          </w:tcPr>
          <w:p>
            <w:pPr>
              <w:pStyle w:val="TableContents"/>
              <w:bidi w:val="0"/>
              <w:spacing w:before="0" w:after="283"/>
              <w:jc w:val="left"/>
              <w:rPr/>
            </w:pPr>
            <w:r>
              <w:rPr/>
            </w:r>
          </w:p>
        </w:tc>
        <w:tc>
          <w:tcPr>
            <w:tcW w:w="310" w:type="dxa"/>
            <w:tcBorders/>
            <w:shd w:fill="CCEEFF" w:val="clear"/>
            <w:vAlign w:val="center"/>
          </w:tcPr>
          <w:p>
            <w:pPr>
              <w:pStyle w:val="TableContents"/>
              <w:bidi w:val="0"/>
              <w:spacing w:before="0" w:after="283"/>
              <w:jc w:val="left"/>
              <w:rPr/>
            </w:pPr>
            <w:r>
              <w:rPr/>
            </w:r>
          </w:p>
        </w:tc>
        <w:tc>
          <w:tcPr>
            <w:tcW w:w="310" w:type="dxa"/>
            <w:tcBorders/>
            <w:shd w:fill="CCEEFF" w:val="clear"/>
            <w:vAlign w:val="center"/>
          </w:tcPr>
          <w:p>
            <w:pPr>
              <w:pStyle w:val="TableContents"/>
              <w:bidi w:val="0"/>
              <w:spacing w:before="0" w:after="283"/>
              <w:jc w:val="left"/>
              <w:rPr/>
            </w:pPr>
            <w:r>
              <w:rPr/>
            </w:r>
          </w:p>
        </w:tc>
        <w:tc>
          <w:tcPr>
            <w:tcW w:w="363" w:type="dxa"/>
            <w:tcBorders/>
            <w:shd w:fill="CCEEFF" w:val="clear"/>
            <w:vAlign w:val="center"/>
          </w:tcPr>
          <w:p>
            <w:pPr>
              <w:pStyle w:val="TableContents"/>
              <w:bidi w:val="0"/>
              <w:spacing w:before="0" w:after="283"/>
              <w:jc w:val="left"/>
              <w:rPr/>
            </w:pPr>
            <w:r>
              <w:rPr/>
            </w:r>
          </w:p>
        </w:tc>
        <w:tc>
          <w:tcPr>
            <w:tcW w:w="984" w:type="dxa"/>
            <w:tcBorders/>
            <w:shd w:fill="CCEEFF" w:val="clear"/>
            <w:vAlign w:val="center"/>
          </w:tcPr>
          <w:p>
            <w:pPr>
              <w:pStyle w:val="TableContents"/>
              <w:bidi w:val="0"/>
              <w:spacing w:before="0" w:after="283"/>
              <w:jc w:val="left"/>
              <w:rPr/>
            </w:pPr>
            <w:r>
              <w:rPr/>
            </w:r>
          </w:p>
        </w:tc>
        <w:tc>
          <w:tcPr>
            <w:tcW w:w="155" w:type="dxa"/>
            <w:tcBorders/>
            <w:shd w:fill="CCEEFF" w:val="clear"/>
            <w:vAlign w:val="center"/>
          </w:tcPr>
          <w:p>
            <w:pPr>
              <w:pStyle w:val="TableContents"/>
              <w:bidi w:val="0"/>
              <w:spacing w:before="0" w:after="283"/>
              <w:jc w:val="left"/>
              <w:rPr/>
            </w:pPr>
            <w:r>
              <w:rPr/>
            </w:r>
          </w:p>
        </w:tc>
      </w:tr>
      <w:tr>
        <w:trPr/>
        <w:tc>
          <w:tcPr>
            <w:tcW w:w="6598" w:type="dxa"/>
            <w:tcBorders/>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Operating leases</w:t>
            </w:r>
          </w:p>
        </w:tc>
        <w:tc>
          <w:tcPr>
            <w:tcW w:w="138" w:type="dxa"/>
            <w:tcBorders/>
            <w:vAlign w:val="center"/>
          </w:tcPr>
          <w:p>
            <w:pPr>
              <w:pStyle w:val="TableContents"/>
              <w:bidi w:val="0"/>
              <w:spacing w:before="0" w:after="283"/>
              <w:jc w:val="left"/>
              <w:rPr/>
            </w:pPr>
            <w:r>
              <w:rPr/>
            </w:r>
          </w:p>
        </w:tc>
        <w:tc>
          <w:tcPr>
            <w:tcW w:w="362" w:type="dxa"/>
            <w:tcBorders/>
            <w:vAlign w:val="center"/>
          </w:tcPr>
          <w:p>
            <w:pPr>
              <w:pStyle w:val="TableContents"/>
              <w:bidi w:val="0"/>
              <w:spacing w:before="0" w:after="283"/>
              <w:jc w:val="left"/>
              <w:rPr/>
            </w:pPr>
            <w:r>
              <w:rPr/>
              <w:t>$</w:t>
            </w:r>
          </w:p>
        </w:tc>
        <w:tc>
          <w:tcPr>
            <w:tcW w:w="985" w:type="dxa"/>
            <w:tcBorders/>
            <w:vAlign w:val="center"/>
          </w:tcPr>
          <w:p>
            <w:pPr>
              <w:pStyle w:val="TableContents"/>
              <w:bidi w:val="0"/>
              <w:spacing w:before="0" w:after="283"/>
              <w:jc w:val="right"/>
              <w:rPr/>
            </w:pPr>
            <w:r>
              <w:rPr/>
              <w:t>—</w:t>
            </w:r>
          </w:p>
        </w:tc>
        <w:tc>
          <w:tcPr>
            <w:tcW w:w="310" w:type="dxa"/>
            <w:tcBorders/>
            <w:vAlign w:val="center"/>
          </w:tcPr>
          <w:p>
            <w:pPr>
              <w:pStyle w:val="TableContents"/>
              <w:bidi w:val="0"/>
              <w:spacing w:before="0" w:after="283"/>
              <w:jc w:val="left"/>
              <w:rPr/>
            </w:pPr>
            <w:r>
              <w:rPr/>
            </w:r>
          </w:p>
        </w:tc>
        <w:tc>
          <w:tcPr>
            <w:tcW w:w="310" w:type="dxa"/>
            <w:tcBorders/>
            <w:vAlign w:val="center"/>
          </w:tcPr>
          <w:p>
            <w:pPr>
              <w:pStyle w:val="TableContents"/>
              <w:bidi w:val="0"/>
              <w:spacing w:before="0" w:after="283"/>
              <w:jc w:val="left"/>
              <w:rPr/>
            </w:pPr>
            <w:r>
              <w:rPr/>
            </w:r>
          </w:p>
        </w:tc>
        <w:tc>
          <w:tcPr>
            <w:tcW w:w="363" w:type="dxa"/>
            <w:tcBorders/>
            <w:vAlign w:val="center"/>
          </w:tcPr>
          <w:p>
            <w:pPr>
              <w:pStyle w:val="TableContents"/>
              <w:bidi w:val="0"/>
              <w:spacing w:before="0" w:after="283"/>
              <w:jc w:val="left"/>
              <w:rPr/>
            </w:pPr>
            <w:r>
              <w:rPr/>
              <w:t>$</w:t>
            </w:r>
          </w:p>
        </w:tc>
        <w:tc>
          <w:tcPr>
            <w:tcW w:w="984"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Supplemental balance sheet information related to leases was as follows:</w:t>
      </w:r>
      <w:r>
        <w:rPr>
          <w:rFonts w:ascii="times new roman;times" w:hAnsi="times new roman;times"/>
          <w:sz w:val="20"/>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r>
    </w:p>
    <w:tbl>
      <w:tblPr>
        <w:tblW w:w="5000" w:type="pct"/>
        <w:jc w:val="left"/>
        <w:tblInd w:w="0" w:type="dxa"/>
        <w:tblLayout w:type="fixed"/>
        <w:tblCellMar>
          <w:top w:w="0" w:type="dxa"/>
          <w:left w:w="0" w:type="dxa"/>
          <w:bottom w:w="0" w:type="dxa"/>
          <w:right w:w="0" w:type="dxa"/>
        </w:tblCellMar>
      </w:tblPr>
      <w:tblGrid>
        <w:gridCol w:w="6121"/>
        <w:gridCol w:w="119"/>
        <w:gridCol w:w="415"/>
        <w:gridCol w:w="1306"/>
        <w:gridCol w:w="215"/>
        <w:gridCol w:w="119"/>
        <w:gridCol w:w="404"/>
        <w:gridCol w:w="1272"/>
        <w:gridCol w:w="234"/>
      </w:tblGrid>
      <w:tr>
        <w:trPr/>
        <w:tc>
          <w:tcPr>
            <w:tcW w:w="6121" w:type="dxa"/>
            <w:tcBorders/>
            <w:vAlign w:val="center"/>
          </w:tcPr>
          <w:p>
            <w:pPr>
              <w:pStyle w:val="TableContents"/>
              <w:bidi w:val="0"/>
              <w:spacing w:before="0" w:after="0"/>
              <w:ind w:left="0" w:right="0" w:hanging="0"/>
              <w:jc w:val="left"/>
              <w:rPr/>
            </w:pPr>
            <w:r>
              <w:rPr/>
              <w:t xml:space="preserve">  </w:t>
            </w:r>
          </w:p>
        </w:tc>
        <w:tc>
          <w:tcPr>
            <w:tcW w:w="119" w:type="dxa"/>
            <w:tcBorders/>
            <w:vAlign w:val="center"/>
          </w:tcPr>
          <w:p>
            <w:pPr>
              <w:pStyle w:val="TableContents"/>
              <w:bidi w:val="0"/>
              <w:spacing w:before="0" w:after="0"/>
              <w:ind w:left="0" w:right="0" w:hanging="0"/>
              <w:jc w:val="left"/>
              <w:rPr/>
            </w:pPr>
            <w:r>
              <w:rPr/>
              <w:t xml:space="preserve">  </w:t>
            </w:r>
          </w:p>
        </w:tc>
        <w:tc>
          <w:tcPr>
            <w:tcW w:w="1721" w:type="dxa"/>
            <w:gridSpan w:val="2"/>
            <w:tcBorders/>
            <w:vAlign w:val="center"/>
          </w:tcPr>
          <w:p>
            <w:pPr>
              <w:pStyle w:val="TableContents"/>
              <w:pBdr/>
              <w:bidi w:val="0"/>
              <w:spacing w:before="0" w:after="0"/>
              <w:ind w:left="0" w:right="0" w:hanging="0"/>
              <w:jc w:val="center"/>
              <w:rPr>
                <w:rFonts w:ascii="Times New Roman" w:hAnsi="Times New Roman"/>
                <w:b/>
                <w:sz w:val="20"/>
              </w:rPr>
            </w:pPr>
            <w:bookmarkStart w:id="240" w:name="fs_ASSQ8S3NEO00000000000000000000FM"/>
            <w:bookmarkEnd w:id="240"/>
            <w:r>
              <w:rPr>
                <w:rFonts w:ascii="Times New Roman" w:hAnsi="Times New Roman"/>
                <w:b/>
                <w:sz w:val="20"/>
              </w:rPr>
              <w:t xml:space="preserve">September 30, 2025 </w:t>
            </w:r>
          </w:p>
        </w:tc>
        <w:tc>
          <w:tcPr>
            <w:tcW w:w="215" w:type="dxa"/>
            <w:tcBorders/>
            <w:vAlign w:val="center"/>
          </w:tcPr>
          <w:p>
            <w:pPr>
              <w:pStyle w:val="TableContents"/>
              <w:pBdr/>
              <w:bidi w:val="0"/>
              <w:spacing w:before="0" w:after="0"/>
              <w:ind w:left="0" w:right="0" w:hanging="0"/>
              <w:jc w:val="left"/>
              <w:rPr/>
            </w:pPr>
            <w:r>
              <w:rPr/>
              <w:t xml:space="preserve">  </w:t>
            </w:r>
          </w:p>
        </w:tc>
        <w:tc>
          <w:tcPr>
            <w:tcW w:w="119" w:type="dxa"/>
            <w:tcBorders/>
            <w:vAlign w:val="center"/>
          </w:tcPr>
          <w:p>
            <w:pPr>
              <w:pStyle w:val="TableContents"/>
              <w:pBdr/>
              <w:bidi w:val="0"/>
              <w:spacing w:before="0" w:after="0"/>
              <w:ind w:left="0" w:right="0" w:hanging="0"/>
              <w:jc w:val="left"/>
              <w:rPr/>
            </w:pPr>
            <w:r>
              <w:rPr/>
              <w:t xml:space="preserve">  </w:t>
            </w:r>
          </w:p>
        </w:tc>
        <w:tc>
          <w:tcPr>
            <w:tcW w:w="1676" w:type="dxa"/>
            <w:gridSpan w:val="2"/>
            <w:tcBorders/>
            <w:vAlign w:val="center"/>
          </w:tcPr>
          <w:p>
            <w:pPr>
              <w:pStyle w:val="TableContents"/>
              <w:pBdr/>
              <w:bidi w:val="0"/>
              <w:spacing w:before="0" w:after="0"/>
              <w:ind w:left="0" w:right="0" w:hanging="0"/>
              <w:jc w:val="center"/>
              <w:rPr>
                <w:rFonts w:ascii="Times New Roman" w:hAnsi="Times New Roman"/>
                <w:b/>
                <w:sz w:val="20"/>
              </w:rPr>
            </w:pPr>
            <w:bookmarkStart w:id="241" w:name="fs_EGQPYUTOS000000000000000000000FM"/>
            <w:bookmarkEnd w:id="241"/>
            <w:r>
              <w:rPr>
                <w:rFonts w:ascii="Times New Roman" w:hAnsi="Times New Roman"/>
                <w:b/>
                <w:sz w:val="20"/>
              </w:rPr>
              <w:t xml:space="preserve">December 31, 2024 </w:t>
            </w:r>
          </w:p>
        </w:tc>
        <w:tc>
          <w:tcPr>
            <w:tcW w:w="234" w:type="dxa"/>
            <w:tcBorders/>
            <w:vAlign w:val="center"/>
          </w:tcPr>
          <w:p>
            <w:pPr>
              <w:pStyle w:val="TableContents"/>
              <w:bidi w:val="0"/>
              <w:spacing w:before="0" w:after="0"/>
              <w:ind w:left="0" w:right="0" w:hanging="0"/>
              <w:jc w:val="left"/>
              <w:rPr/>
            </w:pPr>
            <w:r>
              <w:rPr/>
              <w:t xml:space="preserve">  </w:t>
            </w:r>
          </w:p>
        </w:tc>
      </w:tr>
      <w:tr>
        <w:trPr/>
        <w:tc>
          <w:tcPr>
            <w:tcW w:w="6121" w:type="dxa"/>
            <w:tcBorders/>
            <w:shd w:fill="CCEEFF" w:val="clear"/>
            <w:vAlign w:val="center"/>
          </w:tcPr>
          <w:p>
            <w:pPr>
              <w:pStyle w:val="TableContents"/>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Operating lease right-of-use assets </w:t>
            </w:r>
          </w:p>
        </w:tc>
        <w:tc>
          <w:tcPr>
            <w:tcW w:w="119" w:type="dxa"/>
            <w:tcBorders/>
            <w:shd w:fill="CCEEFF" w:val="clear"/>
            <w:vAlign w:val="center"/>
          </w:tcPr>
          <w:p>
            <w:pPr>
              <w:pStyle w:val="TableContents"/>
              <w:pBdr/>
              <w:bidi w:val="0"/>
              <w:spacing w:before="0" w:after="0"/>
              <w:ind w:left="0" w:right="0" w:hanging="0"/>
              <w:jc w:val="left"/>
              <w:rPr/>
            </w:pPr>
            <w:r>
              <w:rPr/>
              <w:t xml:space="preserve">  </w:t>
            </w:r>
          </w:p>
        </w:tc>
        <w:tc>
          <w:tcPr>
            <w:tcW w:w="415"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306" w:type="dxa"/>
            <w:tcBorders/>
            <w:shd w:fill="CCEEFF" w:val="clear"/>
            <w:vAlign w:val="center"/>
          </w:tcPr>
          <w:p>
            <w:pPr>
              <w:pStyle w:val="TableContents"/>
              <w:pBdr/>
              <w:bidi w:val="0"/>
              <w:spacing w:before="0" w:after="0"/>
              <w:ind w:left="0" w:right="0" w:hanging="0"/>
              <w:jc w:val="right"/>
              <w:rPr/>
            </w:pPr>
            <w:r>
              <w:rPr/>
              <w:t> </w:t>
            </w:r>
            <w:r>
              <w:rPr>
                <w:rFonts w:ascii="Times New Roman" w:hAnsi="Times New Roman"/>
                <w:sz w:val="20"/>
              </w:rPr>
              <w:t>546</w:t>
            </w:r>
          </w:p>
        </w:tc>
        <w:tc>
          <w:tcPr>
            <w:tcW w:w="215" w:type="dxa"/>
            <w:tcBorders/>
            <w:shd w:fill="CCEEFF" w:val="clear"/>
            <w:vAlign w:val="center"/>
          </w:tcPr>
          <w:p>
            <w:pPr>
              <w:pStyle w:val="TableContents"/>
              <w:pBdr/>
              <w:bidi w:val="0"/>
              <w:spacing w:before="0" w:after="0"/>
              <w:ind w:left="0" w:right="0" w:hanging="0"/>
              <w:jc w:val="left"/>
              <w:rPr/>
            </w:pPr>
            <w:r>
              <w:rPr/>
              <w:t xml:space="preserve">  </w:t>
            </w:r>
          </w:p>
        </w:tc>
        <w:tc>
          <w:tcPr>
            <w:tcW w:w="119" w:type="dxa"/>
            <w:tcBorders/>
            <w:shd w:fill="CCEEFF" w:val="clear"/>
            <w:vAlign w:val="center"/>
          </w:tcPr>
          <w:p>
            <w:pPr>
              <w:pStyle w:val="TableContents"/>
              <w:pBdr/>
              <w:bidi w:val="0"/>
              <w:spacing w:before="0" w:after="0"/>
              <w:ind w:left="0" w:right="0" w:hanging="0"/>
              <w:jc w:val="left"/>
              <w:rPr/>
            </w:pPr>
            <w:r>
              <w:rPr/>
              <w:t xml:space="preserve">  </w:t>
            </w:r>
          </w:p>
        </w:tc>
        <w:tc>
          <w:tcPr>
            <w:tcW w:w="404"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272" w:type="dxa"/>
            <w:tcBorders/>
            <w:shd w:fill="CCEEFF" w:val="clear"/>
            <w:vAlign w:val="center"/>
          </w:tcPr>
          <w:p>
            <w:pPr>
              <w:pStyle w:val="TableContents"/>
              <w:pBdr/>
              <w:bidi w:val="0"/>
              <w:spacing w:before="0" w:after="0"/>
              <w:ind w:left="0" w:right="0" w:hanging="0"/>
              <w:jc w:val="right"/>
              <w:rPr/>
            </w:pPr>
            <w:r>
              <w:rPr/>
              <w:t> </w:t>
            </w:r>
            <w:r>
              <w:rPr>
                <w:rFonts w:ascii="Times New Roman" w:hAnsi="Times New Roman"/>
                <w:sz w:val="20"/>
              </w:rPr>
              <w:t>750</w:t>
            </w:r>
          </w:p>
        </w:tc>
        <w:tc>
          <w:tcPr>
            <w:tcW w:w="234" w:type="dxa"/>
            <w:tcBorders/>
            <w:shd w:fill="CCEEFF" w:val="clear"/>
            <w:vAlign w:val="center"/>
          </w:tcPr>
          <w:p>
            <w:pPr>
              <w:pStyle w:val="TableContents"/>
              <w:pBdr/>
              <w:bidi w:val="0"/>
              <w:spacing w:before="0" w:after="0"/>
              <w:ind w:left="0" w:right="0" w:hanging="0"/>
              <w:jc w:val="left"/>
              <w:rPr/>
            </w:pPr>
            <w:r>
              <w:rPr/>
              <w:t xml:space="preserve">  </w:t>
            </w:r>
          </w:p>
        </w:tc>
      </w:tr>
      <w:tr>
        <w:trPr/>
        <w:tc>
          <w:tcPr>
            <w:tcW w:w="6121" w:type="dxa"/>
            <w:tcBorders/>
            <w:vAlign w:val="center"/>
          </w:tcPr>
          <w:p>
            <w:pPr>
              <w:pStyle w:val="TableContents"/>
              <w:bidi w:val="0"/>
              <w:spacing w:before="0" w:after="283"/>
              <w:ind w:left="0" w:right="0" w:hanging="0"/>
              <w:jc w:val="left"/>
              <w:rPr/>
            </w:pPr>
            <w:r>
              <w:rPr/>
            </w:r>
          </w:p>
        </w:tc>
        <w:tc>
          <w:tcPr>
            <w:tcW w:w="119" w:type="dxa"/>
            <w:tcBorders/>
            <w:vAlign w:val="center"/>
          </w:tcPr>
          <w:p>
            <w:pPr>
              <w:pStyle w:val="TableContents"/>
              <w:pBdr/>
              <w:bidi w:val="0"/>
              <w:spacing w:before="0" w:after="0"/>
              <w:ind w:left="0" w:right="0" w:hanging="0"/>
              <w:jc w:val="left"/>
              <w:rPr/>
            </w:pPr>
            <w:r>
              <w:rPr/>
              <w:t xml:space="preserve">  </w:t>
            </w:r>
          </w:p>
        </w:tc>
        <w:tc>
          <w:tcPr>
            <w:tcW w:w="415" w:type="dxa"/>
            <w:tcBorders/>
            <w:vAlign w:val="center"/>
          </w:tcPr>
          <w:p>
            <w:pPr>
              <w:pStyle w:val="TableContents"/>
              <w:pBdr/>
              <w:bidi w:val="0"/>
              <w:spacing w:before="0" w:after="0"/>
              <w:ind w:left="0" w:right="0" w:hanging="0"/>
              <w:jc w:val="left"/>
              <w:rPr/>
            </w:pPr>
            <w:r>
              <w:rPr/>
            </w:r>
          </w:p>
        </w:tc>
        <w:tc>
          <w:tcPr>
            <w:tcW w:w="1306" w:type="dxa"/>
            <w:tcBorders/>
            <w:vAlign w:val="center"/>
          </w:tcPr>
          <w:p>
            <w:pPr>
              <w:pStyle w:val="TableContents"/>
              <w:bidi w:val="0"/>
              <w:spacing w:before="0" w:after="283"/>
              <w:ind w:left="0" w:right="0" w:hanging="0"/>
              <w:jc w:val="left"/>
              <w:rPr/>
            </w:pPr>
            <w:r>
              <w:rPr/>
            </w:r>
          </w:p>
        </w:tc>
        <w:tc>
          <w:tcPr>
            <w:tcW w:w="215" w:type="dxa"/>
            <w:tcBorders/>
            <w:vAlign w:val="center"/>
          </w:tcPr>
          <w:p>
            <w:pPr>
              <w:pStyle w:val="TableContents"/>
              <w:bidi w:val="0"/>
              <w:spacing w:before="0" w:after="283"/>
              <w:ind w:left="0" w:right="0" w:hanging="0"/>
              <w:jc w:val="left"/>
              <w:rPr/>
            </w:pPr>
            <w:r>
              <w:rPr/>
            </w:r>
          </w:p>
        </w:tc>
        <w:tc>
          <w:tcPr>
            <w:tcW w:w="119" w:type="dxa"/>
            <w:tcBorders/>
            <w:vAlign w:val="center"/>
          </w:tcPr>
          <w:p>
            <w:pPr>
              <w:pStyle w:val="TableContents"/>
              <w:bidi w:val="0"/>
              <w:spacing w:before="0" w:after="283"/>
              <w:ind w:left="0" w:right="0" w:hanging="0"/>
              <w:jc w:val="left"/>
              <w:rPr/>
            </w:pPr>
            <w:r>
              <w:rPr/>
            </w:r>
          </w:p>
        </w:tc>
        <w:tc>
          <w:tcPr>
            <w:tcW w:w="404" w:type="dxa"/>
            <w:tcBorders/>
            <w:vAlign w:val="center"/>
          </w:tcPr>
          <w:p>
            <w:pPr>
              <w:pStyle w:val="TableContents"/>
              <w:bidi w:val="0"/>
              <w:spacing w:before="0" w:after="283"/>
              <w:ind w:left="0" w:right="0" w:hanging="0"/>
              <w:jc w:val="left"/>
              <w:rPr/>
            </w:pPr>
            <w:r>
              <w:rPr/>
            </w:r>
          </w:p>
        </w:tc>
        <w:tc>
          <w:tcPr>
            <w:tcW w:w="1272" w:type="dxa"/>
            <w:tcBorders/>
            <w:vAlign w:val="center"/>
          </w:tcPr>
          <w:p>
            <w:pPr>
              <w:pStyle w:val="TableContents"/>
              <w:bidi w:val="0"/>
              <w:spacing w:before="0" w:after="283"/>
              <w:ind w:left="0" w:right="0" w:hanging="0"/>
              <w:jc w:val="left"/>
              <w:rPr/>
            </w:pPr>
            <w:r>
              <w:rPr/>
            </w:r>
          </w:p>
        </w:tc>
        <w:tc>
          <w:tcPr>
            <w:tcW w:w="234" w:type="dxa"/>
            <w:tcBorders/>
            <w:vAlign w:val="center"/>
          </w:tcPr>
          <w:p>
            <w:pPr>
              <w:pStyle w:val="TableContents"/>
              <w:bidi w:val="0"/>
              <w:spacing w:before="0" w:after="283"/>
              <w:jc w:val="left"/>
              <w:rPr/>
            </w:pPr>
            <w:r>
              <w:rPr/>
            </w:r>
          </w:p>
        </w:tc>
      </w:tr>
      <w:tr>
        <w:trPr/>
        <w:tc>
          <w:tcPr>
            <w:tcW w:w="6121" w:type="dxa"/>
            <w:tcBorders/>
            <w:shd w:fill="CCEEFF" w:val="clear"/>
            <w:vAlign w:val="center"/>
          </w:tcPr>
          <w:p>
            <w:pPr>
              <w:pStyle w:val="TableContents"/>
              <w:bidi w:val="0"/>
              <w:spacing w:before="0" w:after="283"/>
              <w:ind w:left="0" w:right="0" w:hanging="0"/>
              <w:jc w:val="left"/>
              <w:rPr>
                <w:rFonts w:ascii="Times New Roman;serif" w:hAnsi="Times New Roman;serif"/>
                <w:sz w:val="20"/>
              </w:rPr>
            </w:pPr>
            <w:r>
              <w:rPr>
                <w:rFonts w:ascii="Times New Roman;serif" w:hAnsi="Times New Roman;serif"/>
                <w:sz w:val="20"/>
              </w:rPr>
              <w:t xml:space="preserve">Current portion of operating lease liabilities, included in accrued liabilities </w:t>
            </w:r>
          </w:p>
        </w:tc>
        <w:tc>
          <w:tcPr>
            <w:tcW w:w="119" w:type="dxa"/>
            <w:tcBorders/>
            <w:shd w:fill="CCEEFF" w:val="clear"/>
            <w:vAlign w:val="center"/>
          </w:tcPr>
          <w:p>
            <w:pPr>
              <w:pStyle w:val="TableContents"/>
              <w:bidi w:val="0"/>
              <w:spacing w:before="0" w:after="283"/>
              <w:ind w:left="0" w:right="0" w:hanging="0"/>
              <w:jc w:val="left"/>
              <w:rPr/>
            </w:pPr>
            <w:r>
              <w:rPr/>
            </w:r>
          </w:p>
        </w:tc>
        <w:tc>
          <w:tcPr>
            <w:tcW w:w="415" w:type="dxa"/>
            <w:tcBorders/>
            <w:shd w:fill="CCEEFF" w:val="clear"/>
            <w:vAlign w:val="center"/>
          </w:tcPr>
          <w:p>
            <w:pPr>
              <w:pStyle w:val="TableContents"/>
              <w:bidi w:val="0"/>
              <w:spacing w:before="0" w:after="0"/>
              <w:ind w:left="0" w:right="0" w:hanging="0"/>
              <w:jc w:val="left"/>
              <w:rPr/>
            </w:pPr>
            <w:r>
              <w:rPr/>
              <w:t>$</w:t>
            </w:r>
          </w:p>
        </w:tc>
        <w:tc>
          <w:tcPr>
            <w:tcW w:w="1306" w:type="dxa"/>
            <w:tcBorders/>
            <w:shd w:fill="CCEEFF" w:val="clear"/>
            <w:vAlign w:val="center"/>
          </w:tcPr>
          <w:p>
            <w:pPr>
              <w:pStyle w:val="TableContents"/>
              <w:bidi w:val="0"/>
              <w:spacing w:before="0" w:after="0"/>
              <w:ind w:left="0" w:right="0" w:hanging="0"/>
              <w:jc w:val="right"/>
              <w:rPr/>
            </w:pPr>
            <w:r>
              <w:rPr/>
              <w:t>218</w:t>
            </w:r>
          </w:p>
        </w:tc>
        <w:tc>
          <w:tcPr>
            <w:tcW w:w="215" w:type="dxa"/>
            <w:tcBorders/>
            <w:shd w:fill="CCEEFF" w:val="clear"/>
            <w:vAlign w:val="center"/>
          </w:tcPr>
          <w:p>
            <w:pPr>
              <w:pStyle w:val="TableContents"/>
              <w:bidi w:val="0"/>
              <w:spacing w:before="0" w:after="283"/>
              <w:ind w:left="0" w:right="0" w:hanging="0"/>
              <w:jc w:val="left"/>
              <w:rPr/>
            </w:pPr>
            <w:r>
              <w:rPr/>
            </w:r>
          </w:p>
        </w:tc>
        <w:tc>
          <w:tcPr>
            <w:tcW w:w="119" w:type="dxa"/>
            <w:tcBorders/>
            <w:shd w:fill="CCEEFF" w:val="clear"/>
            <w:vAlign w:val="center"/>
          </w:tcPr>
          <w:p>
            <w:pPr>
              <w:pStyle w:val="TableContents"/>
              <w:bidi w:val="0"/>
              <w:spacing w:before="0" w:after="283"/>
              <w:ind w:left="0" w:right="0" w:hanging="0"/>
              <w:jc w:val="left"/>
              <w:rPr/>
            </w:pPr>
            <w:r>
              <w:rPr/>
            </w:r>
          </w:p>
        </w:tc>
        <w:tc>
          <w:tcPr>
            <w:tcW w:w="404" w:type="dxa"/>
            <w:tcBorders/>
            <w:shd w:fill="CCEEFF" w:val="clear"/>
            <w:vAlign w:val="center"/>
          </w:tcPr>
          <w:p>
            <w:pPr>
              <w:pStyle w:val="TableContents"/>
              <w:bidi w:val="0"/>
              <w:spacing w:before="0" w:after="0"/>
              <w:ind w:left="0" w:right="0" w:hanging="0"/>
              <w:jc w:val="left"/>
              <w:rPr/>
            </w:pPr>
            <w:r>
              <w:rPr/>
              <w:t>$</w:t>
            </w:r>
          </w:p>
        </w:tc>
        <w:tc>
          <w:tcPr>
            <w:tcW w:w="1272" w:type="dxa"/>
            <w:tcBorders/>
            <w:shd w:fill="CCEEFF" w:val="clear"/>
            <w:vAlign w:val="center"/>
          </w:tcPr>
          <w:p>
            <w:pPr>
              <w:pStyle w:val="TableContents"/>
              <w:bidi w:val="0"/>
              <w:spacing w:before="0" w:after="0"/>
              <w:ind w:left="0" w:right="0" w:hanging="0"/>
              <w:jc w:val="right"/>
              <w:rPr/>
            </w:pPr>
            <w:r>
              <w:rPr/>
              <w:t>257</w:t>
            </w:r>
          </w:p>
        </w:tc>
        <w:tc>
          <w:tcPr>
            <w:tcW w:w="234" w:type="dxa"/>
            <w:tcBorders/>
            <w:shd w:fill="CCEEFF" w:val="clear"/>
            <w:vAlign w:val="center"/>
          </w:tcPr>
          <w:p>
            <w:pPr>
              <w:pStyle w:val="TableContents"/>
              <w:bidi w:val="0"/>
              <w:spacing w:before="0" w:after="283"/>
              <w:jc w:val="left"/>
              <w:rPr/>
            </w:pPr>
            <w:r>
              <w:rPr/>
            </w:r>
          </w:p>
        </w:tc>
      </w:tr>
      <w:tr>
        <w:trPr/>
        <w:tc>
          <w:tcPr>
            <w:tcW w:w="6121" w:type="dxa"/>
            <w:tcBorders/>
            <w:vAlign w:val="center"/>
          </w:tcPr>
          <w:p>
            <w:pPr>
              <w:pStyle w:val="TableContents"/>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Operating lease liabilities, net of current portion </w:t>
            </w:r>
          </w:p>
        </w:tc>
        <w:tc>
          <w:tcPr>
            <w:tcW w:w="119" w:type="dxa"/>
            <w:tcBorders/>
            <w:vAlign w:val="center"/>
          </w:tcPr>
          <w:p>
            <w:pPr>
              <w:pStyle w:val="TableContents"/>
              <w:pBdr/>
              <w:bidi w:val="0"/>
              <w:spacing w:before="0" w:after="0"/>
              <w:ind w:left="0" w:right="0" w:hanging="0"/>
              <w:jc w:val="left"/>
              <w:rPr/>
            </w:pPr>
            <w:r>
              <w:rPr/>
              <w:t xml:space="preserve">  </w:t>
            </w:r>
          </w:p>
        </w:tc>
        <w:tc>
          <w:tcPr>
            <w:tcW w:w="415" w:type="dxa"/>
            <w:tcBorders/>
            <w:vAlign w:val="center"/>
          </w:tcPr>
          <w:p>
            <w:pPr>
              <w:pStyle w:val="TableContents"/>
              <w:pBdr/>
              <w:bidi w:val="0"/>
              <w:spacing w:before="0" w:after="0"/>
              <w:ind w:left="0" w:right="0" w:hanging="0"/>
              <w:jc w:val="left"/>
              <w:rPr/>
            </w:pPr>
            <w:r>
              <w:rPr/>
              <w:t xml:space="preserve">  </w:t>
            </w:r>
          </w:p>
        </w:tc>
        <w:tc>
          <w:tcPr>
            <w:tcW w:w="1306" w:type="dxa"/>
            <w:tcBorders/>
            <w:vAlign w:val="center"/>
          </w:tcPr>
          <w:p>
            <w:pPr>
              <w:pStyle w:val="TableContents"/>
              <w:pBdr/>
              <w:bidi w:val="0"/>
              <w:spacing w:before="0" w:after="0"/>
              <w:ind w:left="0" w:right="0" w:hanging="0"/>
              <w:jc w:val="right"/>
              <w:rPr/>
            </w:pPr>
            <w:r>
              <w:rPr/>
              <w:t>348</w:t>
            </w:r>
          </w:p>
        </w:tc>
        <w:tc>
          <w:tcPr>
            <w:tcW w:w="215" w:type="dxa"/>
            <w:tcBorders/>
            <w:vAlign w:val="center"/>
          </w:tcPr>
          <w:p>
            <w:pPr>
              <w:pStyle w:val="TableContents"/>
              <w:pBdr/>
              <w:bidi w:val="0"/>
              <w:spacing w:before="0" w:after="0"/>
              <w:ind w:left="0" w:right="0" w:hanging="0"/>
              <w:jc w:val="left"/>
              <w:rPr/>
            </w:pPr>
            <w:r>
              <w:rPr/>
              <w:t xml:space="preserve">  </w:t>
            </w:r>
          </w:p>
        </w:tc>
        <w:tc>
          <w:tcPr>
            <w:tcW w:w="119" w:type="dxa"/>
            <w:tcBorders/>
            <w:vAlign w:val="center"/>
          </w:tcPr>
          <w:p>
            <w:pPr>
              <w:pStyle w:val="TableContents"/>
              <w:pBdr/>
              <w:bidi w:val="0"/>
              <w:spacing w:before="0" w:after="0"/>
              <w:ind w:left="0" w:right="0" w:hanging="0"/>
              <w:jc w:val="left"/>
              <w:rPr/>
            </w:pPr>
            <w:r>
              <w:rPr/>
              <w:t xml:space="preserve">  </w:t>
            </w:r>
          </w:p>
        </w:tc>
        <w:tc>
          <w:tcPr>
            <w:tcW w:w="404" w:type="dxa"/>
            <w:tcBorders/>
            <w:vAlign w:val="center"/>
          </w:tcPr>
          <w:p>
            <w:pPr>
              <w:pStyle w:val="TableContents"/>
              <w:pBdr/>
              <w:bidi w:val="0"/>
              <w:spacing w:before="0" w:after="0"/>
              <w:ind w:left="0" w:right="0" w:hanging="0"/>
              <w:jc w:val="left"/>
              <w:rPr/>
            </w:pPr>
            <w:r>
              <w:rPr/>
              <w:t xml:space="preserve">  </w:t>
            </w:r>
          </w:p>
        </w:tc>
        <w:tc>
          <w:tcPr>
            <w:tcW w:w="1272" w:type="dxa"/>
            <w:tcBorders/>
            <w:vAlign w:val="center"/>
          </w:tcPr>
          <w:p>
            <w:pPr>
              <w:pStyle w:val="TableContents"/>
              <w:pBdr/>
              <w:bidi w:val="0"/>
              <w:spacing w:before="0" w:after="0"/>
              <w:ind w:left="0" w:right="0" w:hanging="0"/>
              <w:jc w:val="right"/>
              <w:rPr/>
            </w:pPr>
            <w:r>
              <w:rPr/>
              <w:t>514</w:t>
            </w:r>
          </w:p>
        </w:tc>
        <w:tc>
          <w:tcPr>
            <w:tcW w:w="234" w:type="dxa"/>
            <w:tcBorders/>
            <w:vAlign w:val="center"/>
          </w:tcPr>
          <w:p>
            <w:pPr>
              <w:pStyle w:val="TableContents"/>
              <w:pBdr/>
              <w:bidi w:val="0"/>
              <w:spacing w:before="0" w:after="0"/>
              <w:ind w:left="0" w:right="0" w:hanging="0"/>
              <w:jc w:val="left"/>
              <w:rPr/>
            </w:pPr>
            <w:r>
              <w:rPr/>
              <w:t xml:space="preserve">  </w:t>
            </w:r>
          </w:p>
        </w:tc>
      </w:tr>
      <w:tr>
        <w:trPr/>
        <w:tc>
          <w:tcPr>
            <w:tcW w:w="6121"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Total operating lease liabilities </w:t>
            </w:r>
          </w:p>
        </w:tc>
        <w:tc>
          <w:tcPr>
            <w:tcW w:w="119" w:type="dxa"/>
            <w:tcBorders/>
            <w:shd w:fill="CCEEFF" w:val="clear"/>
            <w:vAlign w:val="center"/>
          </w:tcPr>
          <w:p>
            <w:pPr>
              <w:pStyle w:val="TableContents"/>
              <w:pBdr/>
              <w:bidi w:val="0"/>
              <w:spacing w:before="0" w:after="0"/>
              <w:ind w:left="0" w:right="0" w:hanging="0"/>
              <w:jc w:val="left"/>
              <w:rPr/>
            </w:pPr>
            <w:r>
              <w:rPr/>
              <w:t xml:space="preserve">  </w:t>
            </w:r>
          </w:p>
        </w:tc>
        <w:tc>
          <w:tcPr>
            <w:tcW w:w="415"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306" w:type="dxa"/>
            <w:tcBorders/>
            <w:shd w:fill="CCEEFF" w:val="clear"/>
            <w:vAlign w:val="center"/>
          </w:tcPr>
          <w:p>
            <w:pPr>
              <w:pStyle w:val="TableContents"/>
              <w:pBdr/>
              <w:bidi w:val="0"/>
              <w:spacing w:before="0" w:after="0"/>
              <w:ind w:left="0" w:right="0" w:hanging="0"/>
              <w:jc w:val="right"/>
              <w:rPr/>
            </w:pPr>
            <w:r>
              <w:rPr/>
              <w:t>566</w:t>
            </w:r>
          </w:p>
        </w:tc>
        <w:tc>
          <w:tcPr>
            <w:tcW w:w="215" w:type="dxa"/>
            <w:tcBorders/>
            <w:shd w:fill="CCEEFF" w:val="clear"/>
            <w:vAlign w:val="center"/>
          </w:tcPr>
          <w:p>
            <w:pPr>
              <w:pStyle w:val="TableContents"/>
              <w:pBdr/>
              <w:bidi w:val="0"/>
              <w:spacing w:before="0" w:after="0"/>
              <w:ind w:left="0" w:right="0" w:hanging="0"/>
              <w:jc w:val="left"/>
              <w:rPr/>
            </w:pPr>
            <w:r>
              <w:rPr/>
              <w:t xml:space="preserve">  </w:t>
            </w:r>
          </w:p>
        </w:tc>
        <w:tc>
          <w:tcPr>
            <w:tcW w:w="119" w:type="dxa"/>
            <w:tcBorders/>
            <w:shd w:fill="CCEEFF" w:val="clear"/>
            <w:vAlign w:val="center"/>
          </w:tcPr>
          <w:p>
            <w:pPr>
              <w:pStyle w:val="TableContents"/>
              <w:pBdr/>
              <w:bidi w:val="0"/>
              <w:spacing w:before="0" w:after="0"/>
              <w:ind w:left="0" w:right="0" w:hanging="0"/>
              <w:jc w:val="left"/>
              <w:rPr/>
            </w:pPr>
            <w:r>
              <w:rPr/>
              <w:t xml:space="preserve">  </w:t>
            </w:r>
          </w:p>
        </w:tc>
        <w:tc>
          <w:tcPr>
            <w:tcW w:w="404"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272" w:type="dxa"/>
            <w:tcBorders/>
            <w:shd w:fill="CCEEFF" w:val="clear"/>
            <w:vAlign w:val="center"/>
          </w:tcPr>
          <w:p>
            <w:pPr>
              <w:pStyle w:val="TableContents"/>
              <w:pBdr/>
              <w:bidi w:val="0"/>
              <w:spacing w:before="0" w:after="0"/>
              <w:ind w:left="0" w:right="0" w:hanging="0"/>
              <w:jc w:val="right"/>
              <w:rPr/>
            </w:pPr>
            <w:r>
              <w:rPr/>
              <w:t>771</w:t>
            </w:r>
          </w:p>
        </w:tc>
        <w:tc>
          <w:tcPr>
            <w:tcW w:w="234" w:type="dxa"/>
            <w:tcBorders/>
            <w:shd w:fill="CCEEFF" w:val="clear"/>
            <w:vAlign w:val="center"/>
          </w:tcPr>
          <w:p>
            <w:pPr>
              <w:pStyle w:val="TableContents"/>
              <w:pBdr/>
              <w:bidi w:val="0"/>
              <w:spacing w:before="0" w:after="0"/>
              <w:ind w:left="0" w:right="0" w:hanging="0"/>
              <w:jc w:val="left"/>
              <w:rPr/>
            </w:pPr>
            <w:r>
              <w:rPr/>
              <w:t xml:space="preserve">  </w:t>
            </w:r>
          </w:p>
        </w:tc>
      </w:tr>
      <w:tr>
        <w:trPr/>
        <w:tc>
          <w:tcPr>
            <w:tcW w:w="6121" w:type="dxa"/>
            <w:tcBorders/>
            <w:vAlign w:val="center"/>
          </w:tcPr>
          <w:p>
            <w:pPr>
              <w:pStyle w:val="TableContents"/>
              <w:bidi w:val="0"/>
              <w:spacing w:before="0" w:after="0"/>
              <w:ind w:left="0" w:right="0" w:hanging="0"/>
              <w:jc w:val="left"/>
              <w:rPr/>
            </w:pPr>
            <w:r>
              <w:rPr/>
              <w:t xml:space="preserve">  </w:t>
            </w:r>
          </w:p>
        </w:tc>
        <w:tc>
          <w:tcPr>
            <w:tcW w:w="119" w:type="dxa"/>
            <w:tcBorders/>
            <w:vAlign w:val="center"/>
          </w:tcPr>
          <w:p>
            <w:pPr>
              <w:pStyle w:val="TableContents"/>
              <w:pBdr/>
              <w:bidi w:val="0"/>
              <w:spacing w:before="0" w:after="0"/>
              <w:ind w:left="0" w:right="0" w:hanging="0"/>
              <w:jc w:val="left"/>
              <w:rPr/>
            </w:pPr>
            <w:r>
              <w:rPr/>
              <w:t xml:space="preserve">  </w:t>
            </w:r>
          </w:p>
        </w:tc>
        <w:tc>
          <w:tcPr>
            <w:tcW w:w="415" w:type="dxa"/>
            <w:tcBorders/>
            <w:vAlign w:val="center"/>
          </w:tcPr>
          <w:p>
            <w:pPr>
              <w:pStyle w:val="TableContents"/>
              <w:pBdr/>
              <w:bidi w:val="0"/>
              <w:spacing w:before="0" w:after="0"/>
              <w:ind w:left="0" w:right="0" w:hanging="0"/>
              <w:jc w:val="left"/>
              <w:rPr/>
            </w:pPr>
            <w:r>
              <w:rPr/>
              <w:t xml:space="preserve">  </w:t>
            </w:r>
          </w:p>
        </w:tc>
        <w:tc>
          <w:tcPr>
            <w:tcW w:w="1306" w:type="dxa"/>
            <w:tcBorders/>
            <w:vAlign w:val="center"/>
          </w:tcPr>
          <w:p>
            <w:pPr>
              <w:pStyle w:val="TableContents"/>
              <w:pBdr/>
              <w:bidi w:val="0"/>
              <w:spacing w:before="0" w:after="0"/>
              <w:ind w:left="0" w:right="0" w:hanging="0"/>
              <w:jc w:val="left"/>
              <w:rPr/>
            </w:pPr>
            <w:r>
              <w:rPr/>
              <w:t xml:space="preserve">  </w:t>
            </w:r>
          </w:p>
        </w:tc>
        <w:tc>
          <w:tcPr>
            <w:tcW w:w="215" w:type="dxa"/>
            <w:tcBorders/>
            <w:vAlign w:val="center"/>
          </w:tcPr>
          <w:p>
            <w:pPr>
              <w:pStyle w:val="TableContents"/>
              <w:pBdr/>
              <w:bidi w:val="0"/>
              <w:spacing w:before="0" w:after="0"/>
              <w:ind w:left="0" w:right="0" w:hanging="0"/>
              <w:jc w:val="left"/>
              <w:rPr/>
            </w:pPr>
            <w:r>
              <w:rPr/>
              <w:t xml:space="preserve">  </w:t>
            </w:r>
          </w:p>
        </w:tc>
        <w:tc>
          <w:tcPr>
            <w:tcW w:w="119" w:type="dxa"/>
            <w:tcBorders/>
            <w:vAlign w:val="center"/>
          </w:tcPr>
          <w:p>
            <w:pPr>
              <w:pStyle w:val="TableContents"/>
              <w:pBdr/>
              <w:bidi w:val="0"/>
              <w:spacing w:before="0" w:after="0"/>
              <w:ind w:left="0" w:right="0" w:hanging="0"/>
              <w:jc w:val="left"/>
              <w:rPr/>
            </w:pPr>
            <w:r>
              <w:rPr/>
              <w:t xml:space="preserve">  </w:t>
            </w:r>
          </w:p>
        </w:tc>
        <w:tc>
          <w:tcPr>
            <w:tcW w:w="404" w:type="dxa"/>
            <w:tcBorders/>
            <w:vAlign w:val="center"/>
          </w:tcPr>
          <w:p>
            <w:pPr>
              <w:pStyle w:val="TableContents"/>
              <w:pBdr/>
              <w:bidi w:val="0"/>
              <w:spacing w:before="0" w:after="0"/>
              <w:ind w:left="0" w:right="0" w:hanging="0"/>
              <w:jc w:val="left"/>
              <w:rPr/>
            </w:pPr>
            <w:r>
              <w:rPr/>
              <w:t xml:space="preserve">  </w:t>
            </w:r>
          </w:p>
        </w:tc>
        <w:tc>
          <w:tcPr>
            <w:tcW w:w="1272" w:type="dxa"/>
            <w:tcBorders/>
            <w:vAlign w:val="center"/>
          </w:tcPr>
          <w:p>
            <w:pPr>
              <w:pStyle w:val="TableContents"/>
              <w:pBdr/>
              <w:bidi w:val="0"/>
              <w:spacing w:before="0" w:after="0"/>
              <w:ind w:left="0" w:right="0" w:hanging="0"/>
              <w:jc w:val="left"/>
              <w:rPr/>
            </w:pPr>
            <w:r>
              <w:rPr/>
              <w:t xml:space="preserve">  </w:t>
            </w:r>
          </w:p>
        </w:tc>
        <w:tc>
          <w:tcPr>
            <w:tcW w:w="234" w:type="dxa"/>
            <w:tcBorders/>
            <w:vAlign w:val="center"/>
          </w:tcPr>
          <w:p>
            <w:pPr>
              <w:pStyle w:val="TableContents"/>
              <w:pBdr/>
              <w:bidi w:val="0"/>
              <w:spacing w:before="0" w:after="0"/>
              <w:ind w:left="0" w:right="0" w:hanging="0"/>
              <w:jc w:val="left"/>
              <w:rPr/>
            </w:pPr>
            <w:r>
              <w:rPr/>
              <w:t xml:space="preserve">  </w:t>
            </w:r>
          </w:p>
        </w:tc>
      </w:tr>
      <w:tr>
        <w:trPr/>
        <w:tc>
          <w:tcPr>
            <w:tcW w:w="6121" w:type="dxa"/>
            <w:tcBorders/>
            <w:shd w:fill="CCEEFF" w:val="clear"/>
            <w:vAlign w:val="center"/>
          </w:tcPr>
          <w:p>
            <w:pPr>
              <w:pStyle w:val="TableContents"/>
              <w:bidi w:val="0"/>
              <w:spacing w:before="0" w:after="283"/>
              <w:ind w:left="0" w:right="0" w:hanging="0"/>
              <w:jc w:val="left"/>
              <w:rPr>
                <w:rFonts w:ascii="Times New Roman;serif" w:hAnsi="Times New Roman;serif"/>
                <w:sz w:val="20"/>
              </w:rPr>
            </w:pPr>
            <w:r>
              <w:rPr>
                <w:rFonts w:ascii="Times New Roman;serif" w:hAnsi="Times New Roman;serif"/>
                <w:sz w:val="20"/>
              </w:rPr>
              <w:t>Weighted average remaining lease term for operating leases (in years) </w:t>
            </w:r>
          </w:p>
        </w:tc>
        <w:tc>
          <w:tcPr>
            <w:tcW w:w="119" w:type="dxa"/>
            <w:tcBorders/>
            <w:shd w:fill="CCEEFF" w:val="clear"/>
            <w:vAlign w:val="center"/>
          </w:tcPr>
          <w:p>
            <w:pPr>
              <w:pStyle w:val="TableContents"/>
              <w:bidi w:val="0"/>
              <w:spacing w:before="0" w:after="283"/>
              <w:ind w:left="0" w:right="0" w:hanging="0"/>
              <w:jc w:val="left"/>
              <w:rPr/>
            </w:pPr>
            <w:r>
              <w:rPr/>
            </w:r>
          </w:p>
        </w:tc>
        <w:tc>
          <w:tcPr>
            <w:tcW w:w="415" w:type="dxa"/>
            <w:tcBorders/>
            <w:shd w:fill="CCEEFF" w:val="clear"/>
            <w:vAlign w:val="center"/>
          </w:tcPr>
          <w:p>
            <w:pPr>
              <w:pStyle w:val="TableContents"/>
              <w:bidi w:val="0"/>
              <w:spacing w:before="0" w:after="283"/>
              <w:ind w:left="0" w:right="0" w:hanging="0"/>
              <w:jc w:val="left"/>
              <w:rPr/>
            </w:pPr>
            <w:r>
              <w:rPr/>
            </w:r>
          </w:p>
        </w:tc>
        <w:tc>
          <w:tcPr>
            <w:tcW w:w="1306" w:type="dxa"/>
            <w:tcBorders/>
            <w:shd w:fill="CCEEFF" w:val="clear"/>
            <w:vAlign w:val="center"/>
          </w:tcPr>
          <w:p>
            <w:pPr>
              <w:pStyle w:val="TableContents"/>
              <w:bidi w:val="0"/>
              <w:spacing w:before="0" w:after="0"/>
              <w:ind w:left="0" w:right="0" w:hanging="0"/>
              <w:jc w:val="right"/>
              <w:rPr/>
            </w:pPr>
            <w:r>
              <w:rPr/>
              <w:t>2.42</w:t>
            </w:r>
          </w:p>
        </w:tc>
        <w:tc>
          <w:tcPr>
            <w:tcW w:w="215" w:type="dxa"/>
            <w:tcBorders/>
            <w:shd w:fill="CCEEFF" w:val="clear"/>
            <w:vAlign w:val="center"/>
          </w:tcPr>
          <w:p>
            <w:pPr>
              <w:pStyle w:val="TableContents"/>
              <w:bidi w:val="0"/>
              <w:spacing w:before="0" w:after="283"/>
              <w:ind w:left="0" w:right="0" w:hanging="0"/>
              <w:jc w:val="left"/>
              <w:rPr/>
            </w:pPr>
            <w:r>
              <w:rPr/>
            </w:r>
          </w:p>
        </w:tc>
        <w:tc>
          <w:tcPr>
            <w:tcW w:w="119" w:type="dxa"/>
            <w:tcBorders/>
            <w:shd w:fill="CCEEFF" w:val="clear"/>
            <w:vAlign w:val="center"/>
          </w:tcPr>
          <w:p>
            <w:pPr>
              <w:pStyle w:val="TableContents"/>
              <w:bidi w:val="0"/>
              <w:spacing w:before="0" w:after="283"/>
              <w:ind w:left="0" w:right="0" w:hanging="0"/>
              <w:jc w:val="left"/>
              <w:rPr/>
            </w:pPr>
            <w:r>
              <w:rPr/>
            </w:r>
          </w:p>
        </w:tc>
        <w:tc>
          <w:tcPr>
            <w:tcW w:w="404" w:type="dxa"/>
            <w:tcBorders/>
            <w:shd w:fill="CCEEFF" w:val="clear"/>
            <w:vAlign w:val="center"/>
          </w:tcPr>
          <w:p>
            <w:pPr>
              <w:pStyle w:val="TableContents"/>
              <w:bidi w:val="0"/>
              <w:spacing w:before="0" w:after="283"/>
              <w:ind w:left="0" w:right="0" w:hanging="0"/>
              <w:jc w:val="left"/>
              <w:rPr/>
            </w:pPr>
            <w:r>
              <w:rPr/>
            </w:r>
          </w:p>
        </w:tc>
        <w:tc>
          <w:tcPr>
            <w:tcW w:w="1272" w:type="dxa"/>
            <w:tcBorders/>
            <w:shd w:fill="CCEEFF" w:val="clear"/>
            <w:vAlign w:val="center"/>
          </w:tcPr>
          <w:p>
            <w:pPr>
              <w:pStyle w:val="TableContents"/>
              <w:bidi w:val="0"/>
              <w:spacing w:before="0" w:after="0"/>
              <w:ind w:left="0" w:right="0" w:hanging="0"/>
              <w:jc w:val="right"/>
              <w:rPr/>
            </w:pPr>
            <w:r>
              <w:rPr/>
              <w:t>2.99</w:t>
            </w:r>
          </w:p>
        </w:tc>
        <w:tc>
          <w:tcPr>
            <w:tcW w:w="234" w:type="dxa"/>
            <w:tcBorders/>
            <w:shd w:fill="CCEEFF" w:val="clear"/>
            <w:vAlign w:val="center"/>
          </w:tcPr>
          <w:p>
            <w:pPr>
              <w:pStyle w:val="TableContents"/>
              <w:bidi w:val="0"/>
              <w:spacing w:before="0" w:after="283"/>
              <w:jc w:val="left"/>
              <w:rPr/>
            </w:pPr>
            <w:r>
              <w:rPr/>
            </w:r>
          </w:p>
        </w:tc>
      </w:tr>
      <w:tr>
        <w:trPr/>
        <w:tc>
          <w:tcPr>
            <w:tcW w:w="6121" w:type="dxa"/>
            <w:tcBorders/>
            <w:vAlign w:val="center"/>
          </w:tcPr>
          <w:p>
            <w:pPr>
              <w:pStyle w:val="TableContents"/>
              <w:bidi w:val="0"/>
              <w:spacing w:before="0" w:after="283"/>
              <w:ind w:left="0" w:right="0" w:hanging="0"/>
              <w:jc w:val="left"/>
              <w:rPr>
                <w:rFonts w:ascii="Times New Roman;serif" w:hAnsi="Times New Roman;serif"/>
                <w:sz w:val="20"/>
              </w:rPr>
            </w:pPr>
            <w:r>
              <w:rPr>
                <w:rFonts w:ascii="Times New Roman;serif" w:hAnsi="Times New Roman;serif"/>
                <w:sz w:val="20"/>
              </w:rPr>
              <w:t xml:space="preserve">Weighted average discount rate for operating leases </w:t>
            </w:r>
          </w:p>
        </w:tc>
        <w:tc>
          <w:tcPr>
            <w:tcW w:w="119" w:type="dxa"/>
            <w:tcBorders/>
            <w:vAlign w:val="center"/>
          </w:tcPr>
          <w:p>
            <w:pPr>
              <w:pStyle w:val="TableContents"/>
              <w:bidi w:val="0"/>
              <w:spacing w:before="0" w:after="283"/>
              <w:ind w:left="0" w:right="0" w:hanging="0"/>
              <w:jc w:val="left"/>
              <w:rPr/>
            </w:pPr>
            <w:r>
              <w:rPr/>
            </w:r>
          </w:p>
        </w:tc>
        <w:tc>
          <w:tcPr>
            <w:tcW w:w="415" w:type="dxa"/>
            <w:tcBorders/>
            <w:vAlign w:val="center"/>
          </w:tcPr>
          <w:p>
            <w:pPr>
              <w:pStyle w:val="TableContents"/>
              <w:bidi w:val="0"/>
              <w:spacing w:before="0" w:after="283"/>
              <w:ind w:left="0" w:right="0" w:hanging="0"/>
              <w:jc w:val="left"/>
              <w:rPr/>
            </w:pPr>
            <w:r>
              <w:rPr/>
            </w:r>
          </w:p>
        </w:tc>
        <w:tc>
          <w:tcPr>
            <w:tcW w:w="1306" w:type="dxa"/>
            <w:tcBorders/>
            <w:vAlign w:val="center"/>
          </w:tcPr>
          <w:p>
            <w:pPr>
              <w:pStyle w:val="TableContents"/>
              <w:bidi w:val="0"/>
              <w:spacing w:before="0" w:after="0"/>
              <w:ind w:left="0" w:right="0" w:hanging="0"/>
              <w:jc w:val="right"/>
              <w:rPr/>
            </w:pPr>
            <w:r>
              <w:rPr/>
              <w:t>6.75</w:t>
            </w:r>
          </w:p>
        </w:tc>
        <w:tc>
          <w:tcPr>
            <w:tcW w:w="215" w:type="dxa"/>
            <w:tcBorders/>
            <w:vAlign w:val="center"/>
          </w:tcPr>
          <w:p>
            <w:pPr>
              <w:pStyle w:val="TableContents"/>
              <w:bidi w:val="0"/>
              <w:spacing w:before="0" w:after="0"/>
              <w:ind w:left="0" w:right="0" w:hanging="0"/>
              <w:jc w:val="left"/>
              <w:rPr/>
            </w:pPr>
            <w:r>
              <w:rPr/>
              <w:t>%</w:t>
            </w:r>
          </w:p>
        </w:tc>
        <w:tc>
          <w:tcPr>
            <w:tcW w:w="119" w:type="dxa"/>
            <w:tcBorders/>
            <w:vAlign w:val="center"/>
          </w:tcPr>
          <w:p>
            <w:pPr>
              <w:pStyle w:val="TableContents"/>
              <w:bidi w:val="0"/>
              <w:spacing w:before="0" w:after="283"/>
              <w:ind w:left="0" w:right="0" w:hanging="0"/>
              <w:jc w:val="left"/>
              <w:rPr/>
            </w:pPr>
            <w:r>
              <w:rPr/>
            </w:r>
          </w:p>
        </w:tc>
        <w:tc>
          <w:tcPr>
            <w:tcW w:w="404" w:type="dxa"/>
            <w:tcBorders/>
            <w:vAlign w:val="center"/>
          </w:tcPr>
          <w:p>
            <w:pPr>
              <w:pStyle w:val="TableContents"/>
              <w:bidi w:val="0"/>
              <w:spacing w:before="0" w:after="283"/>
              <w:ind w:left="0" w:right="0" w:hanging="0"/>
              <w:jc w:val="left"/>
              <w:rPr/>
            </w:pPr>
            <w:r>
              <w:rPr/>
            </w:r>
          </w:p>
        </w:tc>
        <w:tc>
          <w:tcPr>
            <w:tcW w:w="1272" w:type="dxa"/>
            <w:tcBorders/>
            <w:vAlign w:val="center"/>
          </w:tcPr>
          <w:p>
            <w:pPr>
              <w:pStyle w:val="TableContents"/>
              <w:bidi w:val="0"/>
              <w:spacing w:before="0" w:after="0"/>
              <w:ind w:left="0" w:right="0" w:hanging="0"/>
              <w:jc w:val="right"/>
              <w:rPr/>
            </w:pPr>
            <w:r>
              <w:rPr/>
              <w:t>6.59</w:t>
            </w:r>
          </w:p>
        </w:tc>
        <w:tc>
          <w:tcPr>
            <w:tcW w:w="234" w:type="dxa"/>
            <w:tcBorders/>
            <w:vAlign w:val="center"/>
          </w:tcPr>
          <w:p>
            <w:pPr>
              <w:pStyle w:val="TableContents"/>
              <w:bidi w:val="0"/>
              <w:spacing w:before="0" w:after="0"/>
              <w:jc w:val="left"/>
              <w:rPr/>
            </w:pPr>
            <w:r>
              <w:rPr/>
              <w:t>%</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 xml:space="preserve">The following represents maturities of operating lease liabilities as of </w:t>
      </w:r>
      <w:bookmarkStart w:id="242" w:name="fs_7DDQ1YXCJK00000000000000000000FM"/>
      <w:bookmarkEnd w:id="242"/>
      <w:r>
        <w:rPr>
          <w:rFonts w:ascii="Times New Roman" w:hAnsi="Times New Roman"/>
          <w:sz w:val="20"/>
        </w:rPr>
        <w:t>September 30, 2025:</w:t>
      </w:r>
    </w:p>
    <w:p>
      <w:pPr>
        <w:pStyle w:val="TextBody"/>
        <w:bidi w:val="0"/>
        <w:spacing w:lineRule="auto" w:line="288" w:before="0" w:after="0"/>
        <w:ind w:left="144" w:right="144"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7634"/>
        <w:gridCol w:w="383"/>
        <w:gridCol w:w="543"/>
        <w:gridCol w:w="1213"/>
        <w:gridCol w:w="432"/>
      </w:tblGrid>
      <w:tr>
        <w:trPr/>
        <w:tc>
          <w:tcPr>
            <w:tcW w:w="7634"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 xml:space="preserve">Years ending </w:t>
            </w:r>
            <w:bookmarkStart w:id="243" w:name="fs_JGR0PCZIG000000000000000000000FM"/>
            <w:bookmarkEnd w:id="243"/>
            <w:r>
              <w:rPr>
                <w:rFonts w:ascii="Times New Roman" w:hAnsi="Times New Roman"/>
                <w:b/>
                <w:sz w:val="20"/>
              </w:rPr>
              <w:t xml:space="preserve">December 31, </w:t>
            </w:r>
          </w:p>
        </w:tc>
        <w:tc>
          <w:tcPr>
            <w:tcW w:w="383" w:type="dxa"/>
            <w:tcBorders/>
            <w:shd w:fill="CCEEFF" w:val="clear"/>
            <w:vAlign w:val="center"/>
          </w:tcPr>
          <w:p>
            <w:pPr>
              <w:pStyle w:val="TableContents"/>
              <w:bidi w:val="0"/>
              <w:spacing w:before="0" w:after="0"/>
              <w:ind w:left="0" w:right="0" w:hanging="0"/>
              <w:jc w:val="left"/>
              <w:rPr/>
            </w:pPr>
            <w:r>
              <w:rPr/>
              <w:t xml:space="preserve">  </w:t>
            </w:r>
          </w:p>
        </w:tc>
        <w:tc>
          <w:tcPr>
            <w:tcW w:w="543" w:type="dxa"/>
            <w:tcBorders/>
            <w:shd w:fill="CCEEFF" w:val="clear"/>
            <w:vAlign w:val="center"/>
          </w:tcPr>
          <w:p>
            <w:pPr>
              <w:pStyle w:val="TableContents"/>
              <w:bidi w:val="0"/>
              <w:spacing w:before="0" w:after="0"/>
              <w:ind w:left="0" w:right="0" w:hanging="0"/>
              <w:jc w:val="left"/>
              <w:rPr/>
            </w:pPr>
            <w:r>
              <w:rPr/>
              <w:t xml:space="preserve">  </w:t>
            </w:r>
          </w:p>
        </w:tc>
        <w:tc>
          <w:tcPr>
            <w:tcW w:w="1213" w:type="dxa"/>
            <w:tcBorders/>
            <w:shd w:fill="CCEEFF" w:val="clear"/>
            <w:vAlign w:val="center"/>
          </w:tcPr>
          <w:p>
            <w:pPr>
              <w:pStyle w:val="TableContents"/>
              <w:bidi w:val="0"/>
              <w:spacing w:before="0" w:after="0"/>
              <w:ind w:left="0" w:right="0" w:hanging="0"/>
              <w:jc w:val="left"/>
              <w:rPr/>
            </w:pPr>
            <w:r>
              <w:rPr/>
              <w:t xml:space="preserve">  </w:t>
            </w:r>
          </w:p>
        </w:tc>
        <w:tc>
          <w:tcPr>
            <w:tcW w:w="432" w:type="dxa"/>
            <w:tcBorders/>
            <w:shd w:fill="CCEEFF" w:val="clear"/>
            <w:vAlign w:val="center"/>
          </w:tcPr>
          <w:p>
            <w:pPr>
              <w:pStyle w:val="TableContents"/>
              <w:bidi w:val="0"/>
              <w:spacing w:before="0" w:after="0"/>
              <w:ind w:left="0" w:right="0" w:hanging="0"/>
              <w:jc w:val="left"/>
              <w:rPr/>
            </w:pPr>
            <w:r>
              <w:rPr/>
              <w:t xml:space="preserve">  </w:t>
            </w:r>
          </w:p>
        </w:tc>
      </w:tr>
      <w:tr>
        <w:trPr/>
        <w:tc>
          <w:tcPr>
            <w:tcW w:w="7634" w:type="dxa"/>
            <w:tcBorders/>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2025 (Remainder</w:t>
            </w:r>
            <w:r>
              <w:rPr>
                <w:rFonts w:ascii="Times New Roman" w:hAnsi="Times New Roman"/>
                <w:sz w:val="20"/>
              </w:rPr>
              <w:t>)</w:t>
            </w:r>
          </w:p>
        </w:tc>
        <w:tc>
          <w:tcPr>
            <w:tcW w:w="383" w:type="dxa"/>
            <w:tcBorders/>
            <w:vAlign w:val="center"/>
          </w:tcPr>
          <w:p>
            <w:pPr>
              <w:pStyle w:val="TableContents"/>
              <w:bidi w:val="0"/>
              <w:spacing w:before="0" w:after="0"/>
              <w:ind w:left="0" w:right="0" w:hanging="0"/>
              <w:jc w:val="left"/>
              <w:rPr/>
            </w:pPr>
            <w:r>
              <w:rPr/>
              <w:t xml:space="preserve">  </w:t>
            </w:r>
          </w:p>
        </w:tc>
        <w:tc>
          <w:tcPr>
            <w:tcW w:w="543"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213" w:type="dxa"/>
            <w:tcBorders/>
            <w:vAlign w:val="center"/>
          </w:tcPr>
          <w:p>
            <w:pPr>
              <w:pStyle w:val="TableContents"/>
              <w:bidi w:val="0"/>
              <w:spacing w:before="0" w:after="283"/>
              <w:jc w:val="right"/>
              <w:rPr/>
            </w:pPr>
            <w:r>
              <w:rPr/>
              <w:t>61</w:t>
            </w:r>
          </w:p>
        </w:tc>
        <w:tc>
          <w:tcPr>
            <w:tcW w:w="432" w:type="dxa"/>
            <w:tcBorders/>
            <w:vAlign w:val="center"/>
          </w:tcPr>
          <w:p>
            <w:pPr>
              <w:pStyle w:val="TableContents"/>
              <w:bidi w:val="0"/>
              <w:spacing w:before="0" w:after="0"/>
              <w:ind w:left="0" w:right="0" w:hanging="0"/>
              <w:jc w:val="left"/>
              <w:rPr/>
            </w:pPr>
            <w:r>
              <w:rPr/>
              <w:t xml:space="preserve">  </w:t>
            </w:r>
          </w:p>
        </w:tc>
      </w:tr>
      <w:tr>
        <w:trPr/>
        <w:tc>
          <w:tcPr>
            <w:tcW w:w="7634" w:type="dxa"/>
            <w:tcBorders/>
            <w:shd w:fill="CCEEFF" w:val="clear"/>
            <w:vAlign w:val="center"/>
          </w:tcPr>
          <w:p>
            <w:pPr>
              <w:pStyle w:val="TableContents"/>
              <w:bidi w:val="0"/>
              <w:spacing w:before="0" w:after="0"/>
              <w:ind w:left="180" w:right="0" w:hanging="0"/>
              <w:jc w:val="left"/>
              <w:rPr>
                <w:rFonts w:ascii="Times New Roman" w:hAnsi="Times New Roman"/>
                <w:sz w:val="20"/>
              </w:rPr>
            </w:pPr>
            <w:bookmarkStart w:id="244" w:name="fs_V78XAEBOJK00000000000000000000fs"/>
            <w:bookmarkEnd w:id="244"/>
            <w:r>
              <w:rPr>
                <w:rFonts w:ascii="Times New Roman" w:hAnsi="Times New Roman"/>
                <w:sz w:val="20"/>
              </w:rPr>
              <w:t xml:space="preserve">2026 </w:t>
            </w:r>
          </w:p>
        </w:tc>
        <w:tc>
          <w:tcPr>
            <w:tcW w:w="383" w:type="dxa"/>
            <w:tcBorders/>
            <w:shd w:fill="CCEEFF" w:val="clear"/>
            <w:vAlign w:val="center"/>
          </w:tcPr>
          <w:p>
            <w:pPr>
              <w:pStyle w:val="TableContents"/>
              <w:bidi w:val="0"/>
              <w:spacing w:before="0" w:after="0"/>
              <w:ind w:left="0" w:right="0" w:hanging="0"/>
              <w:jc w:val="left"/>
              <w:rPr/>
            </w:pPr>
            <w:r>
              <w:rPr/>
              <w:t xml:space="preserve">  </w:t>
            </w:r>
          </w:p>
        </w:tc>
        <w:tc>
          <w:tcPr>
            <w:tcW w:w="543" w:type="dxa"/>
            <w:tcBorders/>
            <w:shd w:fill="CCEEFF" w:val="clear"/>
            <w:vAlign w:val="center"/>
          </w:tcPr>
          <w:p>
            <w:pPr>
              <w:pStyle w:val="TableContents"/>
              <w:bidi w:val="0"/>
              <w:spacing w:before="0" w:after="0"/>
              <w:ind w:left="0" w:right="0" w:hanging="0"/>
              <w:jc w:val="left"/>
              <w:rPr/>
            </w:pPr>
            <w:r>
              <w:rPr/>
              <w:t xml:space="preserve">  </w:t>
            </w:r>
          </w:p>
        </w:tc>
        <w:tc>
          <w:tcPr>
            <w:tcW w:w="121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251 </w:t>
            </w:r>
          </w:p>
        </w:tc>
        <w:tc>
          <w:tcPr>
            <w:tcW w:w="432" w:type="dxa"/>
            <w:tcBorders/>
            <w:shd w:fill="CCEEFF" w:val="clear"/>
            <w:vAlign w:val="center"/>
          </w:tcPr>
          <w:p>
            <w:pPr>
              <w:pStyle w:val="TableContents"/>
              <w:bidi w:val="0"/>
              <w:spacing w:before="0" w:after="0"/>
              <w:ind w:left="0" w:right="0" w:hanging="0"/>
              <w:jc w:val="left"/>
              <w:rPr/>
            </w:pPr>
            <w:r>
              <w:rPr/>
              <w:t xml:space="preserve">  </w:t>
            </w:r>
          </w:p>
        </w:tc>
      </w:tr>
      <w:tr>
        <w:trPr/>
        <w:tc>
          <w:tcPr>
            <w:tcW w:w="7634" w:type="dxa"/>
            <w:tcBorders/>
            <w:vAlign w:val="center"/>
          </w:tcPr>
          <w:p>
            <w:pPr>
              <w:pStyle w:val="TableContents"/>
              <w:bidi w:val="0"/>
              <w:spacing w:before="0" w:after="0"/>
              <w:ind w:left="180" w:right="0" w:hanging="0"/>
              <w:jc w:val="left"/>
              <w:rPr>
                <w:rFonts w:ascii="Times New Roman" w:hAnsi="Times New Roman"/>
                <w:sz w:val="20"/>
              </w:rPr>
            </w:pPr>
            <w:bookmarkStart w:id="245" w:name="fs_Y7V8Y2WRPC00000000000000000000fs"/>
            <w:bookmarkEnd w:id="245"/>
            <w:r>
              <w:rPr>
                <w:rFonts w:ascii="Times New Roman" w:hAnsi="Times New Roman"/>
                <w:sz w:val="20"/>
              </w:rPr>
              <w:t xml:space="preserve">2027 </w:t>
            </w:r>
          </w:p>
        </w:tc>
        <w:tc>
          <w:tcPr>
            <w:tcW w:w="383" w:type="dxa"/>
            <w:tcBorders/>
            <w:vAlign w:val="center"/>
          </w:tcPr>
          <w:p>
            <w:pPr>
              <w:pStyle w:val="TableContents"/>
              <w:bidi w:val="0"/>
              <w:spacing w:before="0" w:after="0"/>
              <w:ind w:left="0" w:right="0" w:hanging="0"/>
              <w:jc w:val="left"/>
              <w:rPr/>
            </w:pPr>
            <w:r>
              <w:rPr/>
              <w:t xml:space="preserve">  </w:t>
            </w:r>
          </w:p>
        </w:tc>
        <w:tc>
          <w:tcPr>
            <w:tcW w:w="543" w:type="dxa"/>
            <w:tcBorders/>
            <w:vAlign w:val="center"/>
          </w:tcPr>
          <w:p>
            <w:pPr>
              <w:pStyle w:val="TableContents"/>
              <w:bidi w:val="0"/>
              <w:spacing w:before="0" w:after="0"/>
              <w:ind w:left="0" w:right="0" w:hanging="0"/>
              <w:jc w:val="left"/>
              <w:rPr/>
            </w:pPr>
            <w:r>
              <w:rPr/>
              <w:t xml:space="preserve">  </w:t>
            </w:r>
          </w:p>
        </w:tc>
        <w:tc>
          <w:tcPr>
            <w:tcW w:w="1213"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259 </w:t>
            </w:r>
          </w:p>
        </w:tc>
        <w:tc>
          <w:tcPr>
            <w:tcW w:w="432" w:type="dxa"/>
            <w:tcBorders/>
            <w:vAlign w:val="center"/>
          </w:tcPr>
          <w:p>
            <w:pPr>
              <w:pStyle w:val="TableContents"/>
              <w:bidi w:val="0"/>
              <w:spacing w:before="0" w:after="0"/>
              <w:ind w:left="0" w:right="0" w:hanging="0"/>
              <w:jc w:val="left"/>
              <w:rPr/>
            </w:pPr>
            <w:r>
              <w:rPr/>
              <w:t xml:space="preserve">  </w:t>
            </w:r>
          </w:p>
        </w:tc>
      </w:tr>
      <w:tr>
        <w:trPr/>
        <w:tc>
          <w:tcPr>
            <w:tcW w:w="7634" w:type="dxa"/>
            <w:tcBorders/>
            <w:shd w:fill="CCEEFF" w:val="clear"/>
            <w:vAlign w:val="center"/>
          </w:tcPr>
          <w:p>
            <w:pPr>
              <w:pStyle w:val="TableContents"/>
              <w:bidi w:val="0"/>
              <w:spacing w:before="0" w:after="0"/>
              <w:ind w:left="180" w:right="0" w:hanging="0"/>
              <w:jc w:val="left"/>
              <w:rPr>
                <w:rFonts w:ascii="Times New Roman" w:hAnsi="Times New Roman"/>
                <w:sz w:val="20"/>
              </w:rPr>
            </w:pPr>
            <w:bookmarkStart w:id="246" w:name="fs_12ODJRNNQ800000000000000000000fs"/>
            <w:bookmarkEnd w:id="246"/>
            <w:r>
              <w:rPr>
                <w:rFonts w:ascii="Times New Roman" w:hAnsi="Times New Roman"/>
                <w:sz w:val="20"/>
              </w:rPr>
              <w:t xml:space="preserve">2028 </w:t>
            </w:r>
          </w:p>
        </w:tc>
        <w:tc>
          <w:tcPr>
            <w:tcW w:w="383" w:type="dxa"/>
            <w:tcBorders/>
            <w:shd w:fill="CCEEFF" w:val="clear"/>
            <w:vAlign w:val="center"/>
          </w:tcPr>
          <w:p>
            <w:pPr>
              <w:pStyle w:val="TableContents"/>
              <w:bidi w:val="0"/>
              <w:spacing w:before="0" w:after="0"/>
              <w:ind w:left="0" w:right="0" w:hanging="0"/>
              <w:jc w:val="left"/>
              <w:rPr/>
            </w:pPr>
            <w:r>
              <w:rPr/>
              <w:t xml:space="preserve">  </w:t>
            </w:r>
          </w:p>
        </w:tc>
        <w:tc>
          <w:tcPr>
            <w:tcW w:w="543" w:type="dxa"/>
            <w:tcBorders/>
            <w:shd w:fill="CCEEFF" w:val="clear"/>
            <w:vAlign w:val="center"/>
          </w:tcPr>
          <w:p>
            <w:pPr>
              <w:pStyle w:val="TableContents"/>
              <w:bidi w:val="0"/>
              <w:spacing w:before="0" w:after="0"/>
              <w:ind w:left="0" w:right="0" w:hanging="0"/>
              <w:jc w:val="left"/>
              <w:rPr/>
            </w:pPr>
            <w:r>
              <w:rPr/>
              <w:t xml:space="preserve">  </w:t>
            </w:r>
          </w:p>
        </w:tc>
        <w:tc>
          <w:tcPr>
            <w:tcW w:w="121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45 </w:t>
            </w:r>
          </w:p>
        </w:tc>
        <w:tc>
          <w:tcPr>
            <w:tcW w:w="432" w:type="dxa"/>
            <w:tcBorders/>
            <w:shd w:fill="CCEEFF" w:val="clear"/>
            <w:vAlign w:val="center"/>
          </w:tcPr>
          <w:p>
            <w:pPr>
              <w:pStyle w:val="TableContents"/>
              <w:bidi w:val="0"/>
              <w:spacing w:before="0" w:after="0"/>
              <w:ind w:left="0" w:right="0" w:hanging="0"/>
              <w:jc w:val="left"/>
              <w:rPr/>
            </w:pPr>
            <w:r>
              <w:rPr/>
              <w:t xml:space="preserve">  </w:t>
            </w:r>
          </w:p>
        </w:tc>
      </w:tr>
      <w:tr>
        <w:trPr/>
        <w:tc>
          <w:tcPr>
            <w:tcW w:w="7634" w:type="dxa"/>
            <w:tcBorders/>
            <w:vAlign w:val="center"/>
          </w:tcPr>
          <w:p>
            <w:pPr>
              <w:pStyle w:val="TableContents"/>
              <w:bidi w:val="0"/>
              <w:spacing w:before="0" w:after="0"/>
              <w:ind w:left="180" w:right="0" w:hanging="0"/>
              <w:jc w:val="left"/>
              <w:rPr>
                <w:rFonts w:ascii="Times New Roman" w:hAnsi="Times New Roman"/>
                <w:sz w:val="20"/>
              </w:rPr>
            </w:pPr>
            <w:bookmarkStart w:id="247" w:name="fs_YOKBEBOHC000000000000000000000fs"/>
            <w:bookmarkEnd w:id="247"/>
            <w:r>
              <w:rPr>
                <w:rFonts w:ascii="Times New Roman" w:hAnsi="Times New Roman"/>
                <w:sz w:val="20"/>
              </w:rPr>
              <w:t xml:space="preserve">2029 </w:t>
            </w:r>
          </w:p>
        </w:tc>
        <w:tc>
          <w:tcPr>
            <w:tcW w:w="383" w:type="dxa"/>
            <w:tcBorders/>
            <w:vAlign w:val="center"/>
          </w:tcPr>
          <w:p>
            <w:pPr>
              <w:pStyle w:val="TableContents"/>
              <w:bidi w:val="0"/>
              <w:spacing w:before="0" w:after="0"/>
              <w:ind w:left="0" w:right="0" w:hanging="0"/>
              <w:jc w:val="left"/>
              <w:rPr/>
            </w:pPr>
            <w:r>
              <w:rPr/>
              <w:t xml:space="preserve">  </w:t>
            </w:r>
          </w:p>
        </w:tc>
        <w:tc>
          <w:tcPr>
            <w:tcW w:w="543" w:type="dxa"/>
            <w:tcBorders/>
            <w:vAlign w:val="center"/>
          </w:tcPr>
          <w:p>
            <w:pPr>
              <w:pStyle w:val="TableContents"/>
              <w:bidi w:val="0"/>
              <w:spacing w:before="0" w:after="0"/>
              <w:ind w:left="0" w:right="0" w:hanging="0"/>
              <w:jc w:val="left"/>
              <w:rPr/>
            </w:pPr>
            <w:r>
              <w:rPr/>
              <w:t xml:space="preserve">  </w:t>
            </w:r>
          </w:p>
        </w:tc>
        <w:tc>
          <w:tcPr>
            <w:tcW w:w="1213" w:type="dxa"/>
            <w:tcBorders/>
            <w:vAlign w:val="center"/>
          </w:tcPr>
          <w:p>
            <w:pPr>
              <w:pStyle w:val="TableContents"/>
              <w:bidi w:val="0"/>
              <w:spacing w:before="0" w:after="0"/>
              <w:ind w:left="0" w:right="0" w:hanging="0"/>
              <w:jc w:val="right"/>
              <w:rPr/>
            </w:pPr>
            <w:r>
              <w:rPr/>
              <w:t xml:space="preserve">— </w:t>
            </w:r>
          </w:p>
        </w:tc>
        <w:tc>
          <w:tcPr>
            <w:tcW w:w="432" w:type="dxa"/>
            <w:tcBorders/>
            <w:vAlign w:val="center"/>
          </w:tcPr>
          <w:p>
            <w:pPr>
              <w:pStyle w:val="TableContents"/>
              <w:bidi w:val="0"/>
              <w:spacing w:before="0" w:after="0"/>
              <w:ind w:left="0" w:right="0" w:hanging="0"/>
              <w:jc w:val="left"/>
              <w:rPr/>
            </w:pPr>
            <w:r>
              <w:rPr/>
              <w:t xml:space="preserve">  </w:t>
            </w:r>
          </w:p>
        </w:tc>
      </w:tr>
      <w:tr>
        <w:trPr/>
        <w:tc>
          <w:tcPr>
            <w:tcW w:w="7634" w:type="dxa"/>
            <w:tcBorders/>
            <w:shd w:fill="CCEEFF" w:val="clear"/>
            <w:vAlign w:val="center"/>
          </w:tcPr>
          <w:p>
            <w:pPr>
              <w:pStyle w:val="TableContents"/>
              <w:bidi w:val="0"/>
              <w:spacing w:before="0" w:after="0"/>
              <w:ind w:left="720" w:right="0" w:hanging="0"/>
              <w:jc w:val="left"/>
              <w:rPr>
                <w:rFonts w:ascii="Times New Roman" w:hAnsi="Times New Roman"/>
                <w:sz w:val="20"/>
              </w:rPr>
            </w:pPr>
            <w:r>
              <w:rPr>
                <w:rFonts w:ascii="Times New Roman" w:hAnsi="Times New Roman"/>
                <w:sz w:val="20"/>
              </w:rPr>
              <w:t xml:space="preserve">Total lease payments </w:t>
            </w:r>
          </w:p>
        </w:tc>
        <w:tc>
          <w:tcPr>
            <w:tcW w:w="383" w:type="dxa"/>
            <w:tcBorders/>
            <w:shd w:fill="CCEEFF" w:val="clear"/>
            <w:vAlign w:val="center"/>
          </w:tcPr>
          <w:p>
            <w:pPr>
              <w:pStyle w:val="TableContents"/>
              <w:bidi w:val="0"/>
              <w:spacing w:before="0" w:after="0"/>
              <w:ind w:left="0" w:right="0" w:hanging="0"/>
              <w:jc w:val="left"/>
              <w:rPr/>
            </w:pPr>
            <w:r>
              <w:rPr/>
              <w:t xml:space="preserve">  </w:t>
            </w:r>
          </w:p>
        </w:tc>
        <w:tc>
          <w:tcPr>
            <w:tcW w:w="543" w:type="dxa"/>
            <w:tcBorders/>
            <w:shd w:fill="CCEEFF" w:val="clear"/>
            <w:vAlign w:val="center"/>
          </w:tcPr>
          <w:p>
            <w:pPr>
              <w:pStyle w:val="TableContents"/>
              <w:bidi w:val="0"/>
              <w:spacing w:before="0" w:after="0"/>
              <w:ind w:left="0" w:right="0" w:hanging="0"/>
              <w:jc w:val="left"/>
              <w:rPr/>
            </w:pPr>
            <w:r>
              <w:rPr/>
              <w:t xml:space="preserve">  </w:t>
            </w:r>
          </w:p>
        </w:tc>
        <w:tc>
          <w:tcPr>
            <w:tcW w:w="121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616 </w:t>
            </w:r>
          </w:p>
        </w:tc>
        <w:tc>
          <w:tcPr>
            <w:tcW w:w="432" w:type="dxa"/>
            <w:tcBorders/>
            <w:shd w:fill="CCEEFF" w:val="clear"/>
            <w:vAlign w:val="center"/>
          </w:tcPr>
          <w:p>
            <w:pPr>
              <w:pStyle w:val="TableContents"/>
              <w:bidi w:val="0"/>
              <w:spacing w:before="0" w:after="0"/>
              <w:ind w:left="0" w:right="0" w:hanging="0"/>
              <w:jc w:val="left"/>
              <w:rPr/>
            </w:pPr>
            <w:r>
              <w:rPr/>
              <w:t xml:space="preserve">  </w:t>
            </w:r>
          </w:p>
        </w:tc>
      </w:tr>
      <w:tr>
        <w:trPr/>
        <w:tc>
          <w:tcPr>
            <w:tcW w:w="7634" w:type="dxa"/>
            <w:tcBorders/>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 xml:space="preserve">Less: Imputed interest </w:t>
            </w:r>
          </w:p>
        </w:tc>
        <w:tc>
          <w:tcPr>
            <w:tcW w:w="383" w:type="dxa"/>
            <w:tcBorders/>
            <w:vAlign w:val="center"/>
          </w:tcPr>
          <w:p>
            <w:pPr>
              <w:pStyle w:val="TableContents"/>
              <w:bidi w:val="0"/>
              <w:spacing w:before="0" w:after="0"/>
              <w:ind w:left="0" w:right="0" w:hanging="0"/>
              <w:jc w:val="left"/>
              <w:rPr/>
            </w:pPr>
            <w:r>
              <w:rPr/>
              <w:t xml:space="preserve">  </w:t>
            </w:r>
          </w:p>
        </w:tc>
        <w:tc>
          <w:tcPr>
            <w:tcW w:w="543" w:type="dxa"/>
            <w:tcBorders/>
            <w:vAlign w:val="center"/>
          </w:tcPr>
          <w:p>
            <w:pPr>
              <w:pStyle w:val="TableContents"/>
              <w:bidi w:val="0"/>
              <w:spacing w:before="0" w:after="0"/>
              <w:ind w:left="0" w:right="0" w:hanging="0"/>
              <w:jc w:val="left"/>
              <w:rPr/>
            </w:pPr>
            <w:r>
              <w:rPr/>
              <w:t xml:space="preserve">  </w:t>
            </w:r>
          </w:p>
        </w:tc>
        <w:tc>
          <w:tcPr>
            <w:tcW w:w="1213"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w:t>
            </w:r>
          </w:p>
        </w:tc>
        <w:tc>
          <w:tcPr>
            <w:tcW w:w="432" w:type="dxa"/>
            <w:tcBorders/>
            <w:vAlign w:val="center"/>
          </w:tcPr>
          <w:p>
            <w:pPr>
              <w:pStyle w:val="TableContents"/>
              <w:bidi w:val="0"/>
              <w:spacing w:before="0" w:after="283"/>
              <w:jc w:val="left"/>
              <w:rPr>
                <w:sz w:val="4"/>
                <w:szCs w:val="4"/>
              </w:rPr>
            </w:pPr>
            <w:r>
              <w:rPr>
                <w:sz w:val="4"/>
                <w:szCs w:val="4"/>
              </w:rPr>
            </w:r>
          </w:p>
        </w:tc>
      </w:tr>
      <w:tr>
        <w:trPr/>
        <w:tc>
          <w:tcPr>
            <w:tcW w:w="7634" w:type="dxa"/>
            <w:tcBorders/>
            <w:shd w:fill="CCEEFF" w:val="clear"/>
            <w:vAlign w:val="center"/>
          </w:tcPr>
          <w:p>
            <w:pPr>
              <w:pStyle w:val="TableContents"/>
              <w:bidi w:val="0"/>
              <w:spacing w:before="0" w:after="0"/>
              <w:ind w:left="720" w:right="0" w:hanging="0"/>
              <w:jc w:val="left"/>
              <w:rPr>
                <w:rFonts w:ascii="Times New Roman" w:hAnsi="Times New Roman"/>
                <w:sz w:val="20"/>
              </w:rPr>
            </w:pPr>
            <w:r>
              <w:rPr>
                <w:rFonts w:ascii="Times New Roman" w:hAnsi="Times New Roman"/>
                <w:sz w:val="20"/>
              </w:rPr>
              <w:t xml:space="preserve">Total </w:t>
            </w:r>
          </w:p>
        </w:tc>
        <w:tc>
          <w:tcPr>
            <w:tcW w:w="383" w:type="dxa"/>
            <w:tcBorders/>
            <w:shd w:fill="CCEEFF" w:val="clear"/>
            <w:vAlign w:val="center"/>
          </w:tcPr>
          <w:p>
            <w:pPr>
              <w:pStyle w:val="TableContents"/>
              <w:bidi w:val="0"/>
              <w:spacing w:before="0" w:after="0"/>
              <w:ind w:left="0" w:right="0" w:hanging="0"/>
              <w:jc w:val="left"/>
              <w:rPr/>
            </w:pPr>
            <w:r>
              <w:rPr/>
              <w:t xml:space="preserve">  </w:t>
            </w:r>
          </w:p>
        </w:tc>
        <w:tc>
          <w:tcPr>
            <w:tcW w:w="54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21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566</w:t>
            </w:r>
          </w:p>
        </w:tc>
        <w:tc>
          <w:tcPr>
            <w:tcW w:w="432" w:type="dxa"/>
            <w:tcBorders/>
            <w:shd w:fill="CCEEFF" w:val="clear"/>
            <w:vAlign w:val="center"/>
          </w:tcPr>
          <w:p>
            <w:pPr>
              <w:pStyle w:val="TableContents"/>
              <w:bidi w:val="0"/>
              <w:spacing w:before="0" w:after="0"/>
              <w:ind w:left="0" w:right="0" w:hanging="0"/>
              <w:jc w:val="left"/>
              <w:rPr/>
            </w:pPr>
            <w:r>
              <w:rPr/>
              <w:t xml:space="preserve">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144" w:right="144"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bookmarkStart w:id="248" w:name="PageBreakNo15"/>
            <w:bookmarkEnd w:id="248"/>
            <w:r>
              <w:rPr>
                <w:sz w:val="20"/>
              </w:rPr>
              <w:t>15</w:t>
            </w:r>
          </w:p>
        </w:tc>
      </w:tr>
    </w:tbl>
    <w:p>
      <w:pPr>
        <w:pStyle w:val="HorizontalLine"/>
        <w:bidi w:val="0"/>
        <w:spacing w:lineRule="auto" w:line="288"/>
        <w:jc w:val="left"/>
        <w:rPr/>
      </w:pPr>
      <w:r>
        <w:rPr/>
      </w:r>
    </w:p>
    <w:p>
      <w:pPr>
        <w:pStyle w:val="TextBody"/>
        <w:bidi w:val="0"/>
        <w:spacing w:lineRule="auto" w:line="288"/>
        <w:jc w:val="left"/>
        <w:rPr/>
      </w:pPr>
      <w:hyperlink w:anchor="TOC">
        <w:r>
          <w:rPr>
            <w:rStyle w:val="InternetLink"/>
            <w:rFonts w:ascii="times new roman;times" w:hAnsi="times new roman;times"/>
            <w:sz w:val="20"/>
          </w:rPr>
          <w:t>Table of Contents</w:t>
        </w:r>
      </w:hyperlink>
    </w:p>
    <w:p>
      <w:pPr>
        <w:pStyle w:val="TextBody"/>
        <w:bidi w:val="0"/>
        <w:spacing w:lineRule="auto" w:line="288" w:before="0" w:after="0"/>
        <w:ind w:left="144" w:right="144" w:hanging="0"/>
        <w:jc w:val="left"/>
        <w:rPr/>
      </w:pPr>
      <w:r>
        <w:rPr/>
        <w:t> </w:t>
      </w:r>
    </w:p>
    <w:p>
      <w:pPr>
        <w:pStyle w:val="TextBody"/>
        <w:widowControl/>
        <w:bidi w:val="0"/>
        <w:spacing w:lineRule="auto" w:line="288" w:before="0" w:after="0"/>
        <w:ind w:left="144" w:right="144" w:hanging="0"/>
        <w:jc w:val="center"/>
        <w:rPr>
          <w:rFonts w:ascii="Times New Roman" w:hAnsi="Times New Roman"/>
          <w:b/>
          <w:sz w:val="20"/>
        </w:rPr>
      </w:pPr>
      <w:r>
        <w:rPr>
          <w:rFonts w:ascii="Times New Roman" w:hAnsi="Times New Roman"/>
          <w:b/>
          <w:i w:val="false"/>
          <w:caps w:val="false"/>
          <w:smallCaps w:val="false"/>
          <w:color w:val="000000"/>
          <w:spacing w:val="0"/>
          <w:sz w:val="20"/>
        </w:rPr>
        <w:t>UNAUDITED </w:t>
      </w:r>
      <w:r>
        <w:rPr>
          <w:rFonts w:ascii="Times New Roman" w:hAnsi="Times New Roman"/>
          <w:b/>
          <w:sz w:val="20"/>
        </w:rPr>
        <w:t>NOTES TO CONDENSED CONSOLIDATED FINANCIAL STATEMENTS</w:t>
      </w:r>
    </w:p>
    <w:p>
      <w:pPr>
        <w:pStyle w:val="TextBody"/>
        <w:bidi w:val="0"/>
        <w:spacing w:lineRule="auto" w:line="288" w:before="0" w:after="0"/>
        <w:ind w:left="144" w:right="144" w:hanging="0"/>
        <w:jc w:val="center"/>
        <w:rPr>
          <w:rFonts w:ascii="Times New Roman" w:hAnsi="Times New Roman"/>
          <w:sz w:val="20"/>
        </w:rPr>
      </w:pPr>
      <w:r>
        <w:rPr>
          <w:rFonts w:ascii="Times New Roman" w:hAnsi="Times New Roman"/>
          <w:sz w:val="20"/>
        </w:rPr>
        <w:t>(Unaudited - Dollars in thousands, except per share amounts)</w:t>
      </w:r>
    </w:p>
    <w:p>
      <w:pPr>
        <w:pStyle w:val="TextBody"/>
        <w:bidi w:val="0"/>
        <w:spacing w:lineRule="auto" w:line="288" w:before="0" w:after="0"/>
        <w:ind w:left="144" w:right="144" w:hanging="0"/>
        <w:jc w:val="center"/>
        <w:rPr>
          <w:rFonts w:ascii="Times New Roman" w:hAnsi="Times New Roman"/>
          <w:sz w:val="20"/>
        </w:rPr>
      </w:pPr>
      <w:r>
        <w:rPr>
          <w:rFonts w:ascii="Times New Roman" w:hAnsi="Times New Roman"/>
          <w:sz w:val="20"/>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t>11. Convertible Notes Payable</w:t>
      </w:r>
    </w:p>
    <w:p>
      <w:pPr>
        <w:pStyle w:val="TextBody"/>
        <w:bidi w:val="0"/>
        <w:spacing w:lineRule="atLeast" w:line="240"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tLeast" w:line="240" w:before="0" w:after="0"/>
        <w:ind w:left="0" w:right="0" w:hanging="0"/>
        <w:jc w:val="both"/>
        <w:rPr>
          <w:rFonts w:ascii="times new roman;times" w:hAnsi="times new roman;times"/>
          <w:sz w:val="20"/>
        </w:rPr>
      </w:pPr>
      <w:r>
        <w:rPr>
          <w:rFonts w:ascii="times new roman;times" w:hAnsi="times new roman;times"/>
          <w:sz w:val="20"/>
        </w:rPr>
        <w:t xml:space="preserve">On June 25, 2025, the Company filed a Current Report on Form 8-K disclosing several material events. On June 20, 2025, the Company entered into a Note Purchase Agreement with First Finance Ltd., pursuant to which First Finance Ltd. purchased $3,000,000 aggregate principal amount of convertible notes in a private placement exempt from registration under Section </w:t>
      </w:r>
      <w:bookmarkStart w:id="249" w:name="fs_JRZHLEQF6800000000000000000000fs"/>
      <w:bookmarkEnd w:id="249"/>
      <w:r>
        <w:rPr>
          <w:rFonts w:ascii="times new roman;times" w:hAnsi="times new roman;times"/>
          <w:sz w:val="20"/>
        </w:rPr>
        <w:t>4(a)(</w:t>
      </w:r>
      <w:bookmarkStart w:id="250" w:name="fs_XLB4VOR3V400000000000000000000fs"/>
      <w:bookmarkEnd w:id="250"/>
      <w:r>
        <w:rPr>
          <w:rFonts w:ascii="times new roman;times" w:hAnsi="times new roman;times"/>
          <w:sz w:val="20"/>
        </w:rPr>
        <w:t xml:space="preserve">2) of the Securities Act of </w:t>
      </w:r>
      <w:bookmarkStart w:id="251" w:name="fs_YNKR838UM800000000000000000000fs"/>
      <w:bookmarkEnd w:id="251"/>
      <w:r>
        <w:rPr>
          <w:rFonts w:ascii="times new roman;times" w:hAnsi="times new roman;times"/>
          <w:sz w:val="20"/>
        </w:rPr>
        <w:t>1933, as amended. The convertible notes accrued interest at 10% per annum and were mandatorily convertible into shares of newly designated Class B Convertible Preferred Stock upon the issuance of Class A Redeemable Preferred Stock as a dividend to common stockholders (which occurred July 18, 2025 – see Note 13). The Class B Convertible Preferred Stock is further convertible into common stock at an initial conversion ratio of 166.44474 shares of common stock for each share of Class B Convertible Preferred Stock (subject to adjustment for stock splits, dividends, and similar events). First Finance Ltd. was granted an option to purchase up to an additional $2,000,000 of Class B Convertible Preferred Stock. The proceeds from the convertible notes are restricted to a specified disbursement schedule.</w:t>
      </w:r>
    </w:p>
    <w:p>
      <w:pPr>
        <w:pStyle w:val="TextBody"/>
        <w:bidi w:val="0"/>
        <w:spacing w:lineRule="atLeast" w:line="240"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tLeast" w:line="240" w:before="0" w:after="0"/>
        <w:ind w:left="0" w:right="0" w:hanging="0"/>
        <w:jc w:val="both"/>
        <w:rPr>
          <w:rFonts w:ascii="times new roman;times" w:hAnsi="times new roman;times"/>
          <w:sz w:val="20"/>
        </w:rPr>
      </w:pPr>
      <w:r>
        <w:rPr>
          <w:rFonts w:ascii="times new roman;times" w:hAnsi="times new roman;times"/>
          <w:sz w:val="20"/>
        </w:rPr>
        <w:t>On July 21, 2025, the Company’s convertible note (June 20, 2025) issued to First Finance Ltd. (together with accrued interest) automatically converted into 3,026 shares of Class B Convertible Preferred Stock pursuant to the original terms. See Note 4.</w:t>
      </w:r>
    </w:p>
    <w:p>
      <w:pPr>
        <w:pStyle w:val="TextBody"/>
        <w:bidi w:val="0"/>
        <w:spacing w:lineRule="atLeast" w:line="240" w:before="0" w:after="0"/>
        <w:ind w:left="0" w:right="0" w:hanging="0"/>
        <w:jc w:val="both"/>
        <w:rPr/>
      </w:pPr>
      <w:r>
        <w:rPr/>
      </w:r>
    </w:p>
    <w:p>
      <w:pPr>
        <w:pStyle w:val="TextBody"/>
        <w:bidi w:val="0"/>
        <w:spacing w:lineRule="atLeast" w:line="240" w:before="0" w:after="0"/>
        <w:ind w:left="0" w:right="0" w:hanging="0"/>
        <w:jc w:val="both"/>
        <w:rPr>
          <w:rFonts w:ascii="times new roman;times" w:hAnsi="times new roman;times"/>
          <w:sz w:val="20"/>
        </w:rPr>
      </w:pPr>
      <w:r>
        <w:rPr>
          <w:rFonts w:ascii="times new roman;times" w:hAnsi="times new roman;times"/>
          <w:sz w:val="20"/>
        </w:rPr>
        <w:t xml:space="preserve">For additional details, refer to the Company's Current Report on Form 8-K filed with the SEC on June 25, 2025, including the Certificates of Designation attached as Exhibits </w:t>
      </w:r>
      <w:bookmarkStart w:id="252" w:name="fs_0AFJFBKD9C00000000000000000000fs"/>
      <w:bookmarkEnd w:id="252"/>
      <w:r>
        <w:rPr>
          <w:rFonts w:ascii="times new roman;times" w:hAnsi="times new roman;times"/>
          <w:sz w:val="20"/>
        </w:rPr>
        <w:t xml:space="preserve">3.1 and </w:t>
      </w:r>
      <w:bookmarkStart w:id="253" w:name="fs_7F8J272K4000000000000000000000fs"/>
      <w:bookmarkEnd w:id="253"/>
      <w:r>
        <w:rPr>
          <w:rFonts w:ascii="times new roman;times" w:hAnsi="times new roman;times"/>
          <w:sz w:val="20"/>
        </w:rPr>
        <w:t xml:space="preserve">3.2, the Note Purchase Agreement attached as Exhibit </w:t>
      </w:r>
      <w:bookmarkStart w:id="254" w:name="fs_4TVW7NOZ9S00000000000000000000fs"/>
      <w:bookmarkEnd w:id="254"/>
      <w:r>
        <w:rPr>
          <w:rFonts w:ascii="times new roman;times" w:hAnsi="times new roman;times"/>
          <w:sz w:val="20"/>
        </w:rPr>
        <w:t xml:space="preserve">10.1, and the Convertible Note attached as Exhibit </w:t>
      </w:r>
      <w:bookmarkStart w:id="255" w:name="fs_L7CHW5PREO00000000000000000000fs"/>
      <w:bookmarkEnd w:id="255"/>
      <w:r>
        <w:rPr>
          <w:rFonts w:ascii="times new roman;times" w:hAnsi="times new roman;times"/>
          <w:sz w:val="20"/>
        </w:rPr>
        <w:t>10.2 thereto.</w:t>
      </w:r>
    </w:p>
    <w:p>
      <w:pPr>
        <w:pStyle w:val="TextBody"/>
        <w:bidi w:val="0"/>
        <w:spacing w:lineRule="atLeast" w:line="240" w:before="0" w:after="0"/>
        <w:ind w:left="0" w:right="0" w:hanging="0"/>
        <w:jc w:val="both"/>
        <w:rPr/>
      </w:pPr>
      <w:r>
        <w:rPr/>
        <w:t> </w:t>
      </w:r>
    </w:p>
    <w:p>
      <w:pPr>
        <w:pStyle w:val="TextBody"/>
        <w:widowControl/>
        <w:bidi w:val="0"/>
        <w:spacing w:lineRule="auto" w:line="288" w:before="0" w:after="0"/>
        <w:ind w:left="0" w:right="0" w:hanging="0"/>
        <w:jc w:val="both"/>
        <w:rPr>
          <w:rFonts w:ascii="times new roman;times" w:hAnsi="times new roman;times"/>
          <w:b w:val="false"/>
          <w:color w:val="000000"/>
          <w:spacing w:val="0"/>
          <w:sz w:val="20"/>
        </w:rPr>
      </w:pPr>
      <w:r>
        <w:rPr>
          <w:rFonts w:ascii="times new roman;times" w:hAnsi="times new roman;times"/>
          <w:b w:val="false"/>
          <w:color w:val="000000"/>
          <w:spacing w:val="0"/>
          <w:sz w:val="20"/>
        </w:rPr>
        <w:t>Composition of Notes Payable</w:t>
      </w:r>
    </w:p>
    <w:p>
      <w:pPr>
        <w:pStyle w:val="TextBody"/>
        <w:bidi w:val="0"/>
        <w:spacing w:lineRule="atLeast" w:line="240" w:before="0" w:after="0"/>
        <w:ind w:left="0" w:right="0" w:hanging="0"/>
        <w:jc w:val="both"/>
        <w:rPr/>
      </w:pPr>
      <w:r>
        <w:rPr/>
        <w:t> </w:t>
      </w:r>
    </w:p>
    <w:tbl>
      <w:tblPr>
        <w:tblW w:w="8822" w:type="dxa"/>
        <w:jc w:val="left"/>
        <w:tblInd w:w="0" w:type="dxa"/>
        <w:tblLayout w:type="fixed"/>
        <w:tblCellMar>
          <w:top w:w="28" w:type="dxa"/>
          <w:left w:w="28" w:type="dxa"/>
          <w:bottom w:w="28" w:type="dxa"/>
          <w:right w:w="28" w:type="dxa"/>
        </w:tblCellMar>
      </w:tblPr>
      <w:tblGrid>
        <w:gridCol w:w="1756"/>
        <w:gridCol w:w="109"/>
        <w:gridCol w:w="1186"/>
        <w:gridCol w:w="271"/>
        <w:gridCol w:w="109"/>
        <w:gridCol w:w="1306"/>
        <w:gridCol w:w="109"/>
        <w:gridCol w:w="109"/>
        <w:gridCol w:w="670"/>
        <w:gridCol w:w="1100"/>
        <w:gridCol w:w="109"/>
        <w:gridCol w:w="109"/>
        <w:gridCol w:w="653"/>
        <w:gridCol w:w="1072"/>
        <w:gridCol w:w="154"/>
      </w:tblGrid>
      <w:tr>
        <w:trPr/>
        <w:tc>
          <w:tcPr>
            <w:tcW w:w="1756" w:type="dxa"/>
            <w:tcBorders/>
            <w:vAlign w:val="bottom"/>
          </w:tcPr>
          <w:p>
            <w:pPr>
              <w:pStyle w:val="TableContents"/>
              <w:bidi w:val="0"/>
              <w:spacing w:before="0" w:after="283"/>
              <w:jc w:val="center"/>
              <w:rPr>
                <w:rFonts w:ascii="times new roman;times" w:hAnsi="times new roman;times"/>
                <w:b/>
                <w:sz w:val="20"/>
              </w:rPr>
            </w:pPr>
            <w:r>
              <w:rPr>
                <w:rFonts w:ascii="times new roman;times" w:hAnsi="times new roman;times"/>
                <w:b/>
                <w:sz w:val="20"/>
              </w:rPr>
              <w:t>Description</w:t>
            </w:r>
          </w:p>
        </w:tc>
        <w:tc>
          <w:tcPr>
            <w:tcW w:w="109" w:type="dxa"/>
            <w:tcBorders/>
            <w:vAlign w:val="bottom"/>
          </w:tcPr>
          <w:p>
            <w:pPr>
              <w:pStyle w:val="TableContents"/>
              <w:bidi w:val="0"/>
              <w:spacing w:before="0" w:after="283"/>
              <w:jc w:val="left"/>
              <w:rPr>
                <w:sz w:val="4"/>
                <w:szCs w:val="4"/>
              </w:rPr>
            </w:pPr>
            <w:r>
              <w:rPr>
                <w:sz w:val="4"/>
                <w:szCs w:val="4"/>
              </w:rPr>
            </w:r>
          </w:p>
        </w:tc>
        <w:tc>
          <w:tcPr>
            <w:tcW w:w="1186" w:type="dxa"/>
            <w:tcBorders/>
            <w:tcMar>
              <w:top w:w="0" w:type="dxa"/>
              <w:left w:w="0" w:type="dxa"/>
              <w:bottom w:w="0" w:type="dxa"/>
              <w:right w:w="0" w:type="dxa"/>
            </w:tcMar>
            <w:vAlign w:val="bottom"/>
          </w:tcPr>
          <w:p>
            <w:pPr>
              <w:pStyle w:val="TableContents"/>
              <w:bidi w:val="0"/>
              <w:spacing w:before="0" w:after="283"/>
              <w:jc w:val="center"/>
              <w:rPr>
                <w:rFonts w:ascii="times new roman;times" w:hAnsi="times new roman;times"/>
                <w:b/>
                <w:sz w:val="20"/>
              </w:rPr>
            </w:pPr>
            <w:r>
              <w:rPr>
                <w:rFonts w:ascii="times new roman;times" w:hAnsi="times new roman;times"/>
                <w:b/>
                <w:sz w:val="20"/>
              </w:rPr>
              <w:t>Interest Rate</w:t>
            </w:r>
          </w:p>
        </w:tc>
        <w:tc>
          <w:tcPr>
            <w:tcW w:w="271" w:type="dxa"/>
            <w:tcBorders/>
            <w:vAlign w:val="bottom"/>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pPr>
            <w:r>
              <w:rPr/>
            </w:r>
          </w:p>
        </w:tc>
        <w:tc>
          <w:tcPr>
            <w:tcW w:w="1306" w:type="dxa"/>
            <w:tcBorders/>
            <w:tcMar>
              <w:top w:w="0" w:type="dxa"/>
              <w:left w:w="0" w:type="dxa"/>
              <w:bottom w:w="0" w:type="dxa"/>
              <w:right w:w="0" w:type="dxa"/>
            </w:tcMar>
            <w:vAlign w:val="bottom"/>
          </w:tcPr>
          <w:p>
            <w:pPr>
              <w:pStyle w:val="TableContents"/>
              <w:bidi w:val="0"/>
              <w:spacing w:before="0" w:after="283"/>
              <w:jc w:val="center"/>
              <w:rPr>
                <w:rFonts w:ascii="times new roman;times" w:hAnsi="times new roman;times"/>
                <w:b/>
                <w:sz w:val="20"/>
              </w:rPr>
            </w:pPr>
            <w:r>
              <w:rPr>
                <w:rFonts w:ascii="times new roman;times" w:hAnsi="times new roman;times"/>
                <w:b/>
                <w:sz w:val="20"/>
              </w:rPr>
              <w:t>Maturity Date</w:t>
            </w:r>
          </w:p>
        </w:tc>
        <w:tc>
          <w:tcPr>
            <w:tcW w:w="109" w:type="dxa"/>
            <w:tcBorders/>
            <w:vAlign w:val="bottom"/>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pPr>
            <w:r>
              <w:rPr/>
            </w:r>
          </w:p>
        </w:tc>
        <w:tc>
          <w:tcPr>
            <w:tcW w:w="1770" w:type="dxa"/>
            <w:gridSpan w:val="2"/>
            <w:tcBorders/>
            <w:tcMar>
              <w:top w:w="0" w:type="dxa"/>
              <w:left w:w="0" w:type="dxa"/>
              <w:bottom w:w="0" w:type="dxa"/>
              <w:right w:w="0" w:type="dxa"/>
            </w:tcMar>
            <w:vAlign w:val="bottom"/>
          </w:tcPr>
          <w:p>
            <w:pPr>
              <w:pStyle w:val="TableContents"/>
              <w:bidi w:val="0"/>
              <w:spacing w:before="0" w:after="283"/>
              <w:jc w:val="center"/>
              <w:rPr>
                <w:rFonts w:ascii="times new roman;times" w:hAnsi="times new roman;times"/>
                <w:b/>
                <w:sz w:val="20"/>
              </w:rPr>
            </w:pPr>
            <w:bookmarkStart w:id="256" w:name="fs_719HI1VLOW00000000000000000000FM"/>
            <w:bookmarkEnd w:id="256"/>
            <w:r>
              <w:rPr>
                <w:rFonts w:ascii="times new roman;times" w:hAnsi="times new roman;times"/>
                <w:b/>
                <w:sz w:val="20"/>
              </w:rPr>
              <w:t>September 30, 2025</w:t>
            </w:r>
          </w:p>
        </w:tc>
        <w:tc>
          <w:tcPr>
            <w:tcW w:w="109" w:type="dxa"/>
            <w:tcBorders/>
            <w:vAlign w:val="bottom"/>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pPr>
            <w:r>
              <w:rPr/>
            </w:r>
          </w:p>
        </w:tc>
        <w:tc>
          <w:tcPr>
            <w:tcW w:w="1725" w:type="dxa"/>
            <w:gridSpan w:val="2"/>
            <w:tcBorders/>
            <w:tcMar>
              <w:top w:w="0" w:type="dxa"/>
              <w:left w:w="0" w:type="dxa"/>
              <w:bottom w:w="0" w:type="dxa"/>
              <w:right w:w="0" w:type="dxa"/>
            </w:tcMar>
            <w:vAlign w:val="bottom"/>
          </w:tcPr>
          <w:p>
            <w:pPr>
              <w:pStyle w:val="TableContents"/>
              <w:bidi w:val="0"/>
              <w:spacing w:before="0" w:after="283"/>
              <w:jc w:val="center"/>
              <w:rPr>
                <w:rFonts w:ascii="times new roman;times" w:hAnsi="times new roman;times"/>
                <w:b/>
                <w:sz w:val="20"/>
              </w:rPr>
            </w:pPr>
            <w:bookmarkStart w:id="257" w:name="fs_OWK83QFJXS00000000000000000000FM"/>
            <w:bookmarkEnd w:id="257"/>
            <w:r>
              <w:rPr>
                <w:rFonts w:ascii="times new roman;times" w:hAnsi="times new roman;times"/>
                <w:b/>
                <w:sz w:val="20"/>
              </w:rPr>
              <w:t>December 31, 2024</w:t>
            </w:r>
          </w:p>
        </w:tc>
        <w:tc>
          <w:tcPr>
            <w:tcW w:w="154" w:type="dxa"/>
            <w:tcBorders/>
            <w:vAlign w:val="center"/>
          </w:tcPr>
          <w:p>
            <w:pPr>
              <w:pStyle w:val="TableContents"/>
              <w:bidi w:val="0"/>
              <w:spacing w:before="0" w:after="283"/>
              <w:jc w:val="left"/>
              <w:rPr/>
            </w:pPr>
            <w:r>
              <w:rPr/>
            </w:r>
          </w:p>
        </w:tc>
      </w:tr>
      <w:tr>
        <w:trPr/>
        <w:tc>
          <w:tcPr>
            <w:tcW w:w="1756" w:type="dxa"/>
            <w:tcBorders/>
            <w:shd w:fill="CCEEFF" w:val="clear"/>
            <w:vAlign w:val="bottom"/>
          </w:tcPr>
          <w:p>
            <w:pPr>
              <w:pStyle w:val="TableContents"/>
              <w:bidi w:val="0"/>
              <w:spacing w:before="0" w:after="283"/>
              <w:jc w:val="left"/>
              <w:rPr>
                <w:rFonts w:ascii="times new roman;times" w:hAnsi="times new roman;times"/>
                <w:sz w:val="20"/>
              </w:rPr>
            </w:pPr>
            <w:r>
              <w:rPr>
                <w:rFonts w:ascii="times new roman;times" w:hAnsi="times new roman;times"/>
                <w:sz w:val="20"/>
              </w:rPr>
              <w:t>Convertible Note</w:t>
            </w:r>
          </w:p>
        </w:tc>
        <w:tc>
          <w:tcPr>
            <w:tcW w:w="109" w:type="dxa"/>
            <w:tcBorders/>
            <w:shd w:fill="CCEEFF" w:val="clear"/>
            <w:vAlign w:val="bottom"/>
          </w:tcPr>
          <w:p>
            <w:pPr>
              <w:pStyle w:val="TableContents"/>
              <w:bidi w:val="0"/>
              <w:spacing w:before="0" w:after="283"/>
              <w:jc w:val="left"/>
              <w:rPr/>
            </w:pPr>
            <w:r>
              <w:rPr/>
            </w:r>
          </w:p>
        </w:tc>
        <w:tc>
          <w:tcPr>
            <w:tcW w:w="1186" w:type="dxa"/>
            <w:tcBorders/>
            <w:shd w:fill="CCEEFF" w:val="clear"/>
            <w:vAlign w:val="bottom"/>
          </w:tcPr>
          <w:p>
            <w:pPr>
              <w:pStyle w:val="TableContents"/>
              <w:bidi w:val="0"/>
              <w:spacing w:before="0" w:after="283"/>
              <w:jc w:val="right"/>
              <w:rPr>
                <w:rFonts w:ascii="times new roman;times" w:hAnsi="times new roman;times"/>
                <w:sz w:val="20"/>
              </w:rPr>
            </w:pPr>
            <w:r>
              <w:rPr>
                <w:rFonts w:ascii="times new roman;times" w:hAnsi="times new roman;times"/>
                <w:sz w:val="20"/>
              </w:rPr>
              <w:t>10</w:t>
            </w:r>
          </w:p>
        </w:tc>
        <w:tc>
          <w:tcPr>
            <w:tcW w:w="271" w:type="dxa"/>
            <w:tcBorders/>
            <w:shd w:fill="CCEEFF" w:val="clear"/>
            <w:vAlign w:val="bottom"/>
          </w:tcPr>
          <w:p>
            <w:pPr>
              <w:pStyle w:val="TableContents"/>
              <w:widowControl/>
              <w:bidi w:val="0"/>
              <w:spacing w:before="0" w:after="283"/>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109" w:type="dxa"/>
            <w:tcBorders/>
            <w:shd w:fill="CCEEFF" w:val="clear"/>
            <w:vAlign w:val="center"/>
          </w:tcPr>
          <w:p>
            <w:pPr>
              <w:pStyle w:val="TableContents"/>
              <w:bidi w:val="0"/>
              <w:spacing w:before="0" w:after="283"/>
              <w:jc w:val="left"/>
              <w:rPr/>
            </w:pPr>
            <w:r>
              <w:rPr/>
            </w:r>
          </w:p>
        </w:tc>
        <w:tc>
          <w:tcPr>
            <w:tcW w:w="1306" w:type="dxa"/>
            <w:tcBorders/>
            <w:shd w:fill="CCEEFF" w:val="clear"/>
            <w:vAlign w:val="bottom"/>
          </w:tcPr>
          <w:p>
            <w:pPr>
              <w:pStyle w:val="TableContents"/>
              <w:bidi w:val="0"/>
              <w:spacing w:before="0" w:after="283"/>
              <w:jc w:val="center"/>
              <w:rPr>
                <w:rFonts w:ascii="times new roman;times" w:hAnsi="times new roman;times"/>
                <w:sz w:val="20"/>
              </w:rPr>
            </w:pPr>
            <w:r>
              <w:rPr>
                <w:rFonts w:ascii="times new roman;times" w:hAnsi="times new roman;times"/>
                <w:sz w:val="20"/>
              </w:rPr>
              <w:t>June 30, 2025</w:t>
            </w:r>
          </w:p>
        </w:tc>
        <w:tc>
          <w:tcPr>
            <w:tcW w:w="109" w:type="dxa"/>
            <w:tcBorders/>
            <w:shd w:fill="CCEEFF" w:val="clear"/>
            <w:vAlign w:val="bottom"/>
          </w:tcPr>
          <w:p>
            <w:pPr>
              <w:pStyle w:val="TableContents"/>
              <w:bidi w:val="0"/>
              <w:spacing w:before="0" w:after="283"/>
              <w:jc w:val="left"/>
              <w:rPr/>
            </w:pPr>
            <w:r>
              <w:rPr/>
            </w:r>
          </w:p>
        </w:tc>
        <w:tc>
          <w:tcPr>
            <w:tcW w:w="109" w:type="dxa"/>
            <w:tcBorders/>
            <w:shd w:fill="CCEEFF" w:val="clear"/>
            <w:vAlign w:val="center"/>
          </w:tcPr>
          <w:p>
            <w:pPr>
              <w:pStyle w:val="TableContents"/>
              <w:bidi w:val="0"/>
              <w:spacing w:before="0" w:after="283"/>
              <w:jc w:val="left"/>
              <w:rPr/>
            </w:pPr>
            <w:r>
              <w:rPr/>
            </w:r>
          </w:p>
        </w:tc>
        <w:tc>
          <w:tcPr>
            <w:tcW w:w="670" w:type="dxa"/>
            <w:tcBorders/>
            <w:shd w:fill="CCEEFF" w:val="clear"/>
            <w:tcMar>
              <w:top w:w="0" w:type="dxa"/>
              <w:left w:w="0" w:type="dxa"/>
              <w:bottom w:w="0" w:type="dxa"/>
              <w:right w:w="0" w:type="dxa"/>
            </w:tcMar>
            <w:vAlign w:val="bottom"/>
          </w:tcPr>
          <w:p>
            <w:pPr>
              <w:pStyle w:val="TableContents"/>
              <w:bidi w:val="0"/>
              <w:spacing w:before="0" w:after="283"/>
              <w:jc w:val="left"/>
              <w:rPr>
                <w:rFonts w:ascii="times new roman;times" w:hAnsi="times new roman;times"/>
                <w:sz w:val="20"/>
              </w:rPr>
            </w:pPr>
            <w:r>
              <w:rPr>
                <w:rFonts w:ascii="times new roman;times" w:hAnsi="times new roman;times"/>
                <w:sz w:val="20"/>
              </w:rPr>
              <w:t>$</w:t>
            </w:r>
          </w:p>
        </w:tc>
        <w:tc>
          <w:tcPr>
            <w:tcW w:w="1100" w:type="dxa"/>
            <w:tcBorders/>
            <w:shd w:fill="CCEEFF" w:val="clear"/>
            <w:tcMar>
              <w:top w:w="0" w:type="dxa"/>
              <w:left w:w="0" w:type="dxa"/>
              <w:bottom w:w="0" w:type="dxa"/>
              <w:right w:w="0" w:type="dxa"/>
            </w:tcMar>
            <w:vAlign w:val="bottom"/>
          </w:tcPr>
          <w:p>
            <w:pPr>
              <w:pStyle w:val="TableContents"/>
              <w:bidi w:val="0"/>
              <w:spacing w:before="0" w:after="283"/>
              <w:jc w:val="right"/>
              <w:rPr/>
            </w:pPr>
            <w:r>
              <w:rPr/>
              <w:t>—</w:t>
            </w:r>
          </w:p>
        </w:tc>
        <w:tc>
          <w:tcPr>
            <w:tcW w:w="109" w:type="dxa"/>
            <w:tcBorders/>
            <w:shd w:fill="CCEEFF" w:val="clear"/>
            <w:vAlign w:val="bottom"/>
          </w:tcPr>
          <w:p>
            <w:pPr>
              <w:pStyle w:val="TableContents"/>
              <w:bidi w:val="0"/>
              <w:spacing w:before="0" w:after="283"/>
              <w:jc w:val="left"/>
              <w:rPr/>
            </w:pPr>
            <w:r>
              <w:rPr/>
            </w:r>
          </w:p>
        </w:tc>
        <w:tc>
          <w:tcPr>
            <w:tcW w:w="109" w:type="dxa"/>
            <w:tcBorders/>
            <w:shd w:fill="CCEEFF" w:val="clear"/>
            <w:vAlign w:val="center"/>
          </w:tcPr>
          <w:p>
            <w:pPr>
              <w:pStyle w:val="TableContents"/>
              <w:bidi w:val="0"/>
              <w:spacing w:before="0" w:after="283"/>
              <w:jc w:val="left"/>
              <w:rPr/>
            </w:pPr>
            <w:r>
              <w:rPr/>
            </w:r>
          </w:p>
        </w:tc>
        <w:tc>
          <w:tcPr>
            <w:tcW w:w="653" w:type="dxa"/>
            <w:tcBorders/>
            <w:shd w:fill="CCEEFF" w:val="clear"/>
            <w:tcMar>
              <w:top w:w="0" w:type="dxa"/>
              <w:left w:w="0" w:type="dxa"/>
              <w:bottom w:w="0" w:type="dxa"/>
              <w:right w:w="0" w:type="dxa"/>
            </w:tcMar>
            <w:vAlign w:val="bottom"/>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1072" w:type="dxa"/>
            <w:tcBorders/>
            <w:shd w:fill="CCEEFF" w:val="clear"/>
            <w:vAlign w:val="bottom"/>
          </w:tcPr>
          <w:p>
            <w:pPr>
              <w:pStyle w:val="TableContents"/>
              <w:bidi w:val="0"/>
              <w:spacing w:before="0" w:after="283"/>
              <w:jc w:val="right"/>
              <w:rPr/>
            </w:pPr>
            <w:r>
              <w:rPr/>
              <w:t>—</w:t>
            </w:r>
          </w:p>
        </w:tc>
        <w:tc>
          <w:tcPr>
            <w:tcW w:w="154" w:type="dxa"/>
            <w:tcBorders/>
            <w:shd w:fill="CCEEFF" w:val="clear"/>
            <w:vAlign w:val="center"/>
          </w:tcPr>
          <w:p>
            <w:pPr>
              <w:pStyle w:val="TableContents"/>
              <w:bidi w:val="0"/>
              <w:spacing w:before="0" w:after="283"/>
              <w:jc w:val="left"/>
              <w:rPr/>
            </w:pPr>
            <w:r>
              <w:rPr/>
            </w:r>
          </w:p>
        </w:tc>
      </w:tr>
      <w:tr>
        <w:trPr/>
        <w:tc>
          <w:tcPr>
            <w:tcW w:w="1756" w:type="dxa"/>
            <w:tcBorders/>
            <w:vAlign w:val="bottom"/>
          </w:tcPr>
          <w:p>
            <w:pPr>
              <w:pStyle w:val="TableContents"/>
              <w:bidi w:val="0"/>
              <w:spacing w:before="0" w:after="283"/>
              <w:jc w:val="left"/>
              <w:rPr>
                <w:rFonts w:ascii="times new roman;times" w:hAnsi="times new roman;times"/>
                <w:sz w:val="20"/>
              </w:rPr>
            </w:pPr>
            <w:r>
              <w:rPr>
                <w:rFonts w:ascii="times new roman;times" w:hAnsi="times new roman;times"/>
                <w:sz w:val="20"/>
              </w:rPr>
              <w:t>Total Notes Payable</w:t>
            </w:r>
          </w:p>
        </w:tc>
        <w:tc>
          <w:tcPr>
            <w:tcW w:w="109" w:type="dxa"/>
            <w:tcBorders/>
            <w:vAlign w:val="bottom"/>
          </w:tcPr>
          <w:p>
            <w:pPr>
              <w:pStyle w:val="TableContents"/>
              <w:bidi w:val="0"/>
              <w:spacing w:before="0" w:after="283"/>
              <w:jc w:val="left"/>
              <w:rPr/>
            </w:pPr>
            <w:r>
              <w:rPr/>
            </w:r>
          </w:p>
        </w:tc>
        <w:tc>
          <w:tcPr>
            <w:tcW w:w="1186" w:type="dxa"/>
            <w:tcBorders/>
            <w:vAlign w:val="bottom"/>
          </w:tcPr>
          <w:p>
            <w:pPr>
              <w:pStyle w:val="TableContents"/>
              <w:bidi w:val="0"/>
              <w:spacing w:before="0" w:after="283"/>
              <w:jc w:val="left"/>
              <w:rPr/>
            </w:pPr>
            <w:r>
              <w:rPr/>
            </w:r>
          </w:p>
        </w:tc>
        <w:tc>
          <w:tcPr>
            <w:tcW w:w="271" w:type="dxa"/>
            <w:tcBorders/>
            <w:vAlign w:val="bottom"/>
          </w:tcPr>
          <w:p>
            <w:pPr>
              <w:pStyle w:val="TableContents"/>
              <w:bidi w:val="0"/>
              <w:spacing w:before="0" w:after="283"/>
              <w:jc w:val="left"/>
              <w:rPr/>
            </w:pPr>
            <w:r>
              <w:rPr/>
            </w:r>
          </w:p>
        </w:tc>
        <w:tc>
          <w:tcPr>
            <w:tcW w:w="109" w:type="dxa"/>
            <w:tcBorders/>
            <w:vAlign w:val="center"/>
          </w:tcPr>
          <w:p>
            <w:pPr>
              <w:pStyle w:val="TableContents"/>
              <w:bidi w:val="0"/>
              <w:spacing w:before="0" w:after="283"/>
              <w:jc w:val="left"/>
              <w:rPr/>
            </w:pPr>
            <w:r>
              <w:rPr/>
            </w:r>
          </w:p>
        </w:tc>
        <w:tc>
          <w:tcPr>
            <w:tcW w:w="1306" w:type="dxa"/>
            <w:tcBorders/>
            <w:vAlign w:val="bottom"/>
          </w:tcPr>
          <w:p>
            <w:pPr>
              <w:pStyle w:val="TableContents"/>
              <w:bidi w:val="0"/>
              <w:spacing w:before="0" w:after="283"/>
              <w:jc w:val="left"/>
              <w:rPr/>
            </w:pPr>
            <w:r>
              <w:rPr/>
            </w:r>
          </w:p>
        </w:tc>
        <w:tc>
          <w:tcPr>
            <w:tcW w:w="109" w:type="dxa"/>
            <w:tcBorders/>
            <w:vAlign w:val="bottom"/>
          </w:tcPr>
          <w:p>
            <w:pPr>
              <w:pStyle w:val="TableContents"/>
              <w:bidi w:val="0"/>
              <w:spacing w:before="0" w:after="283"/>
              <w:jc w:val="left"/>
              <w:rPr/>
            </w:pPr>
            <w:r>
              <w:rPr/>
            </w:r>
          </w:p>
        </w:tc>
        <w:tc>
          <w:tcPr>
            <w:tcW w:w="109" w:type="dxa"/>
            <w:tcBorders/>
            <w:vAlign w:val="center"/>
          </w:tcPr>
          <w:p>
            <w:pPr>
              <w:pStyle w:val="TableContents"/>
              <w:bidi w:val="0"/>
              <w:spacing w:before="0" w:after="283"/>
              <w:jc w:val="left"/>
              <w:rPr/>
            </w:pPr>
            <w:r>
              <w:rPr/>
            </w:r>
          </w:p>
        </w:tc>
        <w:tc>
          <w:tcPr>
            <w:tcW w:w="670" w:type="dxa"/>
            <w:tcBorders/>
            <w:tcMar>
              <w:top w:w="0" w:type="dxa"/>
              <w:left w:w="0" w:type="dxa"/>
              <w:bottom w:w="0" w:type="dxa"/>
              <w:right w:w="0" w:type="dxa"/>
            </w:tcMar>
            <w:vAlign w:val="bottom"/>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1100" w:type="dxa"/>
            <w:tcBorders/>
            <w:tcMar>
              <w:top w:w="0" w:type="dxa"/>
              <w:left w:w="0" w:type="dxa"/>
              <w:bottom w:w="0" w:type="dxa"/>
              <w:right w:w="0" w:type="dxa"/>
            </w:tcMar>
            <w:vAlign w:val="bottom"/>
          </w:tcPr>
          <w:p>
            <w:pPr>
              <w:pStyle w:val="TableContents"/>
              <w:bidi w:val="0"/>
              <w:spacing w:before="0" w:after="283"/>
              <w:jc w:val="right"/>
              <w:rPr/>
            </w:pPr>
            <w:r>
              <w:rPr/>
              <w:t>—</w:t>
            </w:r>
          </w:p>
        </w:tc>
        <w:tc>
          <w:tcPr>
            <w:tcW w:w="109" w:type="dxa"/>
            <w:tcBorders/>
            <w:vAlign w:val="bottom"/>
          </w:tcPr>
          <w:p>
            <w:pPr>
              <w:pStyle w:val="TableContents"/>
              <w:bidi w:val="0"/>
              <w:spacing w:before="0" w:after="283"/>
              <w:jc w:val="left"/>
              <w:rPr/>
            </w:pPr>
            <w:r>
              <w:rPr/>
            </w:r>
          </w:p>
        </w:tc>
        <w:tc>
          <w:tcPr>
            <w:tcW w:w="109" w:type="dxa"/>
            <w:tcBorders/>
            <w:vAlign w:val="center"/>
          </w:tcPr>
          <w:p>
            <w:pPr>
              <w:pStyle w:val="TableContents"/>
              <w:bidi w:val="0"/>
              <w:spacing w:before="0" w:after="283"/>
              <w:jc w:val="left"/>
              <w:rPr/>
            </w:pPr>
            <w:r>
              <w:rPr/>
            </w:r>
          </w:p>
        </w:tc>
        <w:tc>
          <w:tcPr>
            <w:tcW w:w="653" w:type="dxa"/>
            <w:tcBorders/>
            <w:tcMar>
              <w:top w:w="0" w:type="dxa"/>
              <w:left w:w="0" w:type="dxa"/>
              <w:bottom w:w="0" w:type="dxa"/>
              <w:right w:w="0" w:type="dxa"/>
            </w:tcMar>
            <w:vAlign w:val="bottom"/>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1072" w:type="dxa"/>
            <w:tcBorders/>
            <w:vAlign w:val="bottom"/>
          </w:tcPr>
          <w:p>
            <w:pPr>
              <w:pStyle w:val="TableContents"/>
              <w:bidi w:val="0"/>
              <w:spacing w:before="0" w:after="283"/>
              <w:jc w:val="right"/>
              <w:rPr/>
            </w:pPr>
            <w:r>
              <w:rPr/>
              <w:t>—</w:t>
            </w:r>
          </w:p>
        </w:tc>
        <w:tc>
          <w:tcPr>
            <w:tcW w:w="154" w:type="dxa"/>
            <w:tcBorders/>
            <w:vAlign w:val="center"/>
          </w:tcPr>
          <w:p>
            <w:pPr>
              <w:pStyle w:val="TableContents"/>
              <w:bidi w:val="0"/>
              <w:spacing w:before="0" w:after="283"/>
              <w:jc w:val="left"/>
              <w:rPr/>
            </w:pPr>
            <w:r>
              <w:rPr/>
            </w:r>
          </w:p>
        </w:tc>
      </w:tr>
    </w:tbl>
    <w:p>
      <w:pPr>
        <w:pStyle w:val="TextBody"/>
        <w:bidi w:val="0"/>
        <w:spacing w:lineRule="atLeast" w:line="240" w:before="0" w:after="0"/>
        <w:ind w:left="0" w:right="0" w:hanging="0"/>
        <w:jc w:val="both"/>
        <w:rPr/>
      </w:pPr>
      <w:r>
        <w:rPr/>
        <w:t> </w:t>
      </w:r>
    </w:p>
    <w:p>
      <w:pPr>
        <w:pStyle w:val="TextBody"/>
        <w:widowControl/>
        <w:bidi w:val="0"/>
        <w:spacing w:lineRule="atLeast" w:line="240" w:before="0" w:after="0"/>
        <w:ind w:left="0" w:right="0" w:hanging="0"/>
        <w:jc w:val="both"/>
        <w:rPr>
          <w:rFonts w:ascii="times new roman;times" w:hAnsi="times new roman;times"/>
          <w:b w:val="false"/>
          <w:color w:val="000000"/>
          <w:spacing w:val="0"/>
          <w:sz w:val="20"/>
        </w:rPr>
      </w:pPr>
      <w:r>
        <w:rPr>
          <w:rFonts w:ascii="times new roman;times" w:hAnsi="times new roman;times"/>
          <w:b w:val="false"/>
          <w:color w:val="000000"/>
          <w:spacing w:val="0"/>
          <w:sz w:val="20"/>
        </w:rPr>
        <w:t>Schedule of Future Maturities of Notes Payable</w:t>
      </w:r>
    </w:p>
    <w:p>
      <w:pPr>
        <w:pStyle w:val="TextBody"/>
        <w:bidi w:val="0"/>
        <w:spacing w:lineRule="atLeast" w:line="240" w:before="0" w:after="0"/>
        <w:ind w:left="0" w:right="0" w:hanging="0"/>
        <w:jc w:val="both"/>
        <w:rPr/>
      </w:pPr>
      <w:r>
        <w:rPr/>
        <w:t> </w:t>
      </w:r>
    </w:p>
    <w:tbl>
      <w:tblPr>
        <w:tblW w:w="3400" w:type="dxa"/>
        <w:jc w:val="left"/>
        <w:tblInd w:w="0" w:type="dxa"/>
        <w:tblLayout w:type="fixed"/>
        <w:tblCellMar>
          <w:top w:w="28" w:type="dxa"/>
          <w:left w:w="28" w:type="dxa"/>
          <w:bottom w:w="28" w:type="dxa"/>
          <w:right w:w="28" w:type="dxa"/>
        </w:tblCellMar>
      </w:tblPr>
      <w:tblGrid>
        <w:gridCol w:w="2356"/>
        <w:gridCol w:w="109"/>
        <w:gridCol w:w="295"/>
        <w:gridCol w:w="486"/>
        <w:gridCol w:w="154"/>
      </w:tblGrid>
      <w:tr>
        <w:trPr/>
        <w:tc>
          <w:tcPr>
            <w:tcW w:w="2356" w:type="dxa"/>
            <w:tcBorders/>
            <w:vAlign w:val="bottom"/>
          </w:tcPr>
          <w:p>
            <w:pPr>
              <w:pStyle w:val="TableContents"/>
              <w:bidi w:val="0"/>
              <w:spacing w:before="0" w:after="283"/>
              <w:jc w:val="left"/>
              <w:rPr>
                <w:rFonts w:ascii="times new roman;times" w:hAnsi="times new roman;times"/>
                <w:b/>
                <w:sz w:val="20"/>
              </w:rPr>
            </w:pPr>
            <w:r>
              <w:rPr>
                <w:rFonts w:ascii="times new roman;times" w:hAnsi="times new roman;times"/>
                <w:b/>
                <w:sz w:val="20"/>
              </w:rPr>
              <w:t>Year ending December, 31</w:t>
            </w:r>
          </w:p>
        </w:tc>
        <w:tc>
          <w:tcPr>
            <w:tcW w:w="109" w:type="dxa"/>
            <w:tcBorders/>
            <w:vAlign w:val="bottom"/>
          </w:tcPr>
          <w:p>
            <w:pPr>
              <w:pStyle w:val="TableContents"/>
              <w:bidi w:val="0"/>
              <w:spacing w:before="0" w:after="283"/>
              <w:jc w:val="left"/>
              <w:rPr/>
            </w:pPr>
            <w:r>
              <w:rPr/>
            </w:r>
          </w:p>
        </w:tc>
        <w:tc>
          <w:tcPr>
            <w:tcW w:w="781" w:type="dxa"/>
            <w:gridSpan w:val="2"/>
            <w:tcBorders/>
            <w:tcMar>
              <w:top w:w="0" w:type="dxa"/>
              <w:left w:w="0" w:type="dxa"/>
              <w:bottom w:w="0" w:type="dxa"/>
              <w:right w:w="0" w:type="dxa"/>
            </w:tcMar>
            <w:vAlign w:val="bottom"/>
          </w:tcPr>
          <w:p>
            <w:pPr>
              <w:pStyle w:val="TableContents"/>
              <w:bidi w:val="0"/>
              <w:spacing w:before="0" w:after="283"/>
              <w:jc w:val="center"/>
              <w:rPr>
                <w:rFonts w:ascii="times new roman;times" w:hAnsi="times new roman;times"/>
                <w:b/>
                <w:sz w:val="20"/>
              </w:rPr>
            </w:pPr>
            <w:r>
              <w:rPr>
                <w:rFonts w:ascii="times new roman;times" w:hAnsi="times new roman;times"/>
                <w:b/>
                <w:sz w:val="20"/>
              </w:rPr>
              <w:t>Amount</w:t>
            </w:r>
          </w:p>
        </w:tc>
        <w:tc>
          <w:tcPr>
            <w:tcW w:w="154" w:type="dxa"/>
            <w:tcBorders/>
            <w:vAlign w:val="bottom"/>
          </w:tcPr>
          <w:p>
            <w:pPr>
              <w:pStyle w:val="TableContents"/>
              <w:bidi w:val="0"/>
              <w:spacing w:before="0" w:after="283"/>
              <w:jc w:val="left"/>
              <w:rPr/>
            </w:pPr>
            <w:r>
              <w:rPr/>
            </w:r>
          </w:p>
        </w:tc>
      </w:tr>
      <w:tr>
        <w:trPr/>
        <w:tc>
          <w:tcPr>
            <w:tcW w:w="2356" w:type="dxa"/>
            <w:tcBorders/>
            <w:shd w:fill="CCEEFF" w:val="clear"/>
            <w:vAlign w:val="bottom"/>
          </w:tcPr>
          <w:p>
            <w:pPr>
              <w:pStyle w:val="TableContents"/>
              <w:bidi w:val="0"/>
              <w:spacing w:before="0" w:after="283"/>
              <w:jc w:val="left"/>
              <w:rPr>
                <w:rFonts w:ascii="times new roman;times" w:hAnsi="times new roman;times"/>
                <w:sz w:val="20"/>
              </w:rPr>
            </w:pPr>
            <w:r>
              <w:rPr>
                <w:rFonts w:ascii="times new roman;times" w:hAnsi="times new roman;times"/>
                <w:sz w:val="20"/>
              </w:rPr>
              <w:t xml:space="preserve">Remainder of </w:t>
            </w:r>
            <w:bookmarkStart w:id="258" w:name="fs_1YMNCWPXHC00000000000000000000fs"/>
            <w:bookmarkEnd w:id="258"/>
            <w:r>
              <w:rPr>
                <w:rFonts w:ascii="times new roman;times" w:hAnsi="times new roman;times"/>
                <w:sz w:val="20"/>
              </w:rPr>
              <w:t>2025</w:t>
            </w:r>
          </w:p>
        </w:tc>
        <w:tc>
          <w:tcPr>
            <w:tcW w:w="109" w:type="dxa"/>
            <w:tcBorders/>
            <w:shd w:fill="CCEEFF" w:val="clear"/>
            <w:vAlign w:val="bottom"/>
          </w:tcPr>
          <w:p>
            <w:pPr>
              <w:pStyle w:val="TableContents"/>
              <w:bidi w:val="0"/>
              <w:spacing w:before="0" w:after="283"/>
              <w:jc w:val="left"/>
              <w:rPr/>
            </w:pPr>
            <w:r>
              <w:rPr/>
            </w:r>
          </w:p>
        </w:tc>
        <w:tc>
          <w:tcPr>
            <w:tcW w:w="295" w:type="dxa"/>
            <w:tcBorders/>
            <w:shd w:fill="CCEEFF" w:val="clear"/>
            <w:tcMar>
              <w:top w:w="0" w:type="dxa"/>
              <w:left w:w="0" w:type="dxa"/>
              <w:bottom w:w="0" w:type="dxa"/>
              <w:right w:w="0" w:type="dxa"/>
            </w:tcMar>
            <w:vAlign w:val="bottom"/>
          </w:tcPr>
          <w:p>
            <w:pPr>
              <w:pStyle w:val="TableContents"/>
              <w:bidi w:val="0"/>
              <w:spacing w:before="0" w:after="283"/>
              <w:jc w:val="left"/>
              <w:rPr>
                <w:rFonts w:ascii="times new roman;times" w:hAnsi="times new roman;times"/>
                <w:sz w:val="20"/>
              </w:rPr>
            </w:pPr>
            <w:r>
              <w:rPr>
                <w:rFonts w:ascii="times new roman;times" w:hAnsi="times new roman;times"/>
                <w:sz w:val="20"/>
              </w:rPr>
              <w:t>$</w:t>
            </w:r>
          </w:p>
        </w:tc>
        <w:tc>
          <w:tcPr>
            <w:tcW w:w="486" w:type="dxa"/>
            <w:tcBorders/>
            <w:shd w:fill="CCEEFF" w:val="clear"/>
            <w:vAlign w:val="bottom"/>
          </w:tcPr>
          <w:p>
            <w:pPr>
              <w:pStyle w:val="TableContents"/>
              <w:bidi w:val="0"/>
              <w:spacing w:before="0" w:after="283"/>
              <w:jc w:val="right"/>
              <w:rPr/>
            </w:pPr>
            <w:r>
              <w:rPr/>
              <w:t>—</w:t>
            </w:r>
          </w:p>
        </w:tc>
        <w:tc>
          <w:tcPr>
            <w:tcW w:w="154" w:type="dxa"/>
            <w:tcBorders/>
            <w:shd w:fill="CCEEFF" w:val="clear"/>
            <w:vAlign w:val="bottom"/>
          </w:tcPr>
          <w:p>
            <w:pPr>
              <w:pStyle w:val="TableContents"/>
              <w:bidi w:val="0"/>
              <w:spacing w:before="0" w:after="283"/>
              <w:jc w:val="left"/>
              <w:rPr/>
            </w:pPr>
            <w:r>
              <w:rPr/>
            </w:r>
          </w:p>
        </w:tc>
      </w:tr>
      <w:tr>
        <w:trPr/>
        <w:tc>
          <w:tcPr>
            <w:tcW w:w="2356" w:type="dxa"/>
            <w:tcBorders/>
            <w:vAlign w:val="bottom"/>
          </w:tcPr>
          <w:p>
            <w:pPr>
              <w:pStyle w:val="TableContents"/>
              <w:bidi w:val="0"/>
              <w:spacing w:before="0" w:after="283"/>
              <w:jc w:val="left"/>
              <w:rPr>
                <w:rFonts w:ascii="times new roman;times" w:hAnsi="times new roman;times"/>
                <w:sz w:val="20"/>
              </w:rPr>
            </w:pPr>
            <w:r>
              <w:rPr>
                <w:rFonts w:ascii="times new roman;times" w:hAnsi="times new roman;times"/>
                <w:sz w:val="20"/>
              </w:rPr>
              <w:t>Total</w:t>
            </w:r>
          </w:p>
        </w:tc>
        <w:tc>
          <w:tcPr>
            <w:tcW w:w="109" w:type="dxa"/>
            <w:tcBorders/>
            <w:vAlign w:val="bottom"/>
          </w:tcPr>
          <w:p>
            <w:pPr>
              <w:pStyle w:val="TableContents"/>
              <w:bidi w:val="0"/>
              <w:spacing w:before="0" w:after="283"/>
              <w:jc w:val="left"/>
              <w:rPr/>
            </w:pPr>
            <w:r>
              <w:rPr/>
            </w:r>
          </w:p>
        </w:tc>
        <w:tc>
          <w:tcPr>
            <w:tcW w:w="295" w:type="dxa"/>
            <w:tcBorders/>
            <w:tcMar>
              <w:top w:w="0" w:type="dxa"/>
              <w:left w:w="0" w:type="dxa"/>
              <w:bottom w:w="0" w:type="dxa"/>
              <w:right w:w="0" w:type="dxa"/>
            </w:tcMar>
            <w:vAlign w:val="bottom"/>
          </w:tcPr>
          <w:p>
            <w:pPr>
              <w:pStyle w:val="TableContents"/>
              <w:bidi w:val="0"/>
              <w:spacing w:before="0" w:after="283"/>
              <w:jc w:val="left"/>
              <w:rPr>
                <w:rFonts w:ascii="times new roman;times" w:hAnsi="times new roman;times"/>
                <w:sz w:val="20"/>
              </w:rPr>
            </w:pPr>
            <w:r>
              <w:rPr>
                <w:rFonts w:ascii="times new roman;times" w:hAnsi="times new roman;times"/>
                <w:sz w:val="20"/>
              </w:rPr>
              <w:t>$</w:t>
            </w:r>
          </w:p>
        </w:tc>
        <w:tc>
          <w:tcPr>
            <w:tcW w:w="486" w:type="dxa"/>
            <w:tcBorders/>
            <w:tcMar>
              <w:top w:w="0" w:type="dxa"/>
              <w:left w:w="0" w:type="dxa"/>
              <w:bottom w:w="0" w:type="dxa"/>
              <w:right w:w="0" w:type="dxa"/>
            </w:tcMar>
            <w:vAlign w:val="bottom"/>
          </w:tcPr>
          <w:p>
            <w:pPr>
              <w:pStyle w:val="TableContents"/>
              <w:bidi w:val="0"/>
              <w:spacing w:before="0" w:after="283"/>
              <w:jc w:val="right"/>
              <w:rPr/>
            </w:pPr>
            <w:r>
              <w:rPr/>
              <w:t>—</w:t>
            </w:r>
          </w:p>
        </w:tc>
        <w:tc>
          <w:tcPr>
            <w:tcW w:w="154" w:type="dxa"/>
            <w:tcBorders/>
            <w:vAlign w:val="bottom"/>
          </w:tcPr>
          <w:p>
            <w:pPr>
              <w:pStyle w:val="TableContents"/>
              <w:bidi w:val="0"/>
              <w:spacing w:before="0" w:after="283"/>
              <w:jc w:val="left"/>
              <w:rPr/>
            </w:pPr>
            <w:r>
              <w:rPr/>
            </w:r>
          </w:p>
        </w:tc>
      </w:tr>
    </w:tbl>
    <w:p>
      <w:pPr>
        <w:pStyle w:val="TextBody"/>
        <w:bidi w:val="0"/>
        <w:spacing w:lineRule="auto" w:line="288"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bookmarkStart w:id="259" w:name="PageBreakNo16"/>
            <w:bookmarkEnd w:id="259"/>
            <w:r>
              <w:rPr>
                <w:sz w:val="20"/>
              </w:rPr>
              <w:t>16</w:t>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jc w:val="left"/>
        <w:rPr/>
      </w:pPr>
      <w:r>
        <w:rPr/>
      </w:r>
    </w:p>
    <w:p>
      <w:pPr>
        <w:pStyle w:val="TextBody"/>
        <w:bidi w:val="0"/>
        <w:spacing w:lineRule="auto" w:line="288"/>
        <w:jc w:val="left"/>
        <w:rPr/>
      </w:pPr>
      <w:hyperlink w:anchor="TOC">
        <w:r>
          <w:rPr>
            <w:rStyle w:val="InternetLink"/>
            <w:rFonts w:ascii="times new roman;times" w:hAnsi="times new roman;times"/>
            <w:sz w:val="20"/>
          </w:rPr>
          <w:t>Table of Contents</w:t>
        </w:r>
      </w:hyperlink>
    </w:p>
    <w:p>
      <w:pPr>
        <w:pStyle w:val="TextBody"/>
        <w:bidi w:val="0"/>
        <w:spacing w:lineRule="auto" w:line="288" w:before="0" w:after="0"/>
        <w:ind w:left="144" w:right="144" w:hanging="0"/>
        <w:jc w:val="center"/>
        <w:rPr/>
      </w:pPr>
      <w:r>
        <w:rPr/>
      </w:r>
    </w:p>
    <w:p>
      <w:pPr>
        <w:pStyle w:val="TextBody"/>
        <w:widowControl/>
        <w:bidi w:val="0"/>
        <w:spacing w:lineRule="auto" w:line="288" w:before="0" w:after="0"/>
        <w:ind w:left="144" w:right="144" w:hanging="0"/>
        <w:jc w:val="center"/>
        <w:rPr>
          <w:rFonts w:ascii="Times New Roman" w:hAnsi="Times New Roman"/>
          <w:b/>
          <w:sz w:val="20"/>
        </w:rPr>
      </w:pPr>
      <w:r>
        <w:rPr>
          <w:rFonts w:ascii="Times New Roman" w:hAnsi="Times New Roman"/>
          <w:b/>
          <w:i w:val="false"/>
          <w:caps w:val="false"/>
          <w:smallCaps w:val="false"/>
          <w:color w:val="000000"/>
          <w:spacing w:val="0"/>
          <w:sz w:val="20"/>
        </w:rPr>
        <w:t>UNAUDITED </w:t>
      </w:r>
      <w:r>
        <w:rPr>
          <w:rFonts w:ascii="Times New Roman" w:hAnsi="Times New Roman"/>
          <w:b/>
          <w:sz w:val="20"/>
        </w:rPr>
        <w:t>NOTES TO CONDENSED CONSOLIDATED FINANCIAL STATEMENTS</w:t>
      </w:r>
    </w:p>
    <w:p>
      <w:pPr>
        <w:pStyle w:val="TextBody"/>
        <w:bidi w:val="0"/>
        <w:spacing w:lineRule="auto" w:line="288" w:before="0" w:after="0"/>
        <w:ind w:left="144" w:right="144" w:hanging="0"/>
        <w:jc w:val="center"/>
        <w:rPr>
          <w:rFonts w:ascii="Times New Roman" w:hAnsi="Times New Roman"/>
          <w:sz w:val="20"/>
        </w:rPr>
      </w:pPr>
      <w:r>
        <w:rPr>
          <w:rFonts w:ascii="Times New Roman" w:hAnsi="Times New Roman"/>
          <w:sz w:val="20"/>
        </w:rPr>
        <w:t>(Dollars in thousands, except per share amounts)</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12. Shareholders' Equity</w:t>
      </w:r>
    </w:p>
    <w:p>
      <w:pPr>
        <w:pStyle w:val="TextBody"/>
        <w:bidi w:val="0"/>
        <w:spacing w:lineRule="auto" w:line="288" w:before="0" w:after="0"/>
        <w:ind w:left="144" w:right="144" w:hanging="0"/>
        <w:jc w:val="both"/>
        <w:rPr/>
      </w:pPr>
      <w:r>
        <w:rPr/>
        <w:t> </w:t>
      </w:r>
    </w:p>
    <w:tbl>
      <w:tblPr>
        <w:tblW w:w="5000" w:type="pct"/>
        <w:jc w:val="left"/>
        <w:tblInd w:w="0" w:type="dxa"/>
        <w:tblLayout w:type="fixed"/>
        <w:tblCellMar>
          <w:top w:w="0" w:type="dxa"/>
          <w:left w:w="0" w:type="dxa"/>
          <w:bottom w:w="0" w:type="dxa"/>
          <w:right w:w="0" w:type="dxa"/>
        </w:tblCellMar>
      </w:tblPr>
      <w:tblGrid>
        <w:gridCol w:w="4267"/>
        <w:gridCol w:w="100"/>
        <w:gridCol w:w="220"/>
        <w:gridCol w:w="1023"/>
        <w:gridCol w:w="153"/>
        <w:gridCol w:w="142"/>
        <w:gridCol w:w="220"/>
        <w:gridCol w:w="860"/>
        <w:gridCol w:w="115"/>
        <w:gridCol w:w="23"/>
        <w:gridCol w:w="216"/>
        <w:gridCol w:w="1174"/>
        <w:gridCol w:w="147"/>
        <w:gridCol w:w="35"/>
        <w:gridCol w:w="217"/>
        <w:gridCol w:w="1174"/>
        <w:gridCol w:w="119"/>
      </w:tblGrid>
      <w:tr>
        <w:trPr/>
        <w:tc>
          <w:tcPr>
            <w:tcW w:w="4267" w:type="dxa"/>
            <w:tcBorders/>
            <w:vAlign w:val="center"/>
          </w:tcPr>
          <w:p>
            <w:pPr>
              <w:pStyle w:val="TableContents"/>
              <w:bidi w:val="0"/>
              <w:spacing w:before="0" w:after="0"/>
              <w:ind w:left="0" w:right="0" w:hanging="0"/>
              <w:jc w:val="left"/>
              <w:rPr/>
            </w:pPr>
            <w:r>
              <w:rPr/>
              <w:t xml:space="preserve">  </w:t>
            </w:r>
          </w:p>
        </w:tc>
        <w:tc>
          <w:tcPr>
            <w:tcW w:w="100" w:type="dxa"/>
            <w:tcBorders/>
            <w:vAlign w:val="center"/>
          </w:tcPr>
          <w:p>
            <w:pPr>
              <w:pStyle w:val="TableContents"/>
              <w:bidi w:val="0"/>
              <w:spacing w:before="0" w:after="0"/>
              <w:ind w:left="0" w:right="0" w:hanging="0"/>
              <w:jc w:val="left"/>
              <w:rPr/>
            </w:pPr>
            <w:r>
              <w:rPr/>
              <w:t xml:space="preserve">  </w:t>
            </w:r>
          </w:p>
        </w:tc>
        <w:tc>
          <w:tcPr>
            <w:tcW w:w="2618" w:type="dxa"/>
            <w:gridSpan w:val="6"/>
            <w:tcBorders/>
            <w:vAlign w:val="center"/>
          </w:tcPr>
          <w:p>
            <w:pPr>
              <w:pStyle w:val="TableContents"/>
              <w:bidi w:val="0"/>
              <w:spacing w:before="0" w:after="0"/>
              <w:ind w:left="0" w:right="0" w:hanging="0"/>
              <w:jc w:val="center"/>
              <w:rPr>
                <w:rFonts w:ascii="Times New Roman" w:hAnsi="Times New Roman"/>
                <w:b/>
                <w:sz w:val="20"/>
              </w:rPr>
            </w:pPr>
            <w:bookmarkStart w:id="260" w:name="fs_AUX7ASH61S00000000000000000000FM"/>
            <w:bookmarkEnd w:id="260"/>
            <w:r>
              <w:rPr>
                <w:rFonts w:ascii="Times New Roman" w:hAnsi="Times New Roman"/>
                <w:b/>
                <w:sz w:val="20"/>
              </w:rPr>
              <w:t xml:space="preserve">Three months ended September 30, </w:t>
            </w:r>
          </w:p>
        </w:tc>
        <w:tc>
          <w:tcPr>
            <w:tcW w:w="115" w:type="dxa"/>
            <w:tcBorders/>
            <w:vAlign w:val="center"/>
          </w:tcPr>
          <w:p>
            <w:pPr>
              <w:pStyle w:val="TableContents"/>
              <w:bidi w:val="0"/>
              <w:spacing w:before="0" w:after="0"/>
              <w:ind w:left="0" w:right="0" w:hanging="0"/>
              <w:jc w:val="left"/>
              <w:rPr/>
            </w:pPr>
            <w:r>
              <w:rPr/>
              <w:t xml:space="preserve">  </w:t>
            </w:r>
          </w:p>
        </w:tc>
        <w:tc>
          <w:tcPr>
            <w:tcW w:w="23" w:type="dxa"/>
            <w:tcBorders/>
            <w:vAlign w:val="center"/>
          </w:tcPr>
          <w:p>
            <w:pPr>
              <w:pStyle w:val="TableContents"/>
              <w:bidi w:val="0"/>
              <w:spacing w:before="0" w:after="283"/>
              <w:jc w:val="left"/>
              <w:rPr/>
            </w:pPr>
            <w:r>
              <w:rPr/>
            </w:r>
          </w:p>
        </w:tc>
        <w:tc>
          <w:tcPr>
            <w:tcW w:w="2963" w:type="dxa"/>
            <w:gridSpan w:val="6"/>
            <w:tcBorders/>
            <w:vAlign w:val="center"/>
          </w:tcPr>
          <w:p>
            <w:pPr>
              <w:pStyle w:val="TableContents"/>
              <w:bidi w:val="0"/>
              <w:spacing w:before="0" w:after="283"/>
              <w:jc w:val="center"/>
              <w:rPr>
                <w:b/>
              </w:rPr>
            </w:pPr>
            <w:bookmarkStart w:id="261" w:name="fs_RHBDNTFH3400000000000000000000FM"/>
            <w:bookmarkEnd w:id="261"/>
            <w:r>
              <w:rPr>
                <w:b/>
              </w:rPr>
              <w:t>Nine months ended September 30,</w:t>
            </w:r>
          </w:p>
        </w:tc>
        <w:tc>
          <w:tcPr>
            <w:tcW w:w="119" w:type="dxa"/>
            <w:tcBorders/>
            <w:vAlign w:val="center"/>
          </w:tcPr>
          <w:p>
            <w:pPr>
              <w:pStyle w:val="TableContents"/>
              <w:bidi w:val="0"/>
              <w:spacing w:before="0" w:after="283"/>
              <w:jc w:val="left"/>
              <w:rPr/>
            </w:pPr>
            <w:r>
              <w:rPr/>
            </w:r>
          </w:p>
        </w:tc>
      </w:tr>
      <w:tr>
        <w:trPr/>
        <w:tc>
          <w:tcPr>
            <w:tcW w:w="4267" w:type="dxa"/>
            <w:tcBorders/>
            <w:vAlign w:val="center"/>
          </w:tcPr>
          <w:p>
            <w:pPr>
              <w:pStyle w:val="TableContents"/>
              <w:bidi w:val="0"/>
              <w:spacing w:before="0" w:after="0"/>
              <w:ind w:left="0" w:right="0" w:hanging="0"/>
              <w:jc w:val="left"/>
              <w:rPr/>
            </w:pPr>
            <w:r>
              <w:rPr/>
              <w:t xml:space="preserve">  </w:t>
            </w:r>
          </w:p>
        </w:tc>
        <w:tc>
          <w:tcPr>
            <w:tcW w:w="100" w:type="dxa"/>
            <w:tcBorders/>
            <w:vAlign w:val="center"/>
          </w:tcPr>
          <w:p>
            <w:pPr>
              <w:pStyle w:val="TableContents"/>
              <w:bidi w:val="0"/>
              <w:spacing w:before="0" w:after="0"/>
              <w:ind w:left="0" w:right="0" w:hanging="0"/>
              <w:jc w:val="left"/>
              <w:rPr/>
            </w:pPr>
            <w:r>
              <w:rPr/>
              <w:t xml:space="preserve">  </w:t>
            </w:r>
          </w:p>
        </w:tc>
        <w:tc>
          <w:tcPr>
            <w:tcW w:w="1243" w:type="dxa"/>
            <w:gridSpan w:val="2"/>
            <w:tcBorders/>
            <w:vAlign w:val="center"/>
          </w:tcPr>
          <w:p>
            <w:pPr>
              <w:pStyle w:val="TableContents"/>
              <w:bidi w:val="0"/>
              <w:spacing w:before="0" w:after="0"/>
              <w:ind w:left="0" w:right="0" w:hanging="0"/>
              <w:jc w:val="center"/>
              <w:rPr>
                <w:rFonts w:ascii="Times New Roman" w:hAnsi="Times New Roman"/>
                <w:b/>
                <w:sz w:val="20"/>
              </w:rPr>
            </w:pPr>
            <w:bookmarkStart w:id="262" w:name="fs_MFDNO928HC00000000000000000000fs"/>
            <w:bookmarkEnd w:id="262"/>
            <w:r>
              <w:rPr>
                <w:rFonts w:ascii="Times New Roman" w:hAnsi="Times New Roman"/>
                <w:b/>
                <w:sz w:val="20"/>
              </w:rPr>
              <w:t xml:space="preserve">2025 </w:t>
            </w:r>
          </w:p>
        </w:tc>
        <w:tc>
          <w:tcPr>
            <w:tcW w:w="153" w:type="dxa"/>
            <w:tcBorders/>
            <w:vAlign w:val="center"/>
          </w:tcPr>
          <w:p>
            <w:pPr>
              <w:pStyle w:val="TableContents"/>
              <w:bidi w:val="0"/>
              <w:spacing w:before="0" w:after="0"/>
              <w:ind w:left="0" w:right="0" w:hanging="0"/>
              <w:jc w:val="left"/>
              <w:rPr/>
            </w:pPr>
            <w:r>
              <w:rPr/>
              <w:t xml:space="preserve">  </w:t>
            </w:r>
          </w:p>
        </w:tc>
        <w:tc>
          <w:tcPr>
            <w:tcW w:w="142" w:type="dxa"/>
            <w:tcBorders/>
            <w:vAlign w:val="center"/>
          </w:tcPr>
          <w:p>
            <w:pPr>
              <w:pStyle w:val="TableContents"/>
              <w:bidi w:val="0"/>
              <w:spacing w:before="0" w:after="0"/>
              <w:ind w:left="0" w:right="0" w:hanging="0"/>
              <w:jc w:val="left"/>
              <w:rPr/>
            </w:pPr>
            <w:r>
              <w:rPr/>
              <w:t xml:space="preserve">  </w:t>
            </w:r>
          </w:p>
        </w:tc>
        <w:tc>
          <w:tcPr>
            <w:tcW w:w="1080" w:type="dxa"/>
            <w:gridSpan w:val="2"/>
            <w:tcBorders/>
            <w:vAlign w:val="center"/>
          </w:tcPr>
          <w:p>
            <w:pPr>
              <w:pStyle w:val="TableContents"/>
              <w:bidi w:val="0"/>
              <w:spacing w:before="0" w:after="0"/>
              <w:ind w:left="0" w:right="0" w:hanging="0"/>
              <w:jc w:val="center"/>
              <w:rPr>
                <w:rFonts w:ascii="Times New Roman" w:hAnsi="Times New Roman"/>
                <w:b/>
                <w:sz w:val="20"/>
              </w:rPr>
            </w:pPr>
            <w:bookmarkStart w:id="263" w:name="fs_967RHZ2JQO00000000000000000000fs"/>
            <w:bookmarkEnd w:id="263"/>
            <w:r>
              <w:rPr>
                <w:rFonts w:ascii="Times New Roman" w:hAnsi="Times New Roman"/>
                <w:b/>
                <w:sz w:val="20"/>
              </w:rPr>
              <w:t xml:space="preserve">2024 </w:t>
            </w:r>
          </w:p>
        </w:tc>
        <w:tc>
          <w:tcPr>
            <w:tcW w:w="115" w:type="dxa"/>
            <w:tcBorders/>
            <w:vAlign w:val="center"/>
          </w:tcPr>
          <w:p>
            <w:pPr>
              <w:pStyle w:val="TableContents"/>
              <w:bidi w:val="0"/>
              <w:spacing w:before="0" w:after="0"/>
              <w:ind w:left="0" w:right="0" w:hanging="0"/>
              <w:jc w:val="left"/>
              <w:rPr/>
            </w:pPr>
            <w:r>
              <w:rPr/>
              <w:t xml:space="preserve">  </w:t>
            </w:r>
          </w:p>
        </w:tc>
        <w:tc>
          <w:tcPr>
            <w:tcW w:w="23" w:type="dxa"/>
            <w:tcBorders/>
            <w:vAlign w:val="center"/>
          </w:tcPr>
          <w:p>
            <w:pPr>
              <w:pStyle w:val="TableContents"/>
              <w:bidi w:val="0"/>
              <w:spacing w:before="0" w:after="283"/>
              <w:jc w:val="left"/>
              <w:rPr/>
            </w:pPr>
            <w:r>
              <w:rPr/>
            </w:r>
          </w:p>
        </w:tc>
        <w:tc>
          <w:tcPr>
            <w:tcW w:w="1390" w:type="dxa"/>
            <w:gridSpan w:val="2"/>
            <w:tcBorders/>
            <w:vAlign w:val="center"/>
          </w:tcPr>
          <w:p>
            <w:pPr>
              <w:pStyle w:val="TableContents"/>
              <w:bidi w:val="0"/>
              <w:spacing w:before="0" w:after="283"/>
              <w:jc w:val="center"/>
              <w:rPr>
                <w:b/>
              </w:rPr>
            </w:pPr>
            <w:bookmarkStart w:id="264" w:name="fs_DHB79JX57400000000000000000000fs"/>
            <w:bookmarkEnd w:id="264"/>
            <w:r>
              <w:rPr>
                <w:b/>
              </w:rPr>
              <w:t>2025</w:t>
            </w:r>
          </w:p>
        </w:tc>
        <w:tc>
          <w:tcPr>
            <w:tcW w:w="147" w:type="dxa"/>
            <w:tcBorders/>
            <w:vAlign w:val="center"/>
          </w:tcPr>
          <w:p>
            <w:pPr>
              <w:pStyle w:val="TableContents"/>
              <w:bidi w:val="0"/>
              <w:spacing w:before="0" w:after="283"/>
              <w:jc w:val="left"/>
              <w:rPr/>
            </w:pPr>
            <w:r>
              <w:rPr/>
            </w:r>
          </w:p>
        </w:tc>
        <w:tc>
          <w:tcPr>
            <w:tcW w:w="35" w:type="dxa"/>
            <w:tcBorders/>
            <w:vAlign w:val="center"/>
          </w:tcPr>
          <w:p>
            <w:pPr>
              <w:pStyle w:val="TableContents"/>
              <w:bidi w:val="0"/>
              <w:spacing w:before="0" w:after="283"/>
              <w:jc w:val="left"/>
              <w:rPr/>
            </w:pPr>
            <w:r>
              <w:rPr/>
            </w:r>
          </w:p>
        </w:tc>
        <w:tc>
          <w:tcPr>
            <w:tcW w:w="1391" w:type="dxa"/>
            <w:gridSpan w:val="2"/>
            <w:tcBorders/>
            <w:vAlign w:val="center"/>
          </w:tcPr>
          <w:p>
            <w:pPr>
              <w:pStyle w:val="TableContents"/>
              <w:bidi w:val="0"/>
              <w:spacing w:before="0" w:after="283"/>
              <w:jc w:val="center"/>
              <w:rPr>
                <w:b/>
              </w:rPr>
            </w:pPr>
            <w:bookmarkStart w:id="265" w:name="fs_9NHKA7N0TC00000000000000000000fs"/>
            <w:bookmarkEnd w:id="265"/>
            <w:r>
              <w:rPr>
                <w:b/>
              </w:rPr>
              <w:t>2024</w:t>
            </w:r>
          </w:p>
        </w:tc>
        <w:tc>
          <w:tcPr>
            <w:tcW w:w="119" w:type="dxa"/>
            <w:tcBorders/>
            <w:vAlign w:val="center"/>
          </w:tcPr>
          <w:p>
            <w:pPr>
              <w:pStyle w:val="TableContents"/>
              <w:bidi w:val="0"/>
              <w:spacing w:before="0" w:after="283"/>
              <w:jc w:val="left"/>
              <w:rPr/>
            </w:pPr>
            <w:r>
              <w:rPr/>
            </w:r>
          </w:p>
        </w:tc>
      </w:tr>
      <w:tr>
        <w:trPr/>
        <w:tc>
          <w:tcPr>
            <w:tcW w:w="4267" w:type="dxa"/>
            <w:tcBorders/>
            <w:shd w:fill="CCEEFF" w:val="clear"/>
            <w:vAlign w:val="center"/>
          </w:tcPr>
          <w:p>
            <w:pPr>
              <w:pStyle w:val="TableContents"/>
              <w:bidi w:val="0"/>
              <w:spacing w:before="0" w:after="283"/>
              <w:jc w:val="left"/>
              <w:rPr>
                <w:b/>
              </w:rPr>
            </w:pPr>
            <w:r>
              <w:rPr>
                <w:b/>
              </w:rPr>
              <w:t>Temporary equity</w:t>
            </w:r>
          </w:p>
        </w:tc>
        <w:tc>
          <w:tcPr>
            <w:tcW w:w="100" w:type="dxa"/>
            <w:tcBorders/>
            <w:shd w:fill="CCEEFF" w:val="clear"/>
            <w:vAlign w:val="center"/>
          </w:tcPr>
          <w:p>
            <w:pPr>
              <w:pStyle w:val="TableContents"/>
              <w:bidi w:val="0"/>
              <w:spacing w:before="0" w:after="283"/>
              <w:jc w:val="left"/>
              <w:rPr/>
            </w:pPr>
            <w:r>
              <w:rPr/>
            </w:r>
          </w:p>
        </w:tc>
        <w:tc>
          <w:tcPr>
            <w:tcW w:w="220" w:type="dxa"/>
            <w:tcBorders/>
            <w:shd w:fill="CCEEFF" w:val="clear"/>
            <w:vAlign w:val="center"/>
          </w:tcPr>
          <w:p>
            <w:pPr>
              <w:pStyle w:val="TableContents"/>
              <w:bidi w:val="0"/>
              <w:spacing w:before="0" w:after="283"/>
              <w:jc w:val="left"/>
              <w:rPr/>
            </w:pPr>
            <w:r>
              <w:rPr/>
            </w:r>
          </w:p>
        </w:tc>
        <w:tc>
          <w:tcPr>
            <w:tcW w:w="1023" w:type="dxa"/>
            <w:tcBorders/>
            <w:shd w:fill="CCEEFF" w:val="clear"/>
            <w:vAlign w:val="center"/>
          </w:tcPr>
          <w:p>
            <w:pPr>
              <w:pStyle w:val="TableContents"/>
              <w:bidi w:val="0"/>
              <w:spacing w:before="0" w:after="283"/>
              <w:jc w:val="left"/>
              <w:rPr/>
            </w:pPr>
            <w:r>
              <w:rPr/>
            </w:r>
          </w:p>
        </w:tc>
        <w:tc>
          <w:tcPr>
            <w:tcW w:w="153" w:type="dxa"/>
            <w:tcBorders/>
            <w:shd w:fill="CCEEFF" w:val="clear"/>
            <w:vAlign w:val="center"/>
          </w:tcPr>
          <w:p>
            <w:pPr>
              <w:pStyle w:val="TableContents"/>
              <w:bidi w:val="0"/>
              <w:spacing w:before="0" w:after="283"/>
              <w:jc w:val="left"/>
              <w:rPr/>
            </w:pPr>
            <w:r>
              <w:rPr/>
            </w:r>
          </w:p>
        </w:tc>
        <w:tc>
          <w:tcPr>
            <w:tcW w:w="142" w:type="dxa"/>
            <w:tcBorders/>
            <w:shd w:fill="CCEEFF" w:val="clear"/>
            <w:vAlign w:val="center"/>
          </w:tcPr>
          <w:p>
            <w:pPr>
              <w:pStyle w:val="TableContents"/>
              <w:bidi w:val="0"/>
              <w:spacing w:before="0" w:after="283"/>
              <w:jc w:val="left"/>
              <w:rPr/>
            </w:pPr>
            <w:r>
              <w:rPr/>
            </w:r>
          </w:p>
        </w:tc>
        <w:tc>
          <w:tcPr>
            <w:tcW w:w="220" w:type="dxa"/>
            <w:tcBorders/>
            <w:shd w:fill="CCEEFF" w:val="clear"/>
            <w:vAlign w:val="center"/>
          </w:tcPr>
          <w:p>
            <w:pPr>
              <w:pStyle w:val="TableContents"/>
              <w:bidi w:val="0"/>
              <w:spacing w:before="0" w:after="283"/>
              <w:jc w:val="left"/>
              <w:rPr/>
            </w:pPr>
            <w:r>
              <w:rPr/>
            </w:r>
          </w:p>
        </w:tc>
        <w:tc>
          <w:tcPr>
            <w:tcW w:w="860" w:type="dxa"/>
            <w:tcBorders/>
            <w:shd w:fill="CCEEFF" w:val="clear"/>
            <w:vAlign w:val="center"/>
          </w:tcPr>
          <w:p>
            <w:pPr>
              <w:pStyle w:val="TableContents"/>
              <w:bidi w:val="0"/>
              <w:spacing w:before="0" w:after="283"/>
              <w:jc w:val="left"/>
              <w:rPr/>
            </w:pPr>
            <w:r>
              <w:rPr/>
            </w:r>
          </w:p>
        </w:tc>
        <w:tc>
          <w:tcPr>
            <w:tcW w:w="115"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216" w:type="dxa"/>
            <w:tcBorders/>
            <w:shd w:fill="CCEEFF" w:val="clear"/>
            <w:vAlign w:val="center"/>
          </w:tcPr>
          <w:p>
            <w:pPr>
              <w:pStyle w:val="TableContents"/>
              <w:bidi w:val="0"/>
              <w:spacing w:before="0" w:after="283"/>
              <w:jc w:val="left"/>
              <w:rPr/>
            </w:pPr>
            <w:r>
              <w:rPr/>
            </w:r>
          </w:p>
        </w:tc>
        <w:tc>
          <w:tcPr>
            <w:tcW w:w="1174" w:type="dxa"/>
            <w:tcBorders/>
            <w:shd w:fill="CCEEFF" w:val="clear"/>
            <w:vAlign w:val="center"/>
          </w:tcPr>
          <w:p>
            <w:pPr>
              <w:pStyle w:val="TableContents"/>
              <w:bidi w:val="0"/>
              <w:spacing w:before="0" w:after="283"/>
              <w:jc w:val="left"/>
              <w:rPr/>
            </w:pPr>
            <w:r>
              <w:rPr/>
            </w:r>
          </w:p>
        </w:tc>
        <w:tc>
          <w:tcPr>
            <w:tcW w:w="147" w:type="dxa"/>
            <w:tcBorders/>
            <w:shd w:fill="CCEEFF" w:val="clear"/>
            <w:vAlign w:val="center"/>
          </w:tcPr>
          <w:p>
            <w:pPr>
              <w:pStyle w:val="TableContents"/>
              <w:bidi w:val="0"/>
              <w:spacing w:before="0" w:after="283"/>
              <w:jc w:val="left"/>
              <w:rPr/>
            </w:pPr>
            <w:r>
              <w:rPr/>
            </w:r>
          </w:p>
        </w:tc>
        <w:tc>
          <w:tcPr>
            <w:tcW w:w="35" w:type="dxa"/>
            <w:tcBorders/>
            <w:shd w:fill="CCEEFF" w:val="clear"/>
            <w:vAlign w:val="center"/>
          </w:tcPr>
          <w:p>
            <w:pPr>
              <w:pStyle w:val="TableContents"/>
              <w:bidi w:val="0"/>
              <w:spacing w:before="0" w:after="283"/>
              <w:jc w:val="left"/>
              <w:rPr/>
            </w:pPr>
            <w:r>
              <w:rPr/>
            </w:r>
          </w:p>
        </w:tc>
        <w:tc>
          <w:tcPr>
            <w:tcW w:w="217" w:type="dxa"/>
            <w:tcBorders/>
            <w:shd w:fill="CCEEFF" w:val="clear"/>
            <w:vAlign w:val="center"/>
          </w:tcPr>
          <w:p>
            <w:pPr>
              <w:pStyle w:val="TableContents"/>
              <w:bidi w:val="0"/>
              <w:spacing w:before="0" w:after="283"/>
              <w:jc w:val="left"/>
              <w:rPr/>
            </w:pPr>
            <w:r>
              <w:rPr/>
            </w:r>
          </w:p>
        </w:tc>
        <w:tc>
          <w:tcPr>
            <w:tcW w:w="1174" w:type="dxa"/>
            <w:tcBorders/>
            <w:shd w:fill="CCEEFF" w:val="clear"/>
            <w:vAlign w:val="center"/>
          </w:tcPr>
          <w:p>
            <w:pPr>
              <w:pStyle w:val="TableContents"/>
              <w:bidi w:val="0"/>
              <w:spacing w:before="0" w:after="283"/>
              <w:jc w:val="left"/>
              <w:rPr/>
            </w:pPr>
            <w:r>
              <w:rPr/>
            </w:r>
          </w:p>
        </w:tc>
        <w:tc>
          <w:tcPr>
            <w:tcW w:w="119" w:type="dxa"/>
            <w:tcBorders/>
            <w:shd w:fill="CCEEFF" w:val="clear"/>
            <w:vAlign w:val="center"/>
          </w:tcPr>
          <w:p>
            <w:pPr>
              <w:pStyle w:val="TableContents"/>
              <w:bidi w:val="0"/>
              <w:spacing w:before="0" w:after="283"/>
              <w:jc w:val="left"/>
              <w:rPr/>
            </w:pPr>
            <w:r>
              <w:rPr/>
            </w:r>
          </w:p>
        </w:tc>
      </w:tr>
      <w:tr>
        <w:trPr/>
        <w:tc>
          <w:tcPr>
            <w:tcW w:w="4267"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Balance, beginning of period</w:t>
            </w:r>
          </w:p>
        </w:tc>
        <w:tc>
          <w:tcPr>
            <w:tcW w:w="100" w:type="dxa"/>
            <w:tcBorders/>
            <w:vAlign w:val="center"/>
          </w:tcPr>
          <w:p>
            <w:pPr>
              <w:pStyle w:val="TableContents"/>
              <w:bidi w:val="0"/>
              <w:spacing w:before="0" w:after="283"/>
              <w:jc w:val="left"/>
              <w:rPr/>
            </w:pPr>
            <w:r>
              <w:rPr/>
            </w:r>
          </w:p>
        </w:tc>
        <w:tc>
          <w:tcPr>
            <w:tcW w:w="220" w:type="dxa"/>
            <w:tcBorders/>
            <w:vAlign w:val="center"/>
          </w:tcPr>
          <w:p>
            <w:pPr>
              <w:pStyle w:val="TableContents"/>
              <w:bidi w:val="0"/>
              <w:spacing w:before="0" w:after="283"/>
              <w:jc w:val="left"/>
              <w:rPr/>
            </w:pPr>
            <w:r>
              <w:rPr/>
              <w:t>$</w:t>
            </w:r>
          </w:p>
        </w:tc>
        <w:tc>
          <w:tcPr>
            <w:tcW w:w="1023" w:type="dxa"/>
            <w:tcBorders/>
            <w:vAlign w:val="center"/>
          </w:tcPr>
          <w:p>
            <w:pPr>
              <w:pStyle w:val="TableContents"/>
              <w:bidi w:val="0"/>
              <w:spacing w:before="0" w:after="283"/>
              <w:jc w:val="right"/>
              <w:rPr/>
            </w:pPr>
            <w:r>
              <w:rPr/>
              <w:t>—</w:t>
            </w:r>
          </w:p>
        </w:tc>
        <w:tc>
          <w:tcPr>
            <w:tcW w:w="153" w:type="dxa"/>
            <w:tcBorders/>
            <w:vAlign w:val="center"/>
          </w:tcPr>
          <w:p>
            <w:pPr>
              <w:pStyle w:val="TableContents"/>
              <w:bidi w:val="0"/>
              <w:spacing w:before="0" w:after="283"/>
              <w:jc w:val="left"/>
              <w:rPr/>
            </w:pPr>
            <w:r>
              <w:rPr/>
            </w:r>
          </w:p>
        </w:tc>
        <w:tc>
          <w:tcPr>
            <w:tcW w:w="142" w:type="dxa"/>
            <w:tcBorders/>
            <w:vAlign w:val="center"/>
          </w:tcPr>
          <w:p>
            <w:pPr>
              <w:pStyle w:val="TableContents"/>
              <w:bidi w:val="0"/>
              <w:spacing w:before="0" w:after="283"/>
              <w:jc w:val="left"/>
              <w:rPr/>
            </w:pPr>
            <w:r>
              <w:rPr/>
            </w:r>
          </w:p>
        </w:tc>
        <w:tc>
          <w:tcPr>
            <w:tcW w:w="220" w:type="dxa"/>
            <w:tcBorders/>
            <w:vAlign w:val="center"/>
          </w:tcPr>
          <w:p>
            <w:pPr>
              <w:pStyle w:val="TableContents"/>
              <w:bidi w:val="0"/>
              <w:spacing w:before="0" w:after="283"/>
              <w:jc w:val="left"/>
              <w:rPr/>
            </w:pPr>
            <w:r>
              <w:rPr/>
              <w:t>$</w:t>
            </w:r>
          </w:p>
        </w:tc>
        <w:tc>
          <w:tcPr>
            <w:tcW w:w="860" w:type="dxa"/>
            <w:tcBorders/>
            <w:vAlign w:val="center"/>
          </w:tcPr>
          <w:p>
            <w:pPr>
              <w:pStyle w:val="TableContents"/>
              <w:bidi w:val="0"/>
              <w:spacing w:before="0" w:after="283"/>
              <w:jc w:val="right"/>
              <w:rPr/>
            </w:pPr>
            <w:r>
              <w:rPr/>
              <w:t>—</w:t>
            </w:r>
          </w:p>
        </w:tc>
        <w:tc>
          <w:tcPr>
            <w:tcW w:w="115"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16" w:type="dxa"/>
            <w:tcBorders/>
            <w:vAlign w:val="center"/>
          </w:tcPr>
          <w:p>
            <w:pPr>
              <w:pStyle w:val="TableContents"/>
              <w:bidi w:val="0"/>
              <w:spacing w:before="0" w:after="283"/>
              <w:jc w:val="left"/>
              <w:rPr/>
            </w:pPr>
            <w:r>
              <w:rPr/>
              <w:t>$</w:t>
            </w:r>
          </w:p>
        </w:tc>
        <w:tc>
          <w:tcPr>
            <w:tcW w:w="1174" w:type="dxa"/>
            <w:tcBorders/>
            <w:vAlign w:val="center"/>
          </w:tcPr>
          <w:p>
            <w:pPr>
              <w:pStyle w:val="TableContents"/>
              <w:bidi w:val="0"/>
              <w:spacing w:before="0" w:after="283"/>
              <w:jc w:val="right"/>
              <w:rPr/>
            </w:pPr>
            <w:r>
              <w:rPr/>
              <w:t>—</w:t>
            </w:r>
          </w:p>
        </w:tc>
        <w:tc>
          <w:tcPr>
            <w:tcW w:w="147" w:type="dxa"/>
            <w:tcBorders/>
            <w:vAlign w:val="center"/>
          </w:tcPr>
          <w:p>
            <w:pPr>
              <w:pStyle w:val="TableContents"/>
              <w:bidi w:val="0"/>
              <w:spacing w:before="0" w:after="283"/>
              <w:jc w:val="left"/>
              <w:rPr/>
            </w:pPr>
            <w:r>
              <w:rPr/>
            </w:r>
          </w:p>
        </w:tc>
        <w:tc>
          <w:tcPr>
            <w:tcW w:w="35" w:type="dxa"/>
            <w:tcBorders/>
            <w:vAlign w:val="center"/>
          </w:tcPr>
          <w:p>
            <w:pPr>
              <w:pStyle w:val="TableContents"/>
              <w:bidi w:val="0"/>
              <w:spacing w:before="0" w:after="283"/>
              <w:jc w:val="left"/>
              <w:rPr/>
            </w:pPr>
            <w:r>
              <w:rPr/>
            </w:r>
          </w:p>
        </w:tc>
        <w:tc>
          <w:tcPr>
            <w:tcW w:w="217" w:type="dxa"/>
            <w:tcBorders/>
            <w:vAlign w:val="center"/>
          </w:tcPr>
          <w:p>
            <w:pPr>
              <w:pStyle w:val="TableContents"/>
              <w:bidi w:val="0"/>
              <w:spacing w:before="0" w:after="283"/>
              <w:jc w:val="left"/>
              <w:rPr/>
            </w:pPr>
            <w:r>
              <w:rPr/>
              <w:t>$</w:t>
            </w:r>
          </w:p>
        </w:tc>
        <w:tc>
          <w:tcPr>
            <w:tcW w:w="1174" w:type="dxa"/>
            <w:tcBorders/>
            <w:vAlign w:val="center"/>
          </w:tcPr>
          <w:p>
            <w:pPr>
              <w:pStyle w:val="TableContents"/>
              <w:bidi w:val="0"/>
              <w:spacing w:before="0" w:after="283"/>
              <w:jc w:val="right"/>
              <w:rPr/>
            </w:pPr>
            <w:r>
              <w:rPr/>
              <w:t>—</w:t>
            </w:r>
          </w:p>
        </w:tc>
        <w:tc>
          <w:tcPr>
            <w:tcW w:w="119" w:type="dxa"/>
            <w:tcBorders/>
            <w:vAlign w:val="center"/>
          </w:tcPr>
          <w:p>
            <w:pPr>
              <w:pStyle w:val="TableContents"/>
              <w:bidi w:val="0"/>
              <w:spacing w:before="0" w:after="283"/>
              <w:jc w:val="left"/>
              <w:rPr/>
            </w:pPr>
            <w:r>
              <w:rPr/>
            </w:r>
          </w:p>
        </w:tc>
      </w:tr>
      <w:tr>
        <w:trPr/>
        <w:tc>
          <w:tcPr>
            <w:tcW w:w="426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Issue temporary equity Class A redeemable preferred stock</w:t>
            </w:r>
          </w:p>
        </w:tc>
        <w:tc>
          <w:tcPr>
            <w:tcW w:w="100" w:type="dxa"/>
            <w:tcBorders/>
            <w:shd w:fill="CCEEFF" w:val="clear"/>
            <w:vAlign w:val="center"/>
          </w:tcPr>
          <w:p>
            <w:pPr>
              <w:pStyle w:val="TableContents"/>
              <w:bidi w:val="0"/>
              <w:spacing w:before="0" w:after="283"/>
              <w:jc w:val="left"/>
              <w:rPr/>
            </w:pPr>
            <w:r>
              <w:rPr/>
            </w:r>
          </w:p>
        </w:tc>
        <w:tc>
          <w:tcPr>
            <w:tcW w:w="220" w:type="dxa"/>
            <w:tcBorders/>
            <w:shd w:fill="CCEEFF" w:val="clear"/>
            <w:vAlign w:val="center"/>
          </w:tcPr>
          <w:p>
            <w:pPr>
              <w:pStyle w:val="TableContents"/>
              <w:bidi w:val="0"/>
              <w:spacing w:before="0" w:after="283"/>
              <w:jc w:val="left"/>
              <w:rPr/>
            </w:pPr>
            <w:r>
              <w:rPr/>
            </w:r>
          </w:p>
        </w:tc>
        <w:tc>
          <w:tcPr>
            <w:tcW w:w="1023" w:type="dxa"/>
            <w:tcBorders/>
            <w:shd w:fill="CCEEFF" w:val="clear"/>
            <w:vAlign w:val="center"/>
          </w:tcPr>
          <w:p>
            <w:pPr>
              <w:pStyle w:val="TableContents"/>
              <w:bidi w:val="0"/>
              <w:spacing w:before="0" w:after="283"/>
              <w:jc w:val="right"/>
              <w:rPr/>
            </w:pPr>
            <w:r>
              <w:rPr/>
              <w:t>758</w:t>
            </w:r>
          </w:p>
        </w:tc>
        <w:tc>
          <w:tcPr>
            <w:tcW w:w="153" w:type="dxa"/>
            <w:tcBorders/>
            <w:shd w:fill="CCEEFF" w:val="clear"/>
            <w:vAlign w:val="center"/>
          </w:tcPr>
          <w:p>
            <w:pPr>
              <w:pStyle w:val="TableContents"/>
              <w:bidi w:val="0"/>
              <w:spacing w:before="0" w:after="283"/>
              <w:jc w:val="left"/>
              <w:rPr/>
            </w:pPr>
            <w:r>
              <w:rPr/>
            </w:r>
          </w:p>
        </w:tc>
        <w:tc>
          <w:tcPr>
            <w:tcW w:w="142" w:type="dxa"/>
            <w:tcBorders/>
            <w:shd w:fill="CCEEFF" w:val="clear"/>
            <w:vAlign w:val="center"/>
          </w:tcPr>
          <w:p>
            <w:pPr>
              <w:pStyle w:val="TableContents"/>
              <w:bidi w:val="0"/>
              <w:spacing w:before="0" w:after="283"/>
              <w:jc w:val="left"/>
              <w:rPr/>
            </w:pPr>
            <w:r>
              <w:rPr/>
            </w:r>
          </w:p>
        </w:tc>
        <w:tc>
          <w:tcPr>
            <w:tcW w:w="220" w:type="dxa"/>
            <w:tcBorders/>
            <w:shd w:fill="CCEEFF" w:val="clear"/>
            <w:vAlign w:val="center"/>
          </w:tcPr>
          <w:p>
            <w:pPr>
              <w:pStyle w:val="TableContents"/>
              <w:bidi w:val="0"/>
              <w:spacing w:before="0" w:after="283"/>
              <w:jc w:val="left"/>
              <w:rPr/>
            </w:pPr>
            <w:r>
              <w:rPr/>
            </w:r>
          </w:p>
        </w:tc>
        <w:tc>
          <w:tcPr>
            <w:tcW w:w="860"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216" w:type="dxa"/>
            <w:tcBorders/>
            <w:shd w:fill="CCEEFF" w:val="clear"/>
            <w:vAlign w:val="center"/>
          </w:tcPr>
          <w:p>
            <w:pPr>
              <w:pStyle w:val="TableContents"/>
              <w:bidi w:val="0"/>
              <w:spacing w:before="0" w:after="283"/>
              <w:jc w:val="left"/>
              <w:rPr/>
            </w:pPr>
            <w:r>
              <w:rPr/>
            </w:r>
          </w:p>
        </w:tc>
        <w:tc>
          <w:tcPr>
            <w:tcW w:w="1174" w:type="dxa"/>
            <w:tcBorders/>
            <w:shd w:fill="CCEEFF" w:val="clear"/>
            <w:vAlign w:val="center"/>
          </w:tcPr>
          <w:p>
            <w:pPr>
              <w:pStyle w:val="TableContents"/>
              <w:bidi w:val="0"/>
              <w:spacing w:before="0" w:after="283"/>
              <w:jc w:val="right"/>
              <w:rPr/>
            </w:pPr>
            <w:r>
              <w:rPr/>
              <w:t>758</w:t>
            </w:r>
          </w:p>
        </w:tc>
        <w:tc>
          <w:tcPr>
            <w:tcW w:w="147" w:type="dxa"/>
            <w:tcBorders/>
            <w:shd w:fill="CCEEFF" w:val="clear"/>
            <w:vAlign w:val="center"/>
          </w:tcPr>
          <w:p>
            <w:pPr>
              <w:pStyle w:val="TableContents"/>
              <w:bidi w:val="0"/>
              <w:spacing w:before="0" w:after="283"/>
              <w:jc w:val="left"/>
              <w:rPr/>
            </w:pPr>
            <w:r>
              <w:rPr/>
            </w:r>
          </w:p>
        </w:tc>
        <w:tc>
          <w:tcPr>
            <w:tcW w:w="35" w:type="dxa"/>
            <w:tcBorders/>
            <w:shd w:fill="CCEEFF" w:val="clear"/>
            <w:vAlign w:val="center"/>
          </w:tcPr>
          <w:p>
            <w:pPr>
              <w:pStyle w:val="TableContents"/>
              <w:bidi w:val="0"/>
              <w:spacing w:before="0" w:after="283"/>
              <w:jc w:val="left"/>
              <w:rPr/>
            </w:pPr>
            <w:r>
              <w:rPr/>
            </w:r>
          </w:p>
        </w:tc>
        <w:tc>
          <w:tcPr>
            <w:tcW w:w="217" w:type="dxa"/>
            <w:tcBorders/>
            <w:shd w:fill="CCEEFF" w:val="clear"/>
            <w:vAlign w:val="center"/>
          </w:tcPr>
          <w:p>
            <w:pPr>
              <w:pStyle w:val="TableContents"/>
              <w:bidi w:val="0"/>
              <w:spacing w:before="0" w:after="283"/>
              <w:jc w:val="left"/>
              <w:rPr/>
            </w:pPr>
            <w:r>
              <w:rPr/>
            </w:r>
          </w:p>
        </w:tc>
        <w:tc>
          <w:tcPr>
            <w:tcW w:w="1174" w:type="dxa"/>
            <w:tcBorders/>
            <w:shd w:fill="CCEEFF" w:val="clear"/>
            <w:vAlign w:val="center"/>
          </w:tcPr>
          <w:p>
            <w:pPr>
              <w:pStyle w:val="TableContents"/>
              <w:bidi w:val="0"/>
              <w:spacing w:before="0" w:after="283"/>
              <w:jc w:val="right"/>
              <w:rPr/>
            </w:pPr>
            <w:r>
              <w:rPr/>
              <w:t>—</w:t>
            </w:r>
          </w:p>
        </w:tc>
        <w:tc>
          <w:tcPr>
            <w:tcW w:w="119" w:type="dxa"/>
            <w:tcBorders/>
            <w:shd w:fill="CCEEFF" w:val="clear"/>
            <w:vAlign w:val="center"/>
          </w:tcPr>
          <w:p>
            <w:pPr>
              <w:pStyle w:val="TableContents"/>
              <w:bidi w:val="0"/>
              <w:spacing w:before="0" w:after="283"/>
              <w:jc w:val="left"/>
              <w:rPr/>
            </w:pPr>
            <w:r>
              <w:rPr/>
            </w:r>
          </w:p>
        </w:tc>
      </w:tr>
      <w:tr>
        <w:trPr/>
        <w:tc>
          <w:tcPr>
            <w:tcW w:w="4267"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Balance, end of period</w:t>
            </w:r>
          </w:p>
        </w:tc>
        <w:tc>
          <w:tcPr>
            <w:tcW w:w="100" w:type="dxa"/>
            <w:tcBorders/>
            <w:vAlign w:val="center"/>
          </w:tcPr>
          <w:p>
            <w:pPr>
              <w:pStyle w:val="TableContents"/>
              <w:bidi w:val="0"/>
              <w:spacing w:before="0" w:after="283"/>
              <w:jc w:val="left"/>
              <w:rPr/>
            </w:pPr>
            <w:r>
              <w:rPr/>
            </w:r>
          </w:p>
        </w:tc>
        <w:tc>
          <w:tcPr>
            <w:tcW w:w="22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w:t>
            </w:r>
          </w:p>
        </w:tc>
        <w:tc>
          <w:tcPr>
            <w:tcW w:w="1023"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right"/>
              <w:rPr/>
            </w:pPr>
            <w:r>
              <w:rPr/>
              <w:t>758</w:t>
            </w:r>
          </w:p>
        </w:tc>
        <w:tc>
          <w:tcPr>
            <w:tcW w:w="153" w:type="dxa"/>
            <w:tcBorders/>
            <w:vAlign w:val="center"/>
          </w:tcPr>
          <w:p>
            <w:pPr>
              <w:pStyle w:val="TableContents"/>
              <w:bidi w:val="0"/>
              <w:spacing w:before="0" w:after="283"/>
              <w:jc w:val="left"/>
              <w:rPr/>
            </w:pPr>
            <w:r>
              <w:rPr/>
            </w:r>
          </w:p>
        </w:tc>
        <w:tc>
          <w:tcPr>
            <w:tcW w:w="142" w:type="dxa"/>
            <w:tcBorders/>
            <w:vAlign w:val="center"/>
          </w:tcPr>
          <w:p>
            <w:pPr>
              <w:pStyle w:val="TableContents"/>
              <w:bidi w:val="0"/>
              <w:spacing w:before="0" w:after="283"/>
              <w:jc w:val="left"/>
              <w:rPr/>
            </w:pPr>
            <w:r>
              <w:rPr/>
            </w:r>
          </w:p>
        </w:tc>
        <w:tc>
          <w:tcPr>
            <w:tcW w:w="22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w:t>
            </w:r>
          </w:p>
        </w:tc>
        <w:tc>
          <w:tcPr>
            <w:tcW w:w="86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right"/>
              <w:rPr/>
            </w:pPr>
            <w:r>
              <w:rPr/>
              <w:t>—</w:t>
            </w:r>
          </w:p>
        </w:tc>
        <w:tc>
          <w:tcPr>
            <w:tcW w:w="115"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1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w:t>
            </w:r>
          </w:p>
        </w:tc>
        <w:tc>
          <w:tcPr>
            <w:tcW w:w="1174"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right"/>
              <w:rPr/>
            </w:pPr>
            <w:r>
              <w:rPr/>
              <w:t>758</w:t>
            </w:r>
          </w:p>
        </w:tc>
        <w:tc>
          <w:tcPr>
            <w:tcW w:w="147" w:type="dxa"/>
            <w:tcBorders/>
            <w:vAlign w:val="center"/>
          </w:tcPr>
          <w:p>
            <w:pPr>
              <w:pStyle w:val="TableContents"/>
              <w:bidi w:val="0"/>
              <w:spacing w:before="0" w:after="283"/>
              <w:jc w:val="left"/>
              <w:rPr/>
            </w:pPr>
            <w:r>
              <w:rPr/>
            </w:r>
          </w:p>
        </w:tc>
        <w:tc>
          <w:tcPr>
            <w:tcW w:w="35" w:type="dxa"/>
            <w:tcBorders/>
            <w:vAlign w:val="center"/>
          </w:tcPr>
          <w:p>
            <w:pPr>
              <w:pStyle w:val="TableContents"/>
              <w:bidi w:val="0"/>
              <w:spacing w:before="0" w:after="283"/>
              <w:jc w:val="left"/>
              <w:rPr/>
            </w:pPr>
            <w:r>
              <w:rPr/>
            </w:r>
          </w:p>
        </w:tc>
        <w:tc>
          <w:tcPr>
            <w:tcW w:w="217"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w:t>
            </w:r>
          </w:p>
        </w:tc>
        <w:tc>
          <w:tcPr>
            <w:tcW w:w="1174"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right"/>
              <w:rPr/>
            </w:pPr>
            <w:r>
              <w:rPr/>
              <w:t>—</w:t>
            </w:r>
          </w:p>
        </w:tc>
        <w:tc>
          <w:tcPr>
            <w:tcW w:w="119" w:type="dxa"/>
            <w:tcBorders/>
            <w:vAlign w:val="center"/>
          </w:tcPr>
          <w:p>
            <w:pPr>
              <w:pStyle w:val="TableContents"/>
              <w:bidi w:val="0"/>
              <w:spacing w:before="0" w:after="283"/>
              <w:jc w:val="left"/>
              <w:rPr/>
            </w:pPr>
            <w:r>
              <w:rPr/>
            </w:r>
          </w:p>
        </w:tc>
      </w:tr>
      <w:tr>
        <w:trPr/>
        <w:tc>
          <w:tcPr>
            <w:tcW w:w="4267" w:type="dxa"/>
            <w:tcBorders/>
            <w:shd w:fill="CCEEFF" w:val="clear"/>
            <w:vAlign w:val="center"/>
          </w:tcPr>
          <w:p>
            <w:pPr>
              <w:pStyle w:val="TableContents"/>
              <w:bidi w:val="0"/>
              <w:spacing w:before="0" w:after="283"/>
              <w:jc w:val="left"/>
              <w:rPr/>
            </w:pPr>
            <w:r>
              <w:rPr/>
            </w:r>
          </w:p>
        </w:tc>
        <w:tc>
          <w:tcPr>
            <w:tcW w:w="100" w:type="dxa"/>
            <w:tcBorders/>
            <w:shd w:fill="CCEEFF" w:val="clear"/>
            <w:vAlign w:val="center"/>
          </w:tcPr>
          <w:p>
            <w:pPr>
              <w:pStyle w:val="TableContents"/>
              <w:bidi w:val="0"/>
              <w:spacing w:before="0" w:after="283"/>
              <w:jc w:val="left"/>
              <w:rPr/>
            </w:pPr>
            <w:r>
              <w:rPr/>
            </w:r>
          </w:p>
        </w:tc>
        <w:tc>
          <w:tcPr>
            <w:tcW w:w="220" w:type="dxa"/>
            <w:tcBorders/>
            <w:shd w:fill="CCEEFF" w:val="clear"/>
            <w:vAlign w:val="center"/>
          </w:tcPr>
          <w:p>
            <w:pPr>
              <w:pStyle w:val="TableContents"/>
              <w:bidi w:val="0"/>
              <w:spacing w:before="0" w:after="283"/>
              <w:jc w:val="left"/>
              <w:rPr/>
            </w:pPr>
            <w:r>
              <w:rPr/>
            </w:r>
          </w:p>
        </w:tc>
        <w:tc>
          <w:tcPr>
            <w:tcW w:w="1023" w:type="dxa"/>
            <w:tcBorders/>
            <w:shd w:fill="CCEEFF" w:val="clear"/>
            <w:vAlign w:val="center"/>
          </w:tcPr>
          <w:p>
            <w:pPr>
              <w:pStyle w:val="TableContents"/>
              <w:bidi w:val="0"/>
              <w:spacing w:before="0" w:after="283"/>
              <w:jc w:val="left"/>
              <w:rPr/>
            </w:pPr>
            <w:r>
              <w:rPr/>
            </w:r>
          </w:p>
        </w:tc>
        <w:tc>
          <w:tcPr>
            <w:tcW w:w="153" w:type="dxa"/>
            <w:tcBorders/>
            <w:shd w:fill="CCEEFF" w:val="clear"/>
            <w:vAlign w:val="center"/>
          </w:tcPr>
          <w:p>
            <w:pPr>
              <w:pStyle w:val="TableContents"/>
              <w:bidi w:val="0"/>
              <w:spacing w:before="0" w:after="283"/>
              <w:jc w:val="left"/>
              <w:rPr/>
            </w:pPr>
            <w:r>
              <w:rPr/>
            </w:r>
          </w:p>
        </w:tc>
        <w:tc>
          <w:tcPr>
            <w:tcW w:w="142" w:type="dxa"/>
            <w:tcBorders/>
            <w:shd w:fill="CCEEFF" w:val="clear"/>
            <w:vAlign w:val="center"/>
          </w:tcPr>
          <w:p>
            <w:pPr>
              <w:pStyle w:val="TableContents"/>
              <w:bidi w:val="0"/>
              <w:spacing w:before="0" w:after="283"/>
              <w:jc w:val="left"/>
              <w:rPr/>
            </w:pPr>
            <w:r>
              <w:rPr/>
            </w:r>
          </w:p>
        </w:tc>
        <w:tc>
          <w:tcPr>
            <w:tcW w:w="220" w:type="dxa"/>
            <w:tcBorders/>
            <w:shd w:fill="CCEEFF" w:val="clear"/>
            <w:vAlign w:val="center"/>
          </w:tcPr>
          <w:p>
            <w:pPr>
              <w:pStyle w:val="TableContents"/>
              <w:bidi w:val="0"/>
              <w:spacing w:before="0" w:after="283"/>
              <w:jc w:val="left"/>
              <w:rPr/>
            </w:pPr>
            <w:r>
              <w:rPr/>
            </w:r>
          </w:p>
        </w:tc>
        <w:tc>
          <w:tcPr>
            <w:tcW w:w="860" w:type="dxa"/>
            <w:tcBorders/>
            <w:shd w:fill="CCEEFF" w:val="clear"/>
            <w:vAlign w:val="center"/>
          </w:tcPr>
          <w:p>
            <w:pPr>
              <w:pStyle w:val="TableContents"/>
              <w:bidi w:val="0"/>
              <w:spacing w:before="0" w:after="283"/>
              <w:jc w:val="left"/>
              <w:rPr/>
            </w:pPr>
            <w:r>
              <w:rPr/>
            </w:r>
          </w:p>
        </w:tc>
        <w:tc>
          <w:tcPr>
            <w:tcW w:w="115"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216" w:type="dxa"/>
            <w:tcBorders/>
            <w:shd w:fill="CCEEFF" w:val="clear"/>
            <w:vAlign w:val="center"/>
          </w:tcPr>
          <w:p>
            <w:pPr>
              <w:pStyle w:val="TableContents"/>
              <w:bidi w:val="0"/>
              <w:spacing w:before="0" w:after="283"/>
              <w:jc w:val="left"/>
              <w:rPr/>
            </w:pPr>
            <w:r>
              <w:rPr/>
            </w:r>
          </w:p>
        </w:tc>
        <w:tc>
          <w:tcPr>
            <w:tcW w:w="1174" w:type="dxa"/>
            <w:tcBorders/>
            <w:shd w:fill="CCEEFF" w:val="clear"/>
            <w:vAlign w:val="center"/>
          </w:tcPr>
          <w:p>
            <w:pPr>
              <w:pStyle w:val="TableContents"/>
              <w:bidi w:val="0"/>
              <w:spacing w:before="0" w:after="283"/>
              <w:jc w:val="left"/>
              <w:rPr/>
            </w:pPr>
            <w:r>
              <w:rPr/>
            </w:r>
          </w:p>
        </w:tc>
        <w:tc>
          <w:tcPr>
            <w:tcW w:w="147" w:type="dxa"/>
            <w:tcBorders/>
            <w:shd w:fill="CCEEFF" w:val="clear"/>
            <w:vAlign w:val="center"/>
          </w:tcPr>
          <w:p>
            <w:pPr>
              <w:pStyle w:val="TableContents"/>
              <w:bidi w:val="0"/>
              <w:spacing w:before="0" w:after="283"/>
              <w:jc w:val="left"/>
              <w:rPr/>
            </w:pPr>
            <w:r>
              <w:rPr/>
            </w:r>
          </w:p>
        </w:tc>
        <w:tc>
          <w:tcPr>
            <w:tcW w:w="35" w:type="dxa"/>
            <w:tcBorders/>
            <w:shd w:fill="CCEEFF" w:val="clear"/>
            <w:vAlign w:val="center"/>
          </w:tcPr>
          <w:p>
            <w:pPr>
              <w:pStyle w:val="TableContents"/>
              <w:bidi w:val="0"/>
              <w:spacing w:before="0" w:after="283"/>
              <w:jc w:val="left"/>
              <w:rPr/>
            </w:pPr>
            <w:r>
              <w:rPr/>
            </w:r>
          </w:p>
        </w:tc>
        <w:tc>
          <w:tcPr>
            <w:tcW w:w="217" w:type="dxa"/>
            <w:tcBorders/>
            <w:shd w:fill="CCEEFF" w:val="clear"/>
            <w:vAlign w:val="center"/>
          </w:tcPr>
          <w:p>
            <w:pPr>
              <w:pStyle w:val="TableContents"/>
              <w:bidi w:val="0"/>
              <w:spacing w:before="0" w:after="283"/>
              <w:jc w:val="left"/>
              <w:rPr/>
            </w:pPr>
            <w:r>
              <w:rPr/>
            </w:r>
          </w:p>
        </w:tc>
        <w:tc>
          <w:tcPr>
            <w:tcW w:w="1174" w:type="dxa"/>
            <w:tcBorders/>
            <w:shd w:fill="CCEEFF" w:val="clear"/>
            <w:vAlign w:val="center"/>
          </w:tcPr>
          <w:p>
            <w:pPr>
              <w:pStyle w:val="TableContents"/>
              <w:bidi w:val="0"/>
              <w:spacing w:before="0" w:after="283"/>
              <w:jc w:val="left"/>
              <w:rPr/>
            </w:pPr>
            <w:r>
              <w:rPr/>
            </w:r>
          </w:p>
        </w:tc>
        <w:tc>
          <w:tcPr>
            <w:tcW w:w="119" w:type="dxa"/>
            <w:tcBorders/>
            <w:shd w:fill="CCEEFF" w:val="clear"/>
            <w:vAlign w:val="center"/>
          </w:tcPr>
          <w:p>
            <w:pPr>
              <w:pStyle w:val="TableContents"/>
              <w:bidi w:val="0"/>
              <w:spacing w:before="0" w:after="283"/>
              <w:jc w:val="left"/>
              <w:rPr/>
            </w:pPr>
            <w:r>
              <w:rPr/>
            </w:r>
          </w:p>
        </w:tc>
      </w:tr>
      <w:tr>
        <w:trPr/>
        <w:tc>
          <w:tcPr>
            <w:tcW w:w="4267"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 xml:space="preserve">Preferred stock, common stock and additional paid-in capital </w:t>
            </w:r>
          </w:p>
        </w:tc>
        <w:tc>
          <w:tcPr>
            <w:tcW w:w="100" w:type="dxa"/>
            <w:tcBorders/>
            <w:vAlign w:val="center"/>
          </w:tcPr>
          <w:p>
            <w:pPr>
              <w:pStyle w:val="TableContents"/>
              <w:bidi w:val="0"/>
              <w:spacing w:before="0" w:after="0"/>
              <w:ind w:left="0" w:right="0" w:hanging="0"/>
              <w:jc w:val="left"/>
              <w:rPr/>
            </w:pPr>
            <w:r>
              <w:rPr/>
              <w:t xml:space="preserve">  </w:t>
            </w:r>
          </w:p>
        </w:tc>
        <w:tc>
          <w:tcPr>
            <w:tcW w:w="220" w:type="dxa"/>
            <w:tcBorders/>
            <w:vAlign w:val="center"/>
          </w:tcPr>
          <w:p>
            <w:pPr>
              <w:pStyle w:val="TableContents"/>
              <w:bidi w:val="0"/>
              <w:spacing w:before="0" w:after="0"/>
              <w:ind w:left="0" w:right="0" w:hanging="0"/>
              <w:jc w:val="left"/>
              <w:rPr/>
            </w:pPr>
            <w:r>
              <w:rPr/>
              <w:t xml:space="preserve">  </w:t>
            </w:r>
          </w:p>
        </w:tc>
        <w:tc>
          <w:tcPr>
            <w:tcW w:w="1023" w:type="dxa"/>
            <w:tcBorders/>
            <w:vAlign w:val="center"/>
          </w:tcPr>
          <w:p>
            <w:pPr>
              <w:pStyle w:val="TableContents"/>
              <w:bidi w:val="0"/>
              <w:spacing w:before="0" w:after="0"/>
              <w:ind w:left="0" w:right="0" w:hanging="0"/>
              <w:jc w:val="left"/>
              <w:rPr/>
            </w:pPr>
            <w:r>
              <w:rPr/>
              <w:t xml:space="preserve">  </w:t>
            </w:r>
          </w:p>
        </w:tc>
        <w:tc>
          <w:tcPr>
            <w:tcW w:w="153" w:type="dxa"/>
            <w:tcBorders/>
            <w:vAlign w:val="center"/>
          </w:tcPr>
          <w:p>
            <w:pPr>
              <w:pStyle w:val="TableContents"/>
              <w:bidi w:val="0"/>
              <w:spacing w:before="0" w:after="0"/>
              <w:ind w:left="0" w:right="0" w:hanging="0"/>
              <w:jc w:val="left"/>
              <w:rPr/>
            </w:pPr>
            <w:r>
              <w:rPr/>
              <w:t xml:space="preserve">  </w:t>
            </w:r>
          </w:p>
        </w:tc>
        <w:tc>
          <w:tcPr>
            <w:tcW w:w="142" w:type="dxa"/>
            <w:tcBorders/>
            <w:vAlign w:val="center"/>
          </w:tcPr>
          <w:p>
            <w:pPr>
              <w:pStyle w:val="TableContents"/>
              <w:bidi w:val="0"/>
              <w:spacing w:before="0" w:after="0"/>
              <w:ind w:left="0" w:right="0" w:hanging="0"/>
              <w:jc w:val="left"/>
              <w:rPr/>
            </w:pPr>
            <w:r>
              <w:rPr/>
              <w:t xml:space="preserve">  </w:t>
            </w:r>
          </w:p>
        </w:tc>
        <w:tc>
          <w:tcPr>
            <w:tcW w:w="220" w:type="dxa"/>
            <w:tcBorders/>
            <w:vAlign w:val="center"/>
          </w:tcPr>
          <w:p>
            <w:pPr>
              <w:pStyle w:val="TableContents"/>
              <w:bidi w:val="0"/>
              <w:spacing w:before="0" w:after="0"/>
              <w:ind w:left="0" w:right="0" w:hanging="0"/>
              <w:jc w:val="left"/>
              <w:rPr/>
            </w:pPr>
            <w:r>
              <w:rPr/>
              <w:t xml:space="preserve">  </w:t>
            </w:r>
          </w:p>
        </w:tc>
        <w:tc>
          <w:tcPr>
            <w:tcW w:w="860" w:type="dxa"/>
            <w:tcBorders/>
            <w:vAlign w:val="center"/>
          </w:tcPr>
          <w:p>
            <w:pPr>
              <w:pStyle w:val="TableContents"/>
              <w:bidi w:val="0"/>
              <w:spacing w:before="0" w:after="0"/>
              <w:ind w:left="0" w:right="0" w:hanging="0"/>
              <w:jc w:val="left"/>
              <w:rPr/>
            </w:pPr>
            <w:r>
              <w:rPr/>
              <w:t xml:space="preserve">  </w:t>
            </w:r>
          </w:p>
        </w:tc>
        <w:tc>
          <w:tcPr>
            <w:tcW w:w="115" w:type="dxa"/>
            <w:tcBorders/>
            <w:vAlign w:val="center"/>
          </w:tcPr>
          <w:p>
            <w:pPr>
              <w:pStyle w:val="TableContents"/>
              <w:bidi w:val="0"/>
              <w:spacing w:before="0" w:after="0"/>
              <w:ind w:left="0" w:right="0" w:hanging="0"/>
              <w:jc w:val="left"/>
              <w:rPr/>
            </w:pPr>
            <w:r>
              <w:rPr/>
              <w:t xml:space="preserve">  </w:t>
            </w:r>
          </w:p>
        </w:tc>
        <w:tc>
          <w:tcPr>
            <w:tcW w:w="23" w:type="dxa"/>
            <w:tcBorders/>
            <w:vAlign w:val="center"/>
          </w:tcPr>
          <w:p>
            <w:pPr>
              <w:pStyle w:val="TableContents"/>
              <w:bidi w:val="0"/>
              <w:spacing w:before="0" w:after="283"/>
              <w:jc w:val="left"/>
              <w:rPr/>
            </w:pPr>
            <w:r>
              <w:rPr/>
            </w:r>
          </w:p>
        </w:tc>
        <w:tc>
          <w:tcPr>
            <w:tcW w:w="216" w:type="dxa"/>
            <w:tcBorders/>
            <w:vAlign w:val="center"/>
          </w:tcPr>
          <w:p>
            <w:pPr>
              <w:pStyle w:val="TableContents"/>
              <w:bidi w:val="0"/>
              <w:spacing w:before="0" w:after="283"/>
              <w:jc w:val="left"/>
              <w:rPr/>
            </w:pPr>
            <w:r>
              <w:rPr/>
            </w:r>
          </w:p>
        </w:tc>
        <w:tc>
          <w:tcPr>
            <w:tcW w:w="1174" w:type="dxa"/>
            <w:tcBorders/>
            <w:vAlign w:val="center"/>
          </w:tcPr>
          <w:p>
            <w:pPr>
              <w:pStyle w:val="TableContents"/>
              <w:bidi w:val="0"/>
              <w:spacing w:before="0" w:after="283"/>
              <w:jc w:val="left"/>
              <w:rPr/>
            </w:pPr>
            <w:r>
              <w:rPr/>
            </w:r>
          </w:p>
        </w:tc>
        <w:tc>
          <w:tcPr>
            <w:tcW w:w="147" w:type="dxa"/>
            <w:tcBorders/>
            <w:vAlign w:val="center"/>
          </w:tcPr>
          <w:p>
            <w:pPr>
              <w:pStyle w:val="TableContents"/>
              <w:bidi w:val="0"/>
              <w:spacing w:before="0" w:after="283"/>
              <w:jc w:val="left"/>
              <w:rPr/>
            </w:pPr>
            <w:r>
              <w:rPr/>
            </w:r>
          </w:p>
        </w:tc>
        <w:tc>
          <w:tcPr>
            <w:tcW w:w="35" w:type="dxa"/>
            <w:tcBorders/>
            <w:vAlign w:val="center"/>
          </w:tcPr>
          <w:p>
            <w:pPr>
              <w:pStyle w:val="TableContents"/>
              <w:bidi w:val="0"/>
              <w:spacing w:before="0" w:after="283"/>
              <w:jc w:val="left"/>
              <w:rPr/>
            </w:pPr>
            <w:r>
              <w:rPr/>
            </w:r>
          </w:p>
        </w:tc>
        <w:tc>
          <w:tcPr>
            <w:tcW w:w="217" w:type="dxa"/>
            <w:tcBorders/>
            <w:vAlign w:val="center"/>
          </w:tcPr>
          <w:p>
            <w:pPr>
              <w:pStyle w:val="TableContents"/>
              <w:bidi w:val="0"/>
              <w:spacing w:before="0" w:after="283"/>
              <w:jc w:val="left"/>
              <w:rPr/>
            </w:pPr>
            <w:r>
              <w:rPr/>
            </w:r>
          </w:p>
        </w:tc>
        <w:tc>
          <w:tcPr>
            <w:tcW w:w="1174" w:type="dxa"/>
            <w:tcBorders/>
            <w:vAlign w:val="center"/>
          </w:tcPr>
          <w:p>
            <w:pPr>
              <w:pStyle w:val="TableContents"/>
              <w:bidi w:val="0"/>
              <w:spacing w:before="0" w:after="283"/>
              <w:jc w:val="left"/>
              <w:rPr/>
            </w:pPr>
            <w:r>
              <w:rPr/>
            </w:r>
          </w:p>
        </w:tc>
        <w:tc>
          <w:tcPr>
            <w:tcW w:w="119" w:type="dxa"/>
            <w:tcBorders/>
            <w:vAlign w:val="center"/>
          </w:tcPr>
          <w:p>
            <w:pPr>
              <w:pStyle w:val="TableContents"/>
              <w:bidi w:val="0"/>
              <w:spacing w:before="0" w:after="283"/>
              <w:jc w:val="left"/>
              <w:rPr/>
            </w:pPr>
            <w:r>
              <w:rPr/>
            </w:r>
          </w:p>
        </w:tc>
      </w:tr>
      <w:tr>
        <w:trPr/>
        <w:tc>
          <w:tcPr>
            <w:tcW w:w="426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Balance, beginning of period </w:t>
            </w:r>
          </w:p>
        </w:tc>
        <w:tc>
          <w:tcPr>
            <w:tcW w:w="100" w:type="dxa"/>
            <w:tcBorders/>
            <w:shd w:fill="CCEEFF" w:val="clear"/>
            <w:vAlign w:val="center"/>
          </w:tcPr>
          <w:p>
            <w:pPr>
              <w:pStyle w:val="TableContents"/>
              <w:bidi w:val="0"/>
              <w:spacing w:before="0" w:after="0"/>
              <w:ind w:left="0" w:right="0" w:hanging="0"/>
              <w:jc w:val="left"/>
              <w:rPr/>
            </w:pPr>
            <w:r>
              <w:rPr/>
              <w:t xml:space="preserve">  </w:t>
            </w:r>
          </w:p>
        </w:tc>
        <w:tc>
          <w:tcPr>
            <w:tcW w:w="22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023"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32,740 </w:t>
            </w:r>
          </w:p>
        </w:tc>
        <w:tc>
          <w:tcPr>
            <w:tcW w:w="153" w:type="dxa"/>
            <w:tcBorders/>
            <w:shd w:fill="CCEEFF" w:val="clear"/>
            <w:vAlign w:val="bottom"/>
          </w:tcPr>
          <w:p>
            <w:pPr>
              <w:pStyle w:val="TableContents"/>
              <w:pBdr/>
              <w:bidi w:val="0"/>
              <w:spacing w:before="0" w:after="0"/>
              <w:ind w:left="0" w:right="0" w:hanging="0"/>
              <w:jc w:val="left"/>
              <w:rPr/>
            </w:pPr>
            <w:r>
              <w:rPr/>
              <w:t xml:space="preserve">  </w:t>
            </w:r>
          </w:p>
        </w:tc>
        <w:tc>
          <w:tcPr>
            <w:tcW w:w="142" w:type="dxa"/>
            <w:tcBorders/>
            <w:shd w:fill="CCEEFF" w:val="clear"/>
            <w:vAlign w:val="bottom"/>
          </w:tcPr>
          <w:p>
            <w:pPr>
              <w:pStyle w:val="TableContents"/>
              <w:pBdr/>
              <w:bidi w:val="0"/>
              <w:spacing w:before="0" w:after="0"/>
              <w:ind w:left="0" w:right="0" w:hanging="0"/>
              <w:jc w:val="left"/>
              <w:rPr/>
            </w:pPr>
            <w:r>
              <w:rPr/>
              <w:t xml:space="preserve">  </w:t>
            </w:r>
          </w:p>
        </w:tc>
        <w:tc>
          <w:tcPr>
            <w:tcW w:w="220"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860"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31,640 </w:t>
            </w:r>
          </w:p>
        </w:tc>
        <w:tc>
          <w:tcPr>
            <w:tcW w:w="115" w:type="dxa"/>
            <w:tcBorders/>
            <w:shd w:fill="CCEEFF" w:val="clear"/>
            <w:vAlign w:val="bottom"/>
          </w:tcPr>
          <w:p>
            <w:pPr>
              <w:pStyle w:val="TableContents"/>
              <w:pBdr/>
              <w:bidi w:val="0"/>
              <w:spacing w:before="0" w:after="0"/>
              <w:ind w:left="0" w:right="0" w:hanging="0"/>
              <w:jc w:val="left"/>
              <w:rPr/>
            </w:pPr>
            <w:r>
              <w:rPr/>
              <w:t xml:space="preserve">  </w:t>
            </w:r>
          </w:p>
        </w:tc>
        <w:tc>
          <w:tcPr>
            <w:tcW w:w="23" w:type="dxa"/>
            <w:tcBorders/>
            <w:shd w:fill="CCEEFF" w:val="clear"/>
            <w:vAlign w:val="center"/>
          </w:tcPr>
          <w:p>
            <w:pPr>
              <w:pStyle w:val="TableContents"/>
              <w:bidi w:val="0"/>
              <w:spacing w:before="0" w:after="283"/>
              <w:ind w:left="0" w:right="0" w:hanging="0"/>
              <w:jc w:val="left"/>
              <w:rPr/>
            </w:pPr>
            <w:r>
              <w:rPr/>
            </w:r>
          </w:p>
        </w:tc>
        <w:tc>
          <w:tcPr>
            <w:tcW w:w="216" w:type="dxa"/>
            <w:tcBorders/>
            <w:shd w:fill="CCEEFF" w:val="clear"/>
            <w:vAlign w:val="center"/>
          </w:tcPr>
          <w:p>
            <w:pPr>
              <w:pStyle w:val="TableContents"/>
              <w:widowControl/>
              <w:bidi w:val="0"/>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174" w:type="dxa"/>
            <w:tcBorders/>
            <w:shd w:fill="CCEEFF" w:val="clear"/>
            <w:vAlign w:val="center"/>
          </w:tcPr>
          <w:p>
            <w:pPr>
              <w:pStyle w:val="TableContents"/>
              <w:bidi w:val="0"/>
              <w:spacing w:before="0" w:after="0"/>
              <w:ind w:left="0" w:right="0" w:hanging="0"/>
              <w:jc w:val="right"/>
              <w:rPr/>
            </w:pPr>
            <w:r>
              <w:rPr/>
              <w:t>31,696</w:t>
            </w:r>
          </w:p>
        </w:tc>
        <w:tc>
          <w:tcPr>
            <w:tcW w:w="147" w:type="dxa"/>
            <w:tcBorders/>
            <w:shd w:fill="CCEEFF" w:val="clear"/>
            <w:vAlign w:val="center"/>
          </w:tcPr>
          <w:p>
            <w:pPr>
              <w:pStyle w:val="TableContents"/>
              <w:bidi w:val="0"/>
              <w:spacing w:before="0" w:after="283"/>
              <w:ind w:left="0" w:right="0" w:hanging="0"/>
              <w:jc w:val="left"/>
              <w:rPr/>
            </w:pPr>
            <w:r>
              <w:rPr/>
            </w:r>
          </w:p>
        </w:tc>
        <w:tc>
          <w:tcPr>
            <w:tcW w:w="35" w:type="dxa"/>
            <w:tcBorders/>
            <w:shd w:fill="CCEEFF" w:val="clear"/>
            <w:vAlign w:val="center"/>
          </w:tcPr>
          <w:p>
            <w:pPr>
              <w:pStyle w:val="TableContents"/>
              <w:bidi w:val="0"/>
              <w:spacing w:before="0" w:after="283"/>
              <w:ind w:left="0" w:right="0" w:hanging="0"/>
              <w:jc w:val="left"/>
              <w:rPr/>
            </w:pPr>
            <w:r>
              <w:rPr/>
            </w:r>
          </w:p>
        </w:tc>
        <w:tc>
          <w:tcPr>
            <w:tcW w:w="217" w:type="dxa"/>
            <w:tcBorders/>
            <w:shd w:fill="CCEEFF" w:val="clear"/>
            <w:vAlign w:val="center"/>
          </w:tcPr>
          <w:p>
            <w:pPr>
              <w:pStyle w:val="TableContents"/>
              <w:widowControl/>
              <w:bidi w:val="0"/>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174" w:type="dxa"/>
            <w:tcBorders/>
            <w:shd w:fill="CCEEFF" w:val="clear"/>
            <w:vAlign w:val="center"/>
          </w:tcPr>
          <w:p>
            <w:pPr>
              <w:pStyle w:val="TableContents"/>
              <w:bidi w:val="0"/>
              <w:spacing w:before="0" w:after="0"/>
              <w:ind w:left="0" w:right="0" w:hanging="0"/>
              <w:jc w:val="right"/>
              <w:rPr/>
            </w:pPr>
            <w:r>
              <w:rPr/>
              <w:t>46,071</w:t>
            </w:r>
          </w:p>
        </w:tc>
        <w:tc>
          <w:tcPr>
            <w:tcW w:w="119" w:type="dxa"/>
            <w:tcBorders/>
            <w:shd w:fill="CCEEFF" w:val="clear"/>
            <w:vAlign w:val="center"/>
          </w:tcPr>
          <w:p>
            <w:pPr>
              <w:pStyle w:val="TableContents"/>
              <w:bidi w:val="0"/>
              <w:spacing w:before="0" w:after="283"/>
              <w:jc w:val="left"/>
              <w:rPr/>
            </w:pPr>
            <w:r>
              <w:rPr/>
            </w:r>
          </w:p>
        </w:tc>
      </w:tr>
      <w:tr>
        <w:trPr/>
        <w:tc>
          <w:tcPr>
            <w:tcW w:w="4267"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Conversion of debt to Class B convertible preferred stock (non-cash)</w:t>
            </w:r>
          </w:p>
        </w:tc>
        <w:tc>
          <w:tcPr>
            <w:tcW w:w="100" w:type="dxa"/>
            <w:tcBorders/>
            <w:vAlign w:val="center"/>
          </w:tcPr>
          <w:p>
            <w:pPr>
              <w:pStyle w:val="TableContents"/>
              <w:bidi w:val="0"/>
              <w:spacing w:before="0" w:after="283"/>
              <w:jc w:val="left"/>
              <w:rPr/>
            </w:pPr>
            <w:r>
              <w:rPr/>
            </w:r>
          </w:p>
        </w:tc>
        <w:tc>
          <w:tcPr>
            <w:tcW w:w="220" w:type="dxa"/>
            <w:tcBorders/>
            <w:vAlign w:val="center"/>
          </w:tcPr>
          <w:p>
            <w:pPr>
              <w:pStyle w:val="TableContents"/>
              <w:bidi w:val="0"/>
              <w:spacing w:before="0" w:after="283"/>
              <w:ind w:left="0" w:right="0" w:hanging="0"/>
              <w:jc w:val="left"/>
              <w:rPr/>
            </w:pPr>
            <w:r>
              <w:rPr/>
            </w:r>
          </w:p>
        </w:tc>
        <w:tc>
          <w:tcPr>
            <w:tcW w:w="1023" w:type="dxa"/>
            <w:tcBorders/>
            <w:vAlign w:val="center"/>
          </w:tcPr>
          <w:p>
            <w:pPr>
              <w:pStyle w:val="TableContents"/>
              <w:bidi w:val="0"/>
              <w:spacing w:before="0" w:after="0"/>
              <w:ind w:left="0" w:right="0" w:hanging="0"/>
              <w:jc w:val="right"/>
              <w:rPr/>
            </w:pPr>
            <w:r>
              <w:rPr/>
              <w:t>3,026</w:t>
            </w:r>
          </w:p>
        </w:tc>
        <w:tc>
          <w:tcPr>
            <w:tcW w:w="153" w:type="dxa"/>
            <w:tcBorders/>
            <w:vAlign w:val="center"/>
          </w:tcPr>
          <w:p>
            <w:pPr>
              <w:pStyle w:val="TableContents"/>
              <w:bidi w:val="0"/>
              <w:spacing w:before="0" w:after="283"/>
              <w:ind w:left="0" w:right="0" w:hanging="0"/>
              <w:jc w:val="left"/>
              <w:rPr/>
            </w:pPr>
            <w:r>
              <w:rPr/>
            </w:r>
          </w:p>
        </w:tc>
        <w:tc>
          <w:tcPr>
            <w:tcW w:w="142" w:type="dxa"/>
            <w:tcBorders/>
            <w:vAlign w:val="center"/>
          </w:tcPr>
          <w:p>
            <w:pPr>
              <w:pStyle w:val="TableContents"/>
              <w:bidi w:val="0"/>
              <w:spacing w:before="0" w:after="283"/>
              <w:ind w:left="0" w:right="0" w:hanging="0"/>
              <w:jc w:val="left"/>
              <w:rPr/>
            </w:pPr>
            <w:r>
              <w:rPr/>
            </w:r>
          </w:p>
        </w:tc>
        <w:tc>
          <w:tcPr>
            <w:tcW w:w="220" w:type="dxa"/>
            <w:tcBorders/>
            <w:vAlign w:val="center"/>
          </w:tcPr>
          <w:p>
            <w:pPr>
              <w:pStyle w:val="TableContents"/>
              <w:bidi w:val="0"/>
              <w:spacing w:before="0" w:after="283"/>
              <w:ind w:left="0" w:right="0" w:hanging="0"/>
              <w:jc w:val="left"/>
              <w:rPr/>
            </w:pPr>
            <w:r>
              <w:rPr/>
            </w:r>
          </w:p>
        </w:tc>
        <w:tc>
          <w:tcPr>
            <w:tcW w:w="860" w:type="dxa"/>
            <w:tcBorders/>
            <w:vAlign w:val="center"/>
          </w:tcPr>
          <w:p>
            <w:pPr>
              <w:pStyle w:val="TableContents"/>
              <w:bidi w:val="0"/>
              <w:spacing w:before="0" w:after="0"/>
              <w:ind w:left="0" w:right="0" w:hanging="0"/>
              <w:jc w:val="right"/>
              <w:rPr/>
            </w:pPr>
            <w:r>
              <w:rPr/>
              <w:t>—</w:t>
            </w:r>
          </w:p>
        </w:tc>
        <w:tc>
          <w:tcPr>
            <w:tcW w:w="115" w:type="dxa"/>
            <w:tcBorders/>
            <w:vAlign w:val="center"/>
          </w:tcPr>
          <w:p>
            <w:pPr>
              <w:pStyle w:val="TableContents"/>
              <w:bidi w:val="0"/>
              <w:spacing w:before="0" w:after="283"/>
              <w:ind w:left="0" w:right="0" w:hanging="0"/>
              <w:jc w:val="left"/>
              <w:rPr/>
            </w:pPr>
            <w:r>
              <w:rPr/>
            </w:r>
          </w:p>
        </w:tc>
        <w:tc>
          <w:tcPr>
            <w:tcW w:w="23" w:type="dxa"/>
            <w:tcBorders/>
            <w:vAlign w:val="center"/>
          </w:tcPr>
          <w:p>
            <w:pPr>
              <w:pStyle w:val="TableContents"/>
              <w:bidi w:val="0"/>
              <w:spacing w:before="0" w:after="283"/>
              <w:ind w:left="0" w:right="0" w:hanging="0"/>
              <w:jc w:val="left"/>
              <w:rPr/>
            </w:pPr>
            <w:r>
              <w:rPr/>
            </w:r>
          </w:p>
        </w:tc>
        <w:tc>
          <w:tcPr>
            <w:tcW w:w="216" w:type="dxa"/>
            <w:tcBorders/>
            <w:vAlign w:val="center"/>
          </w:tcPr>
          <w:p>
            <w:pPr>
              <w:pStyle w:val="TableContents"/>
              <w:bidi w:val="0"/>
              <w:spacing w:before="0" w:after="283"/>
              <w:ind w:left="0" w:right="0" w:hanging="0"/>
              <w:jc w:val="left"/>
              <w:rPr/>
            </w:pPr>
            <w:r>
              <w:rPr/>
            </w:r>
          </w:p>
        </w:tc>
        <w:tc>
          <w:tcPr>
            <w:tcW w:w="1174" w:type="dxa"/>
            <w:tcBorders/>
            <w:vAlign w:val="center"/>
          </w:tcPr>
          <w:p>
            <w:pPr>
              <w:pStyle w:val="TableContents"/>
              <w:bidi w:val="0"/>
              <w:spacing w:before="0" w:after="0"/>
              <w:ind w:left="0" w:right="0" w:hanging="0"/>
              <w:jc w:val="right"/>
              <w:rPr/>
            </w:pPr>
            <w:r>
              <w:rPr/>
              <w:t>3,026</w:t>
            </w:r>
          </w:p>
        </w:tc>
        <w:tc>
          <w:tcPr>
            <w:tcW w:w="147" w:type="dxa"/>
            <w:tcBorders/>
            <w:vAlign w:val="center"/>
          </w:tcPr>
          <w:p>
            <w:pPr>
              <w:pStyle w:val="TableContents"/>
              <w:bidi w:val="0"/>
              <w:spacing w:before="0" w:after="283"/>
              <w:ind w:left="0" w:right="0" w:hanging="0"/>
              <w:jc w:val="left"/>
              <w:rPr/>
            </w:pPr>
            <w:r>
              <w:rPr/>
            </w:r>
          </w:p>
        </w:tc>
        <w:tc>
          <w:tcPr>
            <w:tcW w:w="35" w:type="dxa"/>
            <w:tcBorders/>
            <w:vAlign w:val="center"/>
          </w:tcPr>
          <w:p>
            <w:pPr>
              <w:pStyle w:val="TableContents"/>
              <w:bidi w:val="0"/>
              <w:spacing w:before="0" w:after="283"/>
              <w:ind w:left="0" w:right="0" w:hanging="0"/>
              <w:jc w:val="left"/>
              <w:rPr/>
            </w:pPr>
            <w:r>
              <w:rPr/>
            </w:r>
          </w:p>
        </w:tc>
        <w:tc>
          <w:tcPr>
            <w:tcW w:w="217" w:type="dxa"/>
            <w:tcBorders/>
            <w:vAlign w:val="center"/>
          </w:tcPr>
          <w:p>
            <w:pPr>
              <w:pStyle w:val="TableContents"/>
              <w:bidi w:val="0"/>
              <w:spacing w:before="0" w:after="283"/>
              <w:ind w:left="0" w:right="0" w:hanging="0"/>
              <w:jc w:val="left"/>
              <w:rPr/>
            </w:pPr>
            <w:r>
              <w:rPr/>
            </w:r>
          </w:p>
        </w:tc>
        <w:tc>
          <w:tcPr>
            <w:tcW w:w="1174" w:type="dxa"/>
            <w:tcBorders/>
            <w:vAlign w:val="center"/>
          </w:tcPr>
          <w:p>
            <w:pPr>
              <w:pStyle w:val="TableContents"/>
              <w:bidi w:val="0"/>
              <w:spacing w:before="0" w:after="0"/>
              <w:ind w:left="0" w:right="0" w:hanging="0"/>
              <w:jc w:val="right"/>
              <w:rPr/>
            </w:pPr>
            <w:r>
              <w:rPr/>
              <w:t>—</w:t>
            </w:r>
          </w:p>
        </w:tc>
        <w:tc>
          <w:tcPr>
            <w:tcW w:w="119" w:type="dxa"/>
            <w:tcBorders/>
            <w:vAlign w:val="center"/>
          </w:tcPr>
          <w:p>
            <w:pPr>
              <w:pStyle w:val="TableContents"/>
              <w:bidi w:val="0"/>
              <w:spacing w:before="0" w:after="283"/>
              <w:jc w:val="left"/>
              <w:rPr/>
            </w:pPr>
            <w:r>
              <w:rPr/>
            </w:r>
          </w:p>
        </w:tc>
      </w:tr>
      <w:tr>
        <w:trPr/>
        <w:tc>
          <w:tcPr>
            <w:tcW w:w="426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Dividends Paid </w:t>
            </w:r>
          </w:p>
        </w:tc>
        <w:tc>
          <w:tcPr>
            <w:tcW w:w="100" w:type="dxa"/>
            <w:tcBorders/>
            <w:shd w:fill="CCEEFF" w:val="clear"/>
            <w:vAlign w:val="center"/>
          </w:tcPr>
          <w:p>
            <w:pPr>
              <w:pStyle w:val="TableContents"/>
              <w:bidi w:val="0"/>
              <w:spacing w:before="0" w:after="0"/>
              <w:ind w:left="0" w:right="0" w:hanging="0"/>
              <w:jc w:val="left"/>
              <w:rPr/>
            </w:pPr>
            <w:r>
              <w:rPr/>
              <w:t xml:space="preserve">  </w:t>
            </w:r>
          </w:p>
        </w:tc>
        <w:tc>
          <w:tcPr>
            <w:tcW w:w="220" w:type="dxa"/>
            <w:tcBorders/>
            <w:shd w:fill="CCEEFF" w:val="clear"/>
            <w:vAlign w:val="center"/>
          </w:tcPr>
          <w:p>
            <w:pPr>
              <w:pStyle w:val="TableContents"/>
              <w:bidi w:val="0"/>
              <w:spacing w:before="0" w:after="0"/>
              <w:ind w:left="0" w:right="0" w:hanging="0"/>
              <w:jc w:val="left"/>
              <w:rPr/>
            </w:pPr>
            <w:r>
              <w:rPr/>
            </w:r>
          </w:p>
        </w:tc>
        <w:tc>
          <w:tcPr>
            <w:tcW w:w="1023"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w:t>
            </w:r>
          </w:p>
        </w:tc>
        <w:tc>
          <w:tcPr>
            <w:tcW w:w="153" w:type="dxa"/>
            <w:tcBorders/>
            <w:shd w:fill="CCEEFF" w:val="clear"/>
            <w:vAlign w:val="bottom"/>
          </w:tcPr>
          <w:p>
            <w:pPr>
              <w:pStyle w:val="TableContents"/>
              <w:bidi w:val="0"/>
              <w:spacing w:before="0" w:after="0"/>
              <w:ind w:left="0" w:right="0" w:hanging="0"/>
              <w:jc w:val="left"/>
              <w:rPr/>
            </w:pPr>
            <w:r>
              <w:rPr/>
              <w:t>)</w:t>
            </w:r>
          </w:p>
        </w:tc>
        <w:tc>
          <w:tcPr>
            <w:tcW w:w="142" w:type="dxa"/>
            <w:tcBorders/>
            <w:shd w:fill="CCEEFF" w:val="clear"/>
            <w:vAlign w:val="bottom"/>
          </w:tcPr>
          <w:p>
            <w:pPr>
              <w:pStyle w:val="TableContents"/>
              <w:pBdr/>
              <w:bidi w:val="0"/>
              <w:spacing w:before="0" w:after="0"/>
              <w:ind w:left="0" w:right="0" w:hanging="0"/>
              <w:jc w:val="left"/>
              <w:rPr/>
            </w:pPr>
            <w:r>
              <w:rPr/>
              <w:t xml:space="preserve">  </w:t>
            </w:r>
          </w:p>
        </w:tc>
        <w:tc>
          <w:tcPr>
            <w:tcW w:w="220" w:type="dxa"/>
            <w:tcBorders/>
            <w:shd w:fill="CCEEFF" w:val="clear"/>
            <w:vAlign w:val="bottom"/>
          </w:tcPr>
          <w:p>
            <w:pPr>
              <w:pStyle w:val="TableContents"/>
              <w:pBdr/>
              <w:bidi w:val="0"/>
              <w:spacing w:before="0" w:after="0"/>
              <w:ind w:left="0" w:right="0" w:hanging="0"/>
              <w:jc w:val="left"/>
              <w:rPr/>
            </w:pPr>
            <w:r>
              <w:rPr/>
            </w:r>
          </w:p>
        </w:tc>
        <w:tc>
          <w:tcPr>
            <w:tcW w:w="860" w:type="dxa"/>
            <w:tcBorders/>
            <w:shd w:fill="CCEEFF" w:val="clear"/>
            <w:vAlign w:val="bottom"/>
          </w:tcPr>
          <w:p>
            <w:pPr>
              <w:pStyle w:val="TableContents"/>
              <w:pBdr/>
              <w:bidi w:val="0"/>
              <w:spacing w:before="0" w:after="0"/>
              <w:ind w:left="0" w:right="0" w:hanging="0"/>
              <w:jc w:val="right"/>
              <w:rPr/>
            </w:pPr>
            <w:r>
              <w:rPr/>
              <w:t>—</w:t>
            </w:r>
          </w:p>
        </w:tc>
        <w:tc>
          <w:tcPr>
            <w:tcW w:w="115" w:type="dxa"/>
            <w:tcBorders/>
            <w:shd w:fill="CCEEFF" w:val="clear"/>
            <w:vAlign w:val="bottom"/>
          </w:tcPr>
          <w:p>
            <w:pPr>
              <w:pStyle w:val="TableContents"/>
              <w:bidi w:val="0"/>
              <w:spacing w:before="0" w:after="283"/>
              <w:ind w:left="0" w:right="0" w:hanging="0"/>
              <w:jc w:val="left"/>
              <w:rPr>
                <w:sz w:val="4"/>
                <w:szCs w:val="4"/>
              </w:rPr>
            </w:pPr>
            <w:r>
              <w:rPr>
                <w:sz w:val="4"/>
                <w:szCs w:val="4"/>
              </w:rPr>
            </w:r>
          </w:p>
        </w:tc>
        <w:tc>
          <w:tcPr>
            <w:tcW w:w="23" w:type="dxa"/>
            <w:tcBorders/>
            <w:shd w:fill="CCEEFF" w:val="clear"/>
            <w:vAlign w:val="center"/>
          </w:tcPr>
          <w:p>
            <w:pPr>
              <w:pStyle w:val="TableContents"/>
              <w:bidi w:val="0"/>
              <w:spacing w:before="0" w:after="283"/>
              <w:ind w:left="0" w:right="0" w:hanging="0"/>
              <w:jc w:val="left"/>
              <w:rPr/>
            </w:pPr>
            <w:r>
              <w:rPr/>
            </w:r>
          </w:p>
        </w:tc>
        <w:tc>
          <w:tcPr>
            <w:tcW w:w="216" w:type="dxa"/>
            <w:tcBorders/>
            <w:shd w:fill="CCEEFF" w:val="clear"/>
            <w:vAlign w:val="center"/>
          </w:tcPr>
          <w:p>
            <w:pPr>
              <w:pStyle w:val="TableContents"/>
              <w:bidi w:val="0"/>
              <w:spacing w:before="0" w:after="283"/>
              <w:ind w:left="0" w:right="0" w:hanging="0"/>
              <w:jc w:val="left"/>
              <w:rPr/>
            </w:pPr>
            <w:r>
              <w:rPr/>
            </w:r>
          </w:p>
        </w:tc>
        <w:tc>
          <w:tcPr>
            <w:tcW w:w="1174" w:type="dxa"/>
            <w:tcBorders/>
            <w:shd w:fill="CCEEFF" w:val="clear"/>
            <w:vAlign w:val="center"/>
          </w:tcPr>
          <w:p>
            <w:pPr>
              <w:pStyle w:val="TableContents"/>
              <w:bidi w:val="0"/>
              <w:spacing w:before="0" w:after="0"/>
              <w:ind w:left="0" w:right="0" w:hanging="0"/>
              <w:jc w:val="right"/>
              <w:rPr/>
            </w:pPr>
            <w:r>
              <w:rPr/>
              <w:t>(2</w:t>
            </w:r>
          </w:p>
        </w:tc>
        <w:tc>
          <w:tcPr>
            <w:tcW w:w="147" w:type="dxa"/>
            <w:tcBorders/>
            <w:shd w:fill="CCEEFF" w:val="clear"/>
            <w:vAlign w:val="center"/>
          </w:tcPr>
          <w:p>
            <w:pPr>
              <w:pStyle w:val="TableContents"/>
              <w:bidi w:val="0"/>
              <w:spacing w:before="0" w:after="0"/>
              <w:ind w:left="0" w:right="0" w:hanging="0"/>
              <w:jc w:val="left"/>
              <w:rPr/>
            </w:pPr>
            <w:r>
              <w:rPr/>
              <w:t>)</w:t>
            </w:r>
          </w:p>
        </w:tc>
        <w:tc>
          <w:tcPr>
            <w:tcW w:w="35" w:type="dxa"/>
            <w:tcBorders/>
            <w:shd w:fill="CCEEFF" w:val="clear"/>
            <w:vAlign w:val="center"/>
          </w:tcPr>
          <w:p>
            <w:pPr>
              <w:pStyle w:val="TableContents"/>
              <w:bidi w:val="0"/>
              <w:spacing w:before="0" w:after="283"/>
              <w:ind w:left="0" w:right="0" w:hanging="0"/>
              <w:jc w:val="left"/>
              <w:rPr/>
            </w:pPr>
            <w:r>
              <w:rPr/>
            </w:r>
          </w:p>
        </w:tc>
        <w:tc>
          <w:tcPr>
            <w:tcW w:w="217" w:type="dxa"/>
            <w:tcBorders/>
            <w:shd w:fill="CCEEFF" w:val="clear"/>
            <w:vAlign w:val="center"/>
          </w:tcPr>
          <w:p>
            <w:pPr>
              <w:pStyle w:val="TableContents"/>
              <w:bidi w:val="0"/>
              <w:spacing w:before="0" w:after="283"/>
              <w:ind w:left="0" w:right="0" w:hanging="0"/>
              <w:jc w:val="left"/>
              <w:rPr/>
            </w:pPr>
            <w:r>
              <w:rPr/>
            </w:r>
          </w:p>
        </w:tc>
        <w:tc>
          <w:tcPr>
            <w:tcW w:w="1174" w:type="dxa"/>
            <w:tcBorders/>
            <w:shd w:fill="CCEEFF" w:val="clear"/>
            <w:vAlign w:val="center"/>
          </w:tcPr>
          <w:p>
            <w:pPr>
              <w:pStyle w:val="TableContents"/>
              <w:bidi w:val="0"/>
              <w:spacing w:before="0" w:after="0"/>
              <w:ind w:left="0" w:right="0" w:hanging="0"/>
              <w:jc w:val="right"/>
              <w:rPr/>
            </w:pPr>
            <w:r>
              <w:rPr/>
              <w:t>(14,496</w:t>
            </w:r>
          </w:p>
        </w:tc>
        <w:tc>
          <w:tcPr>
            <w:tcW w:w="119" w:type="dxa"/>
            <w:tcBorders/>
            <w:shd w:fill="CCEEFF" w:val="clear"/>
            <w:vAlign w:val="center"/>
          </w:tcPr>
          <w:p>
            <w:pPr>
              <w:pStyle w:val="TableContents"/>
              <w:bidi w:val="0"/>
              <w:spacing w:before="0" w:after="0"/>
              <w:jc w:val="left"/>
              <w:rPr/>
            </w:pPr>
            <w:r>
              <w:rPr/>
              <w:t>)</w:t>
            </w:r>
          </w:p>
        </w:tc>
      </w:tr>
      <w:tr>
        <w:trPr/>
        <w:tc>
          <w:tcPr>
            <w:tcW w:w="4267" w:type="dxa"/>
            <w:tcBorders/>
            <w:vAlign w:val="center"/>
          </w:tcPr>
          <w:p>
            <w:pPr>
              <w:pStyle w:val="TableContents"/>
              <w:bidi w:val="0"/>
              <w:spacing w:before="0" w:after="283"/>
              <w:jc w:val="left"/>
              <w:rPr>
                <w:rFonts w:ascii="Times New Roman;serif" w:hAnsi="Times New Roman;serif"/>
                <w:color w:val="212529"/>
                <w:sz w:val="20"/>
              </w:rPr>
            </w:pPr>
            <w:r>
              <w:rPr>
                <w:rFonts w:ascii="Times New Roman;serif" w:hAnsi="Times New Roman;serif"/>
                <w:color w:val="212529"/>
                <w:sz w:val="20"/>
              </w:rPr>
              <w:t xml:space="preserve">Repurchase of warrants </w:t>
            </w:r>
          </w:p>
        </w:tc>
        <w:tc>
          <w:tcPr>
            <w:tcW w:w="100" w:type="dxa"/>
            <w:tcBorders/>
            <w:vAlign w:val="center"/>
          </w:tcPr>
          <w:p>
            <w:pPr>
              <w:pStyle w:val="TableContents"/>
              <w:bidi w:val="0"/>
              <w:spacing w:before="0" w:after="283"/>
              <w:jc w:val="left"/>
              <w:rPr/>
            </w:pPr>
            <w:r>
              <w:rPr/>
            </w:r>
          </w:p>
        </w:tc>
        <w:tc>
          <w:tcPr>
            <w:tcW w:w="220" w:type="dxa"/>
            <w:tcBorders/>
            <w:vAlign w:val="center"/>
          </w:tcPr>
          <w:p>
            <w:pPr>
              <w:pStyle w:val="TableContents"/>
              <w:bidi w:val="0"/>
              <w:spacing w:before="0" w:after="283"/>
              <w:ind w:left="0" w:right="0" w:hanging="0"/>
              <w:jc w:val="left"/>
              <w:rPr/>
            </w:pPr>
            <w:r>
              <w:rPr/>
            </w:r>
          </w:p>
        </w:tc>
        <w:tc>
          <w:tcPr>
            <w:tcW w:w="1023" w:type="dxa"/>
            <w:tcBorders/>
            <w:vAlign w:val="center"/>
          </w:tcPr>
          <w:p>
            <w:pPr>
              <w:pStyle w:val="TableContents"/>
              <w:bidi w:val="0"/>
              <w:spacing w:before="0" w:after="0"/>
              <w:ind w:left="0" w:right="0" w:hanging="0"/>
              <w:jc w:val="right"/>
              <w:rPr/>
            </w:pPr>
            <w:r>
              <w:rPr/>
              <w:t>(32</w:t>
            </w:r>
          </w:p>
        </w:tc>
        <w:tc>
          <w:tcPr>
            <w:tcW w:w="153" w:type="dxa"/>
            <w:tcBorders/>
            <w:vAlign w:val="center"/>
          </w:tcPr>
          <w:p>
            <w:pPr>
              <w:pStyle w:val="TableContents"/>
              <w:bidi w:val="0"/>
              <w:spacing w:before="0" w:after="0"/>
              <w:ind w:left="0" w:right="0" w:hanging="0"/>
              <w:jc w:val="left"/>
              <w:rPr/>
            </w:pPr>
            <w:r>
              <w:rPr/>
              <w:t>)</w:t>
            </w:r>
          </w:p>
        </w:tc>
        <w:tc>
          <w:tcPr>
            <w:tcW w:w="142" w:type="dxa"/>
            <w:tcBorders/>
            <w:vAlign w:val="center"/>
          </w:tcPr>
          <w:p>
            <w:pPr>
              <w:pStyle w:val="TableContents"/>
              <w:bidi w:val="0"/>
              <w:spacing w:before="0" w:after="283"/>
              <w:ind w:left="0" w:right="0" w:hanging="0"/>
              <w:jc w:val="left"/>
              <w:rPr/>
            </w:pPr>
            <w:r>
              <w:rPr/>
            </w:r>
          </w:p>
        </w:tc>
        <w:tc>
          <w:tcPr>
            <w:tcW w:w="220" w:type="dxa"/>
            <w:tcBorders/>
            <w:vAlign w:val="center"/>
          </w:tcPr>
          <w:p>
            <w:pPr>
              <w:pStyle w:val="TableContents"/>
              <w:bidi w:val="0"/>
              <w:spacing w:before="0" w:after="283"/>
              <w:ind w:left="0" w:right="0" w:hanging="0"/>
              <w:jc w:val="left"/>
              <w:rPr/>
            </w:pPr>
            <w:r>
              <w:rPr/>
            </w:r>
          </w:p>
        </w:tc>
        <w:tc>
          <w:tcPr>
            <w:tcW w:w="860" w:type="dxa"/>
            <w:tcBorders/>
            <w:vAlign w:val="center"/>
          </w:tcPr>
          <w:p>
            <w:pPr>
              <w:pStyle w:val="TableContents"/>
              <w:bidi w:val="0"/>
              <w:spacing w:before="0" w:after="0"/>
              <w:ind w:left="0" w:right="0" w:hanging="0"/>
              <w:jc w:val="right"/>
              <w:rPr/>
            </w:pPr>
            <w:r>
              <w:rPr/>
              <w:t>—</w:t>
            </w:r>
          </w:p>
        </w:tc>
        <w:tc>
          <w:tcPr>
            <w:tcW w:w="115" w:type="dxa"/>
            <w:tcBorders/>
            <w:vAlign w:val="center"/>
          </w:tcPr>
          <w:p>
            <w:pPr>
              <w:pStyle w:val="TableContents"/>
              <w:bidi w:val="0"/>
              <w:spacing w:before="0" w:after="283"/>
              <w:ind w:left="0" w:right="0" w:hanging="0"/>
              <w:jc w:val="left"/>
              <w:rPr/>
            </w:pPr>
            <w:r>
              <w:rPr/>
            </w:r>
          </w:p>
        </w:tc>
        <w:tc>
          <w:tcPr>
            <w:tcW w:w="23" w:type="dxa"/>
            <w:tcBorders/>
            <w:vAlign w:val="center"/>
          </w:tcPr>
          <w:p>
            <w:pPr>
              <w:pStyle w:val="TableContents"/>
              <w:bidi w:val="0"/>
              <w:spacing w:before="0" w:after="283"/>
              <w:ind w:left="0" w:right="0" w:hanging="0"/>
              <w:jc w:val="left"/>
              <w:rPr/>
            </w:pPr>
            <w:r>
              <w:rPr/>
            </w:r>
          </w:p>
        </w:tc>
        <w:tc>
          <w:tcPr>
            <w:tcW w:w="216" w:type="dxa"/>
            <w:tcBorders/>
            <w:vAlign w:val="center"/>
          </w:tcPr>
          <w:p>
            <w:pPr>
              <w:pStyle w:val="TableContents"/>
              <w:bidi w:val="0"/>
              <w:spacing w:before="0" w:after="283"/>
              <w:ind w:left="0" w:right="0" w:hanging="0"/>
              <w:jc w:val="left"/>
              <w:rPr/>
            </w:pPr>
            <w:r>
              <w:rPr/>
            </w:r>
          </w:p>
        </w:tc>
        <w:tc>
          <w:tcPr>
            <w:tcW w:w="1174" w:type="dxa"/>
            <w:tcBorders/>
            <w:vAlign w:val="center"/>
          </w:tcPr>
          <w:p>
            <w:pPr>
              <w:pStyle w:val="TableContents"/>
              <w:bidi w:val="0"/>
              <w:spacing w:before="0" w:after="0"/>
              <w:ind w:left="0" w:right="0" w:hanging="0"/>
              <w:jc w:val="right"/>
              <w:rPr/>
            </w:pPr>
            <w:r>
              <w:rPr/>
              <w:t>(32</w:t>
            </w:r>
          </w:p>
        </w:tc>
        <w:tc>
          <w:tcPr>
            <w:tcW w:w="147" w:type="dxa"/>
            <w:tcBorders/>
            <w:vAlign w:val="center"/>
          </w:tcPr>
          <w:p>
            <w:pPr>
              <w:pStyle w:val="TableContents"/>
              <w:bidi w:val="0"/>
              <w:spacing w:before="0" w:after="0"/>
              <w:ind w:left="0" w:right="0" w:hanging="0"/>
              <w:jc w:val="left"/>
              <w:rPr/>
            </w:pPr>
            <w:r>
              <w:rPr/>
              <w:t>)</w:t>
            </w:r>
          </w:p>
        </w:tc>
        <w:tc>
          <w:tcPr>
            <w:tcW w:w="35" w:type="dxa"/>
            <w:tcBorders/>
            <w:vAlign w:val="center"/>
          </w:tcPr>
          <w:p>
            <w:pPr>
              <w:pStyle w:val="TableContents"/>
              <w:bidi w:val="0"/>
              <w:spacing w:before="0" w:after="283"/>
              <w:ind w:left="0" w:right="0" w:hanging="0"/>
              <w:jc w:val="left"/>
              <w:rPr/>
            </w:pPr>
            <w:r>
              <w:rPr/>
            </w:r>
          </w:p>
        </w:tc>
        <w:tc>
          <w:tcPr>
            <w:tcW w:w="217" w:type="dxa"/>
            <w:tcBorders/>
            <w:vAlign w:val="center"/>
          </w:tcPr>
          <w:p>
            <w:pPr>
              <w:pStyle w:val="TableContents"/>
              <w:bidi w:val="0"/>
              <w:spacing w:before="0" w:after="283"/>
              <w:ind w:left="0" w:right="0" w:hanging="0"/>
              <w:jc w:val="left"/>
              <w:rPr/>
            </w:pPr>
            <w:r>
              <w:rPr/>
            </w:r>
          </w:p>
        </w:tc>
        <w:tc>
          <w:tcPr>
            <w:tcW w:w="1174" w:type="dxa"/>
            <w:tcBorders/>
            <w:vAlign w:val="center"/>
          </w:tcPr>
          <w:p>
            <w:pPr>
              <w:pStyle w:val="TableContents"/>
              <w:bidi w:val="0"/>
              <w:spacing w:before="0" w:after="0"/>
              <w:ind w:left="0" w:right="0" w:hanging="0"/>
              <w:jc w:val="right"/>
              <w:rPr/>
            </w:pPr>
            <w:r>
              <w:rPr/>
              <w:t>—</w:t>
            </w:r>
          </w:p>
        </w:tc>
        <w:tc>
          <w:tcPr>
            <w:tcW w:w="119" w:type="dxa"/>
            <w:tcBorders/>
            <w:vAlign w:val="center"/>
          </w:tcPr>
          <w:p>
            <w:pPr>
              <w:pStyle w:val="TableContents"/>
              <w:bidi w:val="0"/>
              <w:spacing w:before="0" w:after="283"/>
              <w:jc w:val="left"/>
              <w:rPr/>
            </w:pPr>
            <w:r>
              <w:rPr/>
            </w:r>
          </w:p>
        </w:tc>
      </w:tr>
      <w:tr>
        <w:trPr/>
        <w:tc>
          <w:tcPr>
            <w:tcW w:w="4267" w:type="dxa"/>
            <w:tcBorders/>
            <w:shd w:fill="CCEEFF" w:val="clear"/>
            <w:vAlign w:val="center"/>
          </w:tcPr>
          <w:p>
            <w:pPr>
              <w:pStyle w:val="TableContents"/>
              <w:widowControl/>
              <w:bidi w:val="0"/>
              <w:spacing w:before="0" w:after="283"/>
              <w:ind w:left="0" w:right="0" w:hanging="0"/>
              <w:jc w:val="both"/>
              <w:rPr>
                <w:rFonts w:ascii="times new roman" w:hAnsi="times new roman"/>
                <w:b w:val="false"/>
                <w:i w:val="false"/>
                <w:caps w:val="false"/>
                <w:smallCaps w:val="false"/>
                <w:color w:val="212529"/>
                <w:spacing w:val="0"/>
                <w:sz w:val="20"/>
              </w:rPr>
            </w:pPr>
            <w:r>
              <w:rPr>
                <w:rFonts w:ascii="times new roman" w:hAnsi="times new roman"/>
                <w:b w:val="false"/>
                <w:i w:val="false"/>
                <w:caps w:val="false"/>
                <w:smallCaps w:val="false"/>
                <w:color w:val="212529"/>
                <w:spacing w:val="0"/>
                <w:sz w:val="20"/>
              </w:rPr>
              <w:t>Issuance of common stock, net</w:t>
            </w:r>
          </w:p>
        </w:tc>
        <w:tc>
          <w:tcPr>
            <w:tcW w:w="100" w:type="dxa"/>
            <w:tcBorders/>
            <w:shd w:fill="CCEEFF" w:val="clear"/>
            <w:vAlign w:val="center"/>
          </w:tcPr>
          <w:p>
            <w:pPr>
              <w:pStyle w:val="TableContents"/>
              <w:bidi w:val="0"/>
              <w:spacing w:before="0" w:after="283"/>
              <w:jc w:val="left"/>
              <w:rPr/>
            </w:pPr>
            <w:r>
              <w:rPr/>
            </w:r>
          </w:p>
        </w:tc>
        <w:tc>
          <w:tcPr>
            <w:tcW w:w="220" w:type="dxa"/>
            <w:tcBorders/>
            <w:shd w:fill="CCEEFF" w:val="clear"/>
            <w:vAlign w:val="center"/>
          </w:tcPr>
          <w:p>
            <w:pPr>
              <w:pStyle w:val="TableContents"/>
              <w:bidi w:val="0"/>
              <w:spacing w:before="0" w:after="283"/>
              <w:ind w:left="0" w:right="0" w:hanging="0"/>
              <w:jc w:val="left"/>
              <w:rPr/>
            </w:pPr>
            <w:r>
              <w:rPr/>
            </w:r>
          </w:p>
        </w:tc>
        <w:tc>
          <w:tcPr>
            <w:tcW w:w="1023" w:type="dxa"/>
            <w:tcBorders/>
            <w:shd w:fill="CCEEFF" w:val="clear"/>
            <w:vAlign w:val="center"/>
          </w:tcPr>
          <w:p>
            <w:pPr>
              <w:pStyle w:val="TableContents"/>
              <w:bidi w:val="0"/>
              <w:spacing w:before="0" w:after="0"/>
              <w:ind w:left="0" w:right="0" w:hanging="0"/>
              <w:jc w:val="right"/>
              <w:rPr/>
            </w:pPr>
            <w:r>
              <w:rPr/>
              <w:t>—</w:t>
            </w:r>
          </w:p>
        </w:tc>
        <w:tc>
          <w:tcPr>
            <w:tcW w:w="153"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42" w:type="dxa"/>
            <w:tcBorders/>
            <w:shd w:fill="CCEEFF" w:val="clear"/>
            <w:vAlign w:val="center"/>
          </w:tcPr>
          <w:p>
            <w:pPr>
              <w:pStyle w:val="TableContents"/>
              <w:bidi w:val="0"/>
              <w:spacing w:before="0" w:after="283"/>
              <w:ind w:left="0" w:right="0" w:hanging="0"/>
              <w:jc w:val="left"/>
              <w:rPr/>
            </w:pPr>
            <w:r>
              <w:rPr/>
            </w:r>
          </w:p>
        </w:tc>
        <w:tc>
          <w:tcPr>
            <w:tcW w:w="220" w:type="dxa"/>
            <w:tcBorders/>
            <w:shd w:fill="CCEEFF" w:val="clear"/>
            <w:vAlign w:val="center"/>
          </w:tcPr>
          <w:p>
            <w:pPr>
              <w:pStyle w:val="TableContents"/>
              <w:bidi w:val="0"/>
              <w:spacing w:before="0" w:after="283"/>
              <w:ind w:left="0" w:right="0" w:hanging="0"/>
              <w:jc w:val="left"/>
              <w:rPr/>
            </w:pPr>
            <w:r>
              <w:rPr/>
            </w:r>
          </w:p>
        </w:tc>
        <w:tc>
          <w:tcPr>
            <w:tcW w:w="860" w:type="dxa"/>
            <w:tcBorders/>
            <w:shd w:fill="CCEEFF" w:val="clear"/>
            <w:vAlign w:val="center"/>
          </w:tcPr>
          <w:p>
            <w:pPr>
              <w:pStyle w:val="TableContents"/>
              <w:bidi w:val="0"/>
              <w:spacing w:before="0" w:after="0"/>
              <w:ind w:left="0" w:right="0" w:hanging="0"/>
              <w:jc w:val="right"/>
              <w:rPr/>
            </w:pPr>
            <w:r>
              <w:rPr/>
              <w:t>—</w:t>
            </w:r>
          </w:p>
        </w:tc>
        <w:tc>
          <w:tcPr>
            <w:tcW w:w="115" w:type="dxa"/>
            <w:tcBorders/>
            <w:shd w:fill="CCEEFF" w:val="clear"/>
            <w:vAlign w:val="center"/>
          </w:tcPr>
          <w:p>
            <w:pPr>
              <w:pStyle w:val="TableContents"/>
              <w:bidi w:val="0"/>
              <w:spacing w:before="0" w:after="283"/>
              <w:ind w:left="0" w:right="0" w:hanging="0"/>
              <w:jc w:val="left"/>
              <w:rPr/>
            </w:pPr>
            <w:r>
              <w:rPr/>
            </w:r>
          </w:p>
        </w:tc>
        <w:tc>
          <w:tcPr>
            <w:tcW w:w="23" w:type="dxa"/>
            <w:tcBorders/>
            <w:shd w:fill="CCEEFF" w:val="clear"/>
            <w:vAlign w:val="center"/>
          </w:tcPr>
          <w:p>
            <w:pPr>
              <w:pStyle w:val="TableContents"/>
              <w:bidi w:val="0"/>
              <w:spacing w:before="0" w:after="283"/>
              <w:ind w:left="0" w:right="0" w:hanging="0"/>
              <w:jc w:val="left"/>
              <w:rPr/>
            </w:pPr>
            <w:r>
              <w:rPr/>
            </w:r>
          </w:p>
        </w:tc>
        <w:tc>
          <w:tcPr>
            <w:tcW w:w="216" w:type="dxa"/>
            <w:tcBorders/>
            <w:shd w:fill="CCEEFF" w:val="clear"/>
            <w:vAlign w:val="center"/>
          </w:tcPr>
          <w:p>
            <w:pPr>
              <w:pStyle w:val="TableContents"/>
              <w:bidi w:val="0"/>
              <w:spacing w:before="0" w:after="283"/>
              <w:ind w:left="0" w:right="0" w:hanging="0"/>
              <w:jc w:val="left"/>
              <w:rPr/>
            </w:pPr>
            <w:r>
              <w:rPr/>
            </w:r>
          </w:p>
        </w:tc>
        <w:tc>
          <w:tcPr>
            <w:tcW w:w="1174" w:type="dxa"/>
            <w:tcBorders/>
            <w:shd w:fill="CCEEFF" w:val="clear"/>
            <w:vAlign w:val="center"/>
          </w:tcPr>
          <w:p>
            <w:pPr>
              <w:pStyle w:val="TableContents"/>
              <w:bidi w:val="0"/>
              <w:spacing w:before="0" w:after="0"/>
              <w:ind w:left="0" w:right="0" w:hanging="0"/>
              <w:jc w:val="right"/>
              <w:rPr/>
            </w:pPr>
            <w:r>
              <w:rPr/>
              <w:t>1,000</w:t>
            </w:r>
          </w:p>
        </w:tc>
        <w:tc>
          <w:tcPr>
            <w:tcW w:w="147" w:type="dxa"/>
            <w:tcBorders/>
            <w:shd w:fill="CCEEFF" w:val="clear"/>
            <w:vAlign w:val="center"/>
          </w:tcPr>
          <w:p>
            <w:pPr>
              <w:pStyle w:val="TableContents"/>
              <w:bidi w:val="0"/>
              <w:spacing w:before="0" w:after="283"/>
              <w:ind w:left="0" w:right="0" w:hanging="0"/>
              <w:jc w:val="left"/>
              <w:rPr/>
            </w:pPr>
            <w:r>
              <w:rPr/>
            </w:r>
          </w:p>
        </w:tc>
        <w:tc>
          <w:tcPr>
            <w:tcW w:w="35" w:type="dxa"/>
            <w:tcBorders/>
            <w:shd w:fill="CCEEFF" w:val="clear"/>
            <w:vAlign w:val="center"/>
          </w:tcPr>
          <w:p>
            <w:pPr>
              <w:pStyle w:val="TableContents"/>
              <w:bidi w:val="0"/>
              <w:spacing w:before="0" w:after="283"/>
              <w:ind w:left="0" w:right="0" w:hanging="0"/>
              <w:jc w:val="left"/>
              <w:rPr/>
            </w:pPr>
            <w:r>
              <w:rPr/>
            </w:r>
          </w:p>
        </w:tc>
        <w:tc>
          <w:tcPr>
            <w:tcW w:w="217" w:type="dxa"/>
            <w:tcBorders/>
            <w:shd w:fill="CCEEFF" w:val="clear"/>
            <w:vAlign w:val="center"/>
          </w:tcPr>
          <w:p>
            <w:pPr>
              <w:pStyle w:val="TableContents"/>
              <w:bidi w:val="0"/>
              <w:spacing w:before="0" w:after="283"/>
              <w:ind w:left="0" w:right="0" w:hanging="0"/>
              <w:jc w:val="left"/>
              <w:rPr/>
            </w:pPr>
            <w:r>
              <w:rPr/>
            </w:r>
          </w:p>
        </w:tc>
        <w:tc>
          <w:tcPr>
            <w:tcW w:w="1174" w:type="dxa"/>
            <w:tcBorders/>
            <w:shd w:fill="CCEEFF" w:val="clear"/>
            <w:vAlign w:val="center"/>
          </w:tcPr>
          <w:p>
            <w:pPr>
              <w:pStyle w:val="TableContents"/>
              <w:bidi w:val="0"/>
              <w:spacing w:before="0" w:after="0"/>
              <w:ind w:left="0" w:right="0" w:hanging="0"/>
              <w:jc w:val="right"/>
              <w:rPr/>
            </w:pPr>
            <w:r>
              <w:rPr/>
              <w:t>—</w:t>
            </w:r>
          </w:p>
        </w:tc>
        <w:tc>
          <w:tcPr>
            <w:tcW w:w="119" w:type="dxa"/>
            <w:tcBorders/>
            <w:shd w:fill="CCEEFF" w:val="clear"/>
            <w:vAlign w:val="center"/>
          </w:tcPr>
          <w:p>
            <w:pPr>
              <w:pStyle w:val="TableContents"/>
              <w:bidi w:val="0"/>
              <w:spacing w:before="0" w:after="283"/>
              <w:jc w:val="left"/>
              <w:rPr/>
            </w:pPr>
            <w:r>
              <w:rPr/>
            </w:r>
          </w:p>
        </w:tc>
      </w:tr>
      <w:tr>
        <w:trPr/>
        <w:tc>
          <w:tcPr>
            <w:tcW w:w="426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Share-based compensation expense </w:t>
            </w:r>
          </w:p>
        </w:tc>
        <w:tc>
          <w:tcPr>
            <w:tcW w:w="100" w:type="dxa"/>
            <w:tcBorders/>
            <w:vAlign w:val="center"/>
          </w:tcPr>
          <w:p>
            <w:pPr>
              <w:pStyle w:val="TableContents"/>
              <w:bidi w:val="0"/>
              <w:spacing w:before="0" w:after="0"/>
              <w:ind w:left="0" w:right="0" w:hanging="0"/>
              <w:jc w:val="left"/>
              <w:rPr/>
            </w:pPr>
            <w:r>
              <w:rPr/>
              <w:t xml:space="preserve">  </w:t>
            </w:r>
          </w:p>
        </w:tc>
        <w:tc>
          <w:tcPr>
            <w:tcW w:w="220" w:type="dxa"/>
            <w:tcBorders/>
            <w:vAlign w:val="center"/>
          </w:tcPr>
          <w:p>
            <w:pPr>
              <w:pStyle w:val="TableContents"/>
              <w:bidi w:val="0"/>
              <w:spacing w:before="0" w:after="0"/>
              <w:ind w:left="0" w:right="0" w:hanging="0"/>
              <w:jc w:val="left"/>
              <w:rPr/>
            </w:pPr>
            <w:r>
              <w:rPr/>
              <w:t xml:space="preserve">  </w:t>
            </w:r>
          </w:p>
        </w:tc>
        <w:tc>
          <w:tcPr>
            <w:tcW w:w="1023"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22 </w:t>
            </w:r>
          </w:p>
        </w:tc>
        <w:tc>
          <w:tcPr>
            <w:tcW w:w="153" w:type="dxa"/>
            <w:tcBorders/>
            <w:vAlign w:val="bottom"/>
          </w:tcPr>
          <w:p>
            <w:pPr>
              <w:pStyle w:val="TableContents"/>
              <w:pBdr/>
              <w:bidi w:val="0"/>
              <w:spacing w:before="0" w:after="0"/>
              <w:ind w:left="0" w:right="0" w:hanging="0"/>
              <w:jc w:val="left"/>
              <w:rPr/>
            </w:pPr>
            <w:r>
              <w:rPr/>
              <w:t xml:space="preserve">  </w:t>
            </w:r>
          </w:p>
        </w:tc>
        <w:tc>
          <w:tcPr>
            <w:tcW w:w="142" w:type="dxa"/>
            <w:tcBorders/>
            <w:vAlign w:val="bottom"/>
          </w:tcPr>
          <w:p>
            <w:pPr>
              <w:pStyle w:val="TableContents"/>
              <w:pBdr/>
              <w:bidi w:val="0"/>
              <w:spacing w:before="0" w:after="0"/>
              <w:ind w:left="0" w:right="0" w:hanging="0"/>
              <w:jc w:val="left"/>
              <w:rPr/>
            </w:pPr>
            <w:r>
              <w:rPr/>
              <w:t xml:space="preserve">  </w:t>
            </w:r>
          </w:p>
        </w:tc>
        <w:tc>
          <w:tcPr>
            <w:tcW w:w="220" w:type="dxa"/>
            <w:tcBorders/>
            <w:vAlign w:val="bottom"/>
          </w:tcPr>
          <w:p>
            <w:pPr>
              <w:pStyle w:val="TableContents"/>
              <w:pBdr/>
              <w:bidi w:val="0"/>
              <w:spacing w:before="0" w:after="0"/>
              <w:ind w:left="0" w:right="0" w:hanging="0"/>
              <w:jc w:val="left"/>
              <w:rPr/>
            </w:pPr>
            <w:r>
              <w:rPr/>
              <w:t xml:space="preserve">  </w:t>
            </w:r>
          </w:p>
        </w:tc>
        <w:tc>
          <w:tcPr>
            <w:tcW w:w="860"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21 </w:t>
            </w:r>
          </w:p>
        </w:tc>
        <w:tc>
          <w:tcPr>
            <w:tcW w:w="115" w:type="dxa"/>
            <w:tcBorders/>
            <w:vAlign w:val="bottom"/>
          </w:tcPr>
          <w:p>
            <w:pPr>
              <w:pStyle w:val="TableContents"/>
              <w:pBdr/>
              <w:bidi w:val="0"/>
              <w:spacing w:before="0" w:after="0"/>
              <w:ind w:left="0" w:right="0" w:hanging="0"/>
              <w:jc w:val="left"/>
              <w:rPr/>
            </w:pPr>
            <w:r>
              <w:rPr/>
              <w:t xml:space="preserve">  </w:t>
            </w:r>
          </w:p>
        </w:tc>
        <w:tc>
          <w:tcPr>
            <w:tcW w:w="23" w:type="dxa"/>
            <w:tcBorders/>
            <w:vAlign w:val="center"/>
          </w:tcPr>
          <w:p>
            <w:pPr>
              <w:pStyle w:val="TableContents"/>
              <w:bidi w:val="0"/>
              <w:spacing w:before="0" w:after="283"/>
              <w:ind w:left="0" w:right="0" w:hanging="0"/>
              <w:jc w:val="left"/>
              <w:rPr/>
            </w:pPr>
            <w:r>
              <w:rPr/>
            </w:r>
          </w:p>
        </w:tc>
        <w:tc>
          <w:tcPr>
            <w:tcW w:w="216" w:type="dxa"/>
            <w:tcBorders/>
            <w:vAlign w:val="center"/>
          </w:tcPr>
          <w:p>
            <w:pPr>
              <w:pStyle w:val="TableContents"/>
              <w:bidi w:val="0"/>
              <w:spacing w:before="0" w:after="283"/>
              <w:ind w:left="0" w:right="0" w:hanging="0"/>
              <w:jc w:val="left"/>
              <w:rPr/>
            </w:pPr>
            <w:r>
              <w:rPr/>
            </w:r>
          </w:p>
        </w:tc>
        <w:tc>
          <w:tcPr>
            <w:tcW w:w="1174" w:type="dxa"/>
            <w:tcBorders/>
            <w:vAlign w:val="center"/>
          </w:tcPr>
          <w:p>
            <w:pPr>
              <w:pStyle w:val="TableContents"/>
              <w:bidi w:val="0"/>
              <w:spacing w:before="0" w:after="0"/>
              <w:ind w:left="0" w:right="0" w:hanging="0"/>
              <w:jc w:val="right"/>
              <w:rPr/>
            </w:pPr>
            <w:r>
              <w:rPr/>
              <w:t>66</w:t>
            </w:r>
          </w:p>
        </w:tc>
        <w:tc>
          <w:tcPr>
            <w:tcW w:w="147" w:type="dxa"/>
            <w:tcBorders/>
            <w:vAlign w:val="center"/>
          </w:tcPr>
          <w:p>
            <w:pPr>
              <w:pStyle w:val="TableContents"/>
              <w:bidi w:val="0"/>
              <w:spacing w:before="0" w:after="283"/>
              <w:ind w:left="0" w:right="0" w:hanging="0"/>
              <w:jc w:val="left"/>
              <w:rPr/>
            </w:pPr>
            <w:r>
              <w:rPr/>
            </w:r>
          </w:p>
        </w:tc>
        <w:tc>
          <w:tcPr>
            <w:tcW w:w="35" w:type="dxa"/>
            <w:tcBorders/>
            <w:vAlign w:val="center"/>
          </w:tcPr>
          <w:p>
            <w:pPr>
              <w:pStyle w:val="TableContents"/>
              <w:bidi w:val="0"/>
              <w:spacing w:before="0" w:after="283"/>
              <w:ind w:left="0" w:right="0" w:hanging="0"/>
              <w:jc w:val="left"/>
              <w:rPr/>
            </w:pPr>
            <w:r>
              <w:rPr/>
            </w:r>
          </w:p>
        </w:tc>
        <w:tc>
          <w:tcPr>
            <w:tcW w:w="217" w:type="dxa"/>
            <w:tcBorders/>
            <w:vAlign w:val="center"/>
          </w:tcPr>
          <w:p>
            <w:pPr>
              <w:pStyle w:val="TableContents"/>
              <w:bidi w:val="0"/>
              <w:spacing w:before="0" w:after="283"/>
              <w:ind w:left="0" w:right="0" w:hanging="0"/>
              <w:jc w:val="left"/>
              <w:rPr/>
            </w:pPr>
            <w:r>
              <w:rPr/>
            </w:r>
          </w:p>
        </w:tc>
        <w:tc>
          <w:tcPr>
            <w:tcW w:w="1174" w:type="dxa"/>
            <w:tcBorders/>
            <w:vAlign w:val="center"/>
          </w:tcPr>
          <w:p>
            <w:pPr>
              <w:pStyle w:val="TableContents"/>
              <w:bidi w:val="0"/>
              <w:spacing w:before="0" w:after="0"/>
              <w:ind w:left="0" w:right="0" w:hanging="0"/>
              <w:jc w:val="right"/>
              <w:rPr/>
            </w:pPr>
            <w:r>
              <w:rPr/>
              <w:t>73</w:t>
            </w:r>
          </w:p>
        </w:tc>
        <w:tc>
          <w:tcPr>
            <w:tcW w:w="119" w:type="dxa"/>
            <w:tcBorders/>
            <w:vAlign w:val="center"/>
          </w:tcPr>
          <w:p>
            <w:pPr>
              <w:pStyle w:val="TableContents"/>
              <w:bidi w:val="0"/>
              <w:spacing w:before="0" w:after="283"/>
              <w:jc w:val="left"/>
              <w:rPr/>
            </w:pPr>
            <w:r>
              <w:rPr/>
            </w:r>
          </w:p>
        </w:tc>
      </w:tr>
      <w:tr>
        <w:trPr/>
        <w:tc>
          <w:tcPr>
            <w:tcW w:w="426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Proceeds from employee stock purchase plan </w:t>
            </w:r>
          </w:p>
        </w:tc>
        <w:tc>
          <w:tcPr>
            <w:tcW w:w="100" w:type="dxa"/>
            <w:tcBorders/>
            <w:shd w:fill="CCEEFF" w:val="clear"/>
            <w:vAlign w:val="center"/>
          </w:tcPr>
          <w:p>
            <w:pPr>
              <w:pStyle w:val="TableContents"/>
              <w:bidi w:val="0"/>
              <w:spacing w:before="0" w:after="0"/>
              <w:ind w:left="0" w:right="0" w:hanging="0"/>
              <w:jc w:val="left"/>
              <w:rPr/>
            </w:pPr>
            <w:r>
              <w:rPr/>
              <w:t xml:space="preserve">  </w:t>
            </w:r>
          </w:p>
        </w:tc>
        <w:tc>
          <w:tcPr>
            <w:tcW w:w="220" w:type="dxa"/>
            <w:tcBorders/>
            <w:shd w:fill="CCEEFF" w:val="clear"/>
            <w:vAlign w:val="center"/>
          </w:tcPr>
          <w:p>
            <w:pPr>
              <w:pStyle w:val="TableContents"/>
              <w:bidi w:val="0"/>
              <w:spacing w:before="0" w:after="0"/>
              <w:ind w:left="0" w:right="0" w:hanging="0"/>
              <w:jc w:val="left"/>
              <w:rPr/>
            </w:pPr>
            <w:r>
              <w:rPr/>
              <w:t xml:space="preserve">  </w:t>
            </w:r>
          </w:p>
        </w:tc>
        <w:tc>
          <w:tcPr>
            <w:tcW w:w="1023" w:type="dxa"/>
            <w:tcBorders/>
            <w:shd w:fill="CCEEFF" w:val="clear"/>
            <w:vAlign w:val="bottom"/>
          </w:tcPr>
          <w:p>
            <w:pPr>
              <w:pStyle w:val="TableContents"/>
              <w:pBdr/>
              <w:bidi w:val="0"/>
              <w:spacing w:before="0" w:after="0"/>
              <w:ind w:left="0" w:right="0" w:hanging="0"/>
              <w:jc w:val="right"/>
              <w:rPr/>
            </w:pPr>
            <w:r>
              <w:rPr/>
              <w:t>—</w:t>
            </w:r>
          </w:p>
        </w:tc>
        <w:tc>
          <w:tcPr>
            <w:tcW w:w="153" w:type="dxa"/>
            <w:tcBorders/>
            <w:shd w:fill="CCEEFF" w:val="clear"/>
            <w:vAlign w:val="bottom"/>
          </w:tcPr>
          <w:p>
            <w:pPr>
              <w:pStyle w:val="TableContents"/>
              <w:bidi w:val="0"/>
              <w:spacing w:before="0" w:after="283"/>
              <w:ind w:left="0" w:right="0" w:hanging="0"/>
              <w:jc w:val="left"/>
              <w:rPr>
                <w:sz w:val="4"/>
                <w:szCs w:val="4"/>
              </w:rPr>
            </w:pPr>
            <w:r>
              <w:rPr>
                <w:sz w:val="4"/>
                <w:szCs w:val="4"/>
              </w:rPr>
            </w:r>
          </w:p>
        </w:tc>
        <w:tc>
          <w:tcPr>
            <w:tcW w:w="142" w:type="dxa"/>
            <w:tcBorders/>
            <w:shd w:fill="CCEEFF" w:val="clear"/>
            <w:vAlign w:val="bottom"/>
          </w:tcPr>
          <w:p>
            <w:pPr>
              <w:pStyle w:val="TableContents"/>
              <w:pBdr/>
              <w:bidi w:val="0"/>
              <w:spacing w:before="0" w:after="0"/>
              <w:ind w:left="0" w:right="0" w:hanging="0"/>
              <w:jc w:val="left"/>
              <w:rPr/>
            </w:pPr>
            <w:r>
              <w:rPr/>
              <w:t xml:space="preserve">  </w:t>
            </w:r>
          </w:p>
        </w:tc>
        <w:tc>
          <w:tcPr>
            <w:tcW w:w="220" w:type="dxa"/>
            <w:tcBorders/>
            <w:shd w:fill="CCEEFF" w:val="clear"/>
            <w:vAlign w:val="bottom"/>
          </w:tcPr>
          <w:p>
            <w:pPr>
              <w:pStyle w:val="TableContents"/>
              <w:pBdr/>
              <w:bidi w:val="0"/>
              <w:spacing w:before="0" w:after="0"/>
              <w:ind w:left="0" w:right="0" w:hanging="0"/>
              <w:jc w:val="left"/>
              <w:rPr/>
            </w:pPr>
            <w:r>
              <w:rPr/>
              <w:t xml:space="preserve">  </w:t>
            </w:r>
          </w:p>
        </w:tc>
        <w:tc>
          <w:tcPr>
            <w:tcW w:w="860"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w:t>
            </w:r>
          </w:p>
        </w:tc>
        <w:tc>
          <w:tcPr>
            <w:tcW w:w="115" w:type="dxa"/>
            <w:tcBorders/>
            <w:shd w:fill="CCEEFF" w:val="clear"/>
            <w:vAlign w:val="bottom"/>
          </w:tcPr>
          <w:p>
            <w:pPr>
              <w:pStyle w:val="TableContents"/>
              <w:bidi w:val="0"/>
              <w:spacing w:before="0" w:after="283"/>
              <w:ind w:left="0" w:right="0" w:hanging="0"/>
              <w:jc w:val="left"/>
              <w:rPr>
                <w:sz w:val="4"/>
                <w:szCs w:val="4"/>
              </w:rPr>
            </w:pPr>
            <w:r>
              <w:rPr>
                <w:sz w:val="4"/>
                <w:szCs w:val="4"/>
              </w:rPr>
            </w:r>
          </w:p>
        </w:tc>
        <w:tc>
          <w:tcPr>
            <w:tcW w:w="23" w:type="dxa"/>
            <w:tcBorders/>
            <w:shd w:fill="CCEEFF" w:val="clear"/>
            <w:vAlign w:val="center"/>
          </w:tcPr>
          <w:p>
            <w:pPr>
              <w:pStyle w:val="TableContents"/>
              <w:bidi w:val="0"/>
              <w:spacing w:before="0" w:after="283"/>
              <w:ind w:left="0" w:right="0" w:hanging="0"/>
              <w:jc w:val="left"/>
              <w:rPr/>
            </w:pPr>
            <w:r>
              <w:rPr/>
            </w:r>
          </w:p>
        </w:tc>
        <w:tc>
          <w:tcPr>
            <w:tcW w:w="216" w:type="dxa"/>
            <w:tcBorders/>
            <w:shd w:fill="CCEEFF" w:val="clear"/>
            <w:vAlign w:val="center"/>
          </w:tcPr>
          <w:p>
            <w:pPr>
              <w:pStyle w:val="TableContents"/>
              <w:bidi w:val="0"/>
              <w:spacing w:before="0" w:after="283"/>
              <w:ind w:left="0" w:right="0" w:hanging="0"/>
              <w:jc w:val="left"/>
              <w:rPr/>
            </w:pPr>
            <w:r>
              <w:rPr/>
            </w:r>
          </w:p>
        </w:tc>
        <w:tc>
          <w:tcPr>
            <w:tcW w:w="1174" w:type="dxa"/>
            <w:tcBorders/>
            <w:shd w:fill="CCEEFF" w:val="clear"/>
            <w:vAlign w:val="center"/>
          </w:tcPr>
          <w:p>
            <w:pPr>
              <w:pStyle w:val="TableContents"/>
              <w:bidi w:val="0"/>
              <w:spacing w:before="0" w:after="0"/>
              <w:ind w:left="0" w:right="0" w:hanging="0"/>
              <w:jc w:val="right"/>
              <w:rPr/>
            </w:pPr>
            <w:r>
              <w:rPr/>
              <w:t>—</w:t>
            </w:r>
          </w:p>
        </w:tc>
        <w:tc>
          <w:tcPr>
            <w:tcW w:w="147" w:type="dxa"/>
            <w:tcBorders/>
            <w:shd w:fill="CCEEFF" w:val="clear"/>
            <w:vAlign w:val="center"/>
          </w:tcPr>
          <w:p>
            <w:pPr>
              <w:pStyle w:val="TableContents"/>
              <w:bidi w:val="0"/>
              <w:spacing w:before="0" w:after="283"/>
              <w:ind w:left="0" w:right="0" w:hanging="0"/>
              <w:jc w:val="left"/>
              <w:rPr/>
            </w:pPr>
            <w:r>
              <w:rPr/>
            </w:r>
          </w:p>
        </w:tc>
        <w:tc>
          <w:tcPr>
            <w:tcW w:w="35" w:type="dxa"/>
            <w:tcBorders/>
            <w:shd w:fill="CCEEFF" w:val="clear"/>
            <w:vAlign w:val="center"/>
          </w:tcPr>
          <w:p>
            <w:pPr>
              <w:pStyle w:val="TableContents"/>
              <w:bidi w:val="0"/>
              <w:spacing w:before="0" w:after="283"/>
              <w:ind w:left="0" w:right="0" w:hanging="0"/>
              <w:jc w:val="left"/>
              <w:rPr/>
            </w:pPr>
            <w:r>
              <w:rPr/>
            </w:r>
          </w:p>
        </w:tc>
        <w:tc>
          <w:tcPr>
            <w:tcW w:w="217" w:type="dxa"/>
            <w:tcBorders/>
            <w:shd w:fill="CCEEFF" w:val="clear"/>
            <w:vAlign w:val="center"/>
          </w:tcPr>
          <w:p>
            <w:pPr>
              <w:pStyle w:val="TableContents"/>
              <w:bidi w:val="0"/>
              <w:spacing w:before="0" w:after="283"/>
              <w:ind w:left="0" w:right="0" w:hanging="0"/>
              <w:jc w:val="left"/>
              <w:rPr/>
            </w:pPr>
            <w:r>
              <w:rPr/>
            </w:r>
          </w:p>
        </w:tc>
        <w:tc>
          <w:tcPr>
            <w:tcW w:w="1174" w:type="dxa"/>
            <w:tcBorders/>
            <w:shd w:fill="CCEEFF" w:val="clear"/>
            <w:vAlign w:val="center"/>
          </w:tcPr>
          <w:p>
            <w:pPr>
              <w:pStyle w:val="TableContents"/>
              <w:bidi w:val="0"/>
              <w:spacing w:before="0" w:after="0"/>
              <w:ind w:left="0" w:right="0" w:hanging="0"/>
              <w:jc w:val="right"/>
              <w:rPr/>
            </w:pPr>
            <w:r>
              <w:rPr/>
              <w:t>16</w:t>
            </w:r>
          </w:p>
        </w:tc>
        <w:tc>
          <w:tcPr>
            <w:tcW w:w="119" w:type="dxa"/>
            <w:tcBorders/>
            <w:shd w:fill="CCEEFF" w:val="clear"/>
            <w:vAlign w:val="center"/>
          </w:tcPr>
          <w:p>
            <w:pPr>
              <w:pStyle w:val="TableContents"/>
              <w:bidi w:val="0"/>
              <w:spacing w:before="0" w:after="283"/>
              <w:jc w:val="left"/>
              <w:rPr/>
            </w:pPr>
            <w:r>
              <w:rPr/>
            </w:r>
          </w:p>
        </w:tc>
      </w:tr>
      <w:tr>
        <w:trPr/>
        <w:tc>
          <w:tcPr>
            <w:tcW w:w="426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Balance, end of period </w:t>
            </w:r>
          </w:p>
        </w:tc>
        <w:tc>
          <w:tcPr>
            <w:tcW w:w="100" w:type="dxa"/>
            <w:tcBorders/>
            <w:vAlign w:val="center"/>
          </w:tcPr>
          <w:p>
            <w:pPr>
              <w:pStyle w:val="TableContents"/>
              <w:bidi w:val="0"/>
              <w:spacing w:before="0" w:after="0"/>
              <w:ind w:left="0" w:right="0" w:hanging="0"/>
              <w:jc w:val="left"/>
              <w:rPr/>
            </w:pPr>
            <w:r>
              <w:rPr/>
              <w:t xml:space="preserve">  </w:t>
            </w:r>
          </w:p>
        </w:tc>
        <w:tc>
          <w:tcPr>
            <w:tcW w:w="22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023"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35,754 </w:t>
            </w:r>
          </w:p>
        </w:tc>
        <w:tc>
          <w:tcPr>
            <w:tcW w:w="153" w:type="dxa"/>
            <w:tcBorders/>
            <w:vAlign w:val="bottom"/>
          </w:tcPr>
          <w:p>
            <w:pPr>
              <w:pStyle w:val="TableContents"/>
              <w:pBdr/>
              <w:bidi w:val="0"/>
              <w:spacing w:before="0" w:after="0"/>
              <w:ind w:left="0" w:right="0" w:hanging="0"/>
              <w:jc w:val="left"/>
              <w:rPr/>
            </w:pPr>
            <w:r>
              <w:rPr/>
              <w:t xml:space="preserve">  </w:t>
            </w:r>
          </w:p>
        </w:tc>
        <w:tc>
          <w:tcPr>
            <w:tcW w:w="142" w:type="dxa"/>
            <w:tcBorders/>
            <w:vAlign w:val="bottom"/>
          </w:tcPr>
          <w:p>
            <w:pPr>
              <w:pStyle w:val="TableContents"/>
              <w:pBdr/>
              <w:bidi w:val="0"/>
              <w:spacing w:before="0" w:after="0"/>
              <w:ind w:left="0" w:right="0" w:hanging="0"/>
              <w:jc w:val="left"/>
              <w:rPr/>
            </w:pPr>
            <w:r>
              <w:rPr/>
              <w:t xml:space="preserve">  </w:t>
            </w:r>
          </w:p>
        </w:tc>
        <w:tc>
          <w:tcPr>
            <w:tcW w:w="220" w:type="dxa"/>
            <w:tcBorders/>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860"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31,664 </w:t>
            </w:r>
          </w:p>
        </w:tc>
        <w:tc>
          <w:tcPr>
            <w:tcW w:w="115" w:type="dxa"/>
            <w:tcBorders/>
            <w:vAlign w:val="bottom"/>
          </w:tcPr>
          <w:p>
            <w:pPr>
              <w:pStyle w:val="TableContents"/>
              <w:pBdr/>
              <w:bidi w:val="0"/>
              <w:spacing w:before="0" w:after="0"/>
              <w:ind w:left="0" w:right="0" w:hanging="0"/>
              <w:jc w:val="left"/>
              <w:rPr/>
            </w:pPr>
            <w:r>
              <w:rPr/>
              <w:t xml:space="preserve">  </w:t>
            </w:r>
          </w:p>
        </w:tc>
        <w:tc>
          <w:tcPr>
            <w:tcW w:w="23" w:type="dxa"/>
            <w:tcBorders/>
            <w:vAlign w:val="center"/>
          </w:tcPr>
          <w:p>
            <w:pPr>
              <w:pStyle w:val="TableContents"/>
              <w:bidi w:val="0"/>
              <w:spacing w:before="0" w:after="283"/>
              <w:ind w:left="0" w:right="0" w:hanging="0"/>
              <w:jc w:val="left"/>
              <w:rPr/>
            </w:pPr>
            <w:r>
              <w:rPr/>
            </w:r>
          </w:p>
        </w:tc>
        <w:tc>
          <w:tcPr>
            <w:tcW w:w="216" w:type="dxa"/>
            <w:tcBorders/>
            <w:vAlign w:val="center"/>
          </w:tcPr>
          <w:p>
            <w:pPr>
              <w:pStyle w:val="TableContents"/>
              <w:widowControl/>
              <w:bidi w:val="0"/>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174" w:type="dxa"/>
            <w:tcBorders/>
            <w:vAlign w:val="center"/>
          </w:tcPr>
          <w:p>
            <w:pPr>
              <w:pStyle w:val="TableContents"/>
              <w:bidi w:val="0"/>
              <w:spacing w:before="0" w:after="0"/>
              <w:ind w:left="0" w:right="0" w:hanging="0"/>
              <w:jc w:val="right"/>
              <w:rPr/>
            </w:pPr>
            <w:r>
              <w:rPr/>
              <w:t>35,754</w:t>
            </w:r>
          </w:p>
        </w:tc>
        <w:tc>
          <w:tcPr>
            <w:tcW w:w="147" w:type="dxa"/>
            <w:tcBorders/>
            <w:vAlign w:val="center"/>
          </w:tcPr>
          <w:p>
            <w:pPr>
              <w:pStyle w:val="TableContents"/>
              <w:bidi w:val="0"/>
              <w:spacing w:before="0" w:after="283"/>
              <w:ind w:left="0" w:right="0" w:hanging="0"/>
              <w:jc w:val="left"/>
              <w:rPr/>
            </w:pPr>
            <w:r>
              <w:rPr/>
            </w:r>
          </w:p>
        </w:tc>
        <w:tc>
          <w:tcPr>
            <w:tcW w:w="35" w:type="dxa"/>
            <w:tcBorders/>
            <w:vAlign w:val="center"/>
          </w:tcPr>
          <w:p>
            <w:pPr>
              <w:pStyle w:val="TableContents"/>
              <w:bidi w:val="0"/>
              <w:spacing w:before="0" w:after="283"/>
              <w:ind w:left="0" w:right="0" w:hanging="0"/>
              <w:jc w:val="left"/>
              <w:rPr/>
            </w:pPr>
            <w:r>
              <w:rPr/>
            </w:r>
          </w:p>
        </w:tc>
        <w:tc>
          <w:tcPr>
            <w:tcW w:w="217" w:type="dxa"/>
            <w:tcBorders/>
            <w:vAlign w:val="center"/>
          </w:tcPr>
          <w:p>
            <w:pPr>
              <w:pStyle w:val="TableContents"/>
              <w:widowControl/>
              <w:bidi w:val="0"/>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174" w:type="dxa"/>
            <w:tcBorders/>
            <w:vAlign w:val="center"/>
          </w:tcPr>
          <w:p>
            <w:pPr>
              <w:pStyle w:val="TableContents"/>
              <w:bidi w:val="0"/>
              <w:spacing w:before="0" w:after="0"/>
              <w:ind w:left="0" w:right="0" w:hanging="0"/>
              <w:jc w:val="right"/>
              <w:rPr/>
            </w:pPr>
            <w:r>
              <w:rPr/>
              <w:t>31,664</w:t>
            </w:r>
          </w:p>
        </w:tc>
        <w:tc>
          <w:tcPr>
            <w:tcW w:w="119" w:type="dxa"/>
            <w:tcBorders/>
            <w:vAlign w:val="center"/>
          </w:tcPr>
          <w:p>
            <w:pPr>
              <w:pStyle w:val="TableContents"/>
              <w:bidi w:val="0"/>
              <w:spacing w:before="0" w:after="283"/>
              <w:jc w:val="left"/>
              <w:rPr/>
            </w:pPr>
            <w:r>
              <w:rPr/>
            </w:r>
          </w:p>
        </w:tc>
      </w:tr>
      <w:tr>
        <w:trPr/>
        <w:tc>
          <w:tcPr>
            <w:tcW w:w="4267" w:type="dxa"/>
            <w:tcBorders/>
            <w:shd w:fill="CCEEFF" w:val="clear"/>
            <w:vAlign w:val="center"/>
          </w:tcPr>
          <w:p>
            <w:pPr>
              <w:pStyle w:val="TableContents"/>
              <w:bidi w:val="0"/>
              <w:spacing w:before="0" w:after="0"/>
              <w:ind w:left="0" w:right="0" w:hanging="0"/>
              <w:jc w:val="left"/>
              <w:rPr/>
            </w:pPr>
            <w:r>
              <w:rPr/>
              <w:t xml:space="preserve">  </w:t>
            </w:r>
          </w:p>
        </w:tc>
        <w:tc>
          <w:tcPr>
            <w:tcW w:w="100" w:type="dxa"/>
            <w:tcBorders/>
            <w:shd w:fill="CCEEFF" w:val="clear"/>
            <w:vAlign w:val="center"/>
          </w:tcPr>
          <w:p>
            <w:pPr>
              <w:pStyle w:val="TableContents"/>
              <w:bidi w:val="0"/>
              <w:spacing w:before="0" w:after="0"/>
              <w:ind w:left="0" w:right="0" w:hanging="0"/>
              <w:jc w:val="left"/>
              <w:rPr/>
            </w:pPr>
            <w:r>
              <w:rPr/>
              <w:t xml:space="preserve">  </w:t>
            </w:r>
          </w:p>
        </w:tc>
        <w:tc>
          <w:tcPr>
            <w:tcW w:w="220" w:type="dxa"/>
            <w:tcBorders/>
            <w:shd w:fill="CCEEFF" w:val="clear"/>
            <w:vAlign w:val="center"/>
          </w:tcPr>
          <w:p>
            <w:pPr>
              <w:pStyle w:val="TableContents"/>
              <w:bidi w:val="0"/>
              <w:spacing w:before="0" w:after="0"/>
              <w:ind w:left="0" w:right="0" w:hanging="0"/>
              <w:jc w:val="left"/>
              <w:rPr/>
            </w:pPr>
            <w:r>
              <w:rPr/>
              <w:t xml:space="preserve">  </w:t>
            </w:r>
          </w:p>
        </w:tc>
        <w:tc>
          <w:tcPr>
            <w:tcW w:w="1023" w:type="dxa"/>
            <w:tcBorders/>
            <w:shd w:fill="CCEEFF" w:val="clear"/>
            <w:vAlign w:val="bottom"/>
          </w:tcPr>
          <w:p>
            <w:pPr>
              <w:pStyle w:val="TableContents"/>
              <w:pBdr/>
              <w:bidi w:val="0"/>
              <w:spacing w:before="0" w:after="0"/>
              <w:ind w:left="0" w:right="0" w:hanging="0"/>
              <w:jc w:val="right"/>
              <w:rPr/>
            </w:pPr>
            <w:r>
              <w:rPr/>
              <w:t xml:space="preserve">  </w:t>
            </w:r>
          </w:p>
        </w:tc>
        <w:tc>
          <w:tcPr>
            <w:tcW w:w="153" w:type="dxa"/>
            <w:tcBorders/>
            <w:shd w:fill="CCEEFF" w:val="clear"/>
            <w:vAlign w:val="bottom"/>
          </w:tcPr>
          <w:p>
            <w:pPr>
              <w:pStyle w:val="TableContents"/>
              <w:pBdr/>
              <w:bidi w:val="0"/>
              <w:spacing w:before="0" w:after="0"/>
              <w:ind w:left="0" w:right="0" w:hanging="0"/>
              <w:jc w:val="left"/>
              <w:rPr/>
            </w:pPr>
            <w:r>
              <w:rPr/>
              <w:t xml:space="preserve">  </w:t>
            </w:r>
          </w:p>
        </w:tc>
        <w:tc>
          <w:tcPr>
            <w:tcW w:w="142" w:type="dxa"/>
            <w:tcBorders/>
            <w:shd w:fill="CCEEFF" w:val="clear"/>
            <w:vAlign w:val="bottom"/>
          </w:tcPr>
          <w:p>
            <w:pPr>
              <w:pStyle w:val="TableContents"/>
              <w:pBdr/>
              <w:bidi w:val="0"/>
              <w:spacing w:before="0" w:after="0"/>
              <w:ind w:left="0" w:right="0" w:hanging="0"/>
              <w:jc w:val="left"/>
              <w:rPr/>
            </w:pPr>
            <w:r>
              <w:rPr/>
              <w:t xml:space="preserve">  </w:t>
            </w:r>
          </w:p>
        </w:tc>
        <w:tc>
          <w:tcPr>
            <w:tcW w:w="220" w:type="dxa"/>
            <w:tcBorders/>
            <w:shd w:fill="CCEEFF" w:val="clear"/>
            <w:vAlign w:val="bottom"/>
          </w:tcPr>
          <w:p>
            <w:pPr>
              <w:pStyle w:val="TableContents"/>
              <w:pBdr/>
              <w:bidi w:val="0"/>
              <w:spacing w:before="0" w:after="0"/>
              <w:ind w:left="0" w:right="0" w:hanging="0"/>
              <w:jc w:val="left"/>
              <w:rPr/>
            </w:pPr>
            <w:r>
              <w:rPr/>
              <w:t xml:space="preserve">  </w:t>
            </w:r>
          </w:p>
        </w:tc>
        <w:tc>
          <w:tcPr>
            <w:tcW w:w="860" w:type="dxa"/>
            <w:tcBorders/>
            <w:shd w:fill="CCEEFF" w:val="clear"/>
            <w:vAlign w:val="bottom"/>
          </w:tcPr>
          <w:p>
            <w:pPr>
              <w:pStyle w:val="TableContents"/>
              <w:pBdr/>
              <w:bidi w:val="0"/>
              <w:spacing w:before="0" w:after="0"/>
              <w:ind w:left="0" w:right="0" w:hanging="0"/>
              <w:jc w:val="right"/>
              <w:rPr/>
            </w:pPr>
            <w:r>
              <w:rPr/>
              <w:t xml:space="preserve">  </w:t>
            </w:r>
          </w:p>
        </w:tc>
        <w:tc>
          <w:tcPr>
            <w:tcW w:w="115" w:type="dxa"/>
            <w:tcBorders/>
            <w:shd w:fill="CCEEFF" w:val="clear"/>
            <w:vAlign w:val="bottom"/>
          </w:tcPr>
          <w:p>
            <w:pPr>
              <w:pStyle w:val="TableContents"/>
              <w:pBdr/>
              <w:bidi w:val="0"/>
              <w:spacing w:before="0" w:after="0"/>
              <w:ind w:left="0" w:right="0" w:hanging="0"/>
              <w:jc w:val="left"/>
              <w:rPr/>
            </w:pPr>
            <w:r>
              <w:rPr/>
              <w:t xml:space="preserve">  </w:t>
            </w:r>
          </w:p>
        </w:tc>
        <w:tc>
          <w:tcPr>
            <w:tcW w:w="23" w:type="dxa"/>
            <w:tcBorders/>
            <w:shd w:fill="CCEEFF" w:val="clear"/>
            <w:vAlign w:val="center"/>
          </w:tcPr>
          <w:p>
            <w:pPr>
              <w:pStyle w:val="TableContents"/>
              <w:bidi w:val="0"/>
              <w:spacing w:before="0" w:after="283"/>
              <w:ind w:left="0" w:right="0" w:hanging="0"/>
              <w:jc w:val="left"/>
              <w:rPr/>
            </w:pPr>
            <w:r>
              <w:rPr/>
            </w:r>
          </w:p>
        </w:tc>
        <w:tc>
          <w:tcPr>
            <w:tcW w:w="216" w:type="dxa"/>
            <w:tcBorders/>
            <w:shd w:fill="CCEEFF" w:val="clear"/>
            <w:vAlign w:val="center"/>
          </w:tcPr>
          <w:p>
            <w:pPr>
              <w:pStyle w:val="TableContents"/>
              <w:bidi w:val="0"/>
              <w:spacing w:before="0" w:after="283"/>
              <w:ind w:left="0" w:right="0" w:hanging="0"/>
              <w:jc w:val="left"/>
              <w:rPr/>
            </w:pPr>
            <w:r>
              <w:rPr/>
            </w:r>
          </w:p>
        </w:tc>
        <w:tc>
          <w:tcPr>
            <w:tcW w:w="1174" w:type="dxa"/>
            <w:tcBorders/>
            <w:shd w:fill="CCEEFF" w:val="clear"/>
            <w:vAlign w:val="center"/>
          </w:tcPr>
          <w:p>
            <w:pPr>
              <w:pStyle w:val="TableContents"/>
              <w:bidi w:val="0"/>
              <w:spacing w:before="0" w:after="283"/>
              <w:ind w:left="0" w:right="0" w:hanging="0"/>
              <w:jc w:val="left"/>
              <w:rPr/>
            </w:pPr>
            <w:r>
              <w:rPr/>
            </w:r>
          </w:p>
        </w:tc>
        <w:tc>
          <w:tcPr>
            <w:tcW w:w="147" w:type="dxa"/>
            <w:tcBorders/>
            <w:shd w:fill="CCEEFF" w:val="clear"/>
            <w:vAlign w:val="center"/>
          </w:tcPr>
          <w:p>
            <w:pPr>
              <w:pStyle w:val="TableContents"/>
              <w:bidi w:val="0"/>
              <w:spacing w:before="0" w:after="283"/>
              <w:ind w:left="0" w:right="0" w:hanging="0"/>
              <w:jc w:val="left"/>
              <w:rPr/>
            </w:pPr>
            <w:r>
              <w:rPr/>
            </w:r>
          </w:p>
        </w:tc>
        <w:tc>
          <w:tcPr>
            <w:tcW w:w="35" w:type="dxa"/>
            <w:tcBorders/>
            <w:shd w:fill="CCEEFF" w:val="clear"/>
            <w:vAlign w:val="center"/>
          </w:tcPr>
          <w:p>
            <w:pPr>
              <w:pStyle w:val="TableContents"/>
              <w:bidi w:val="0"/>
              <w:spacing w:before="0" w:after="283"/>
              <w:ind w:left="0" w:right="0" w:hanging="0"/>
              <w:jc w:val="left"/>
              <w:rPr/>
            </w:pPr>
            <w:r>
              <w:rPr/>
            </w:r>
          </w:p>
        </w:tc>
        <w:tc>
          <w:tcPr>
            <w:tcW w:w="217" w:type="dxa"/>
            <w:tcBorders/>
            <w:shd w:fill="CCEEFF" w:val="clear"/>
            <w:vAlign w:val="center"/>
          </w:tcPr>
          <w:p>
            <w:pPr>
              <w:pStyle w:val="TableContents"/>
              <w:bidi w:val="0"/>
              <w:spacing w:before="0" w:after="283"/>
              <w:ind w:left="0" w:right="0" w:hanging="0"/>
              <w:jc w:val="left"/>
              <w:rPr/>
            </w:pPr>
            <w:r>
              <w:rPr/>
            </w:r>
          </w:p>
        </w:tc>
        <w:tc>
          <w:tcPr>
            <w:tcW w:w="1174" w:type="dxa"/>
            <w:tcBorders/>
            <w:shd w:fill="CCEEFF" w:val="clear"/>
            <w:vAlign w:val="center"/>
          </w:tcPr>
          <w:p>
            <w:pPr>
              <w:pStyle w:val="TableContents"/>
              <w:bidi w:val="0"/>
              <w:spacing w:before="0" w:after="283"/>
              <w:ind w:left="0" w:right="0" w:hanging="0"/>
              <w:jc w:val="left"/>
              <w:rPr/>
            </w:pPr>
            <w:r>
              <w:rPr/>
            </w:r>
          </w:p>
        </w:tc>
        <w:tc>
          <w:tcPr>
            <w:tcW w:w="119" w:type="dxa"/>
            <w:tcBorders/>
            <w:shd w:fill="CCEEFF" w:val="clear"/>
            <w:vAlign w:val="center"/>
          </w:tcPr>
          <w:p>
            <w:pPr>
              <w:pStyle w:val="TableContents"/>
              <w:bidi w:val="0"/>
              <w:spacing w:before="0" w:after="283"/>
              <w:jc w:val="left"/>
              <w:rPr/>
            </w:pPr>
            <w:r>
              <w:rPr/>
            </w:r>
          </w:p>
        </w:tc>
      </w:tr>
      <w:tr>
        <w:trPr/>
        <w:tc>
          <w:tcPr>
            <w:tcW w:w="4267"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 xml:space="preserve">Accumulated other comprehensive loss </w:t>
            </w:r>
          </w:p>
        </w:tc>
        <w:tc>
          <w:tcPr>
            <w:tcW w:w="100" w:type="dxa"/>
            <w:tcBorders/>
            <w:vAlign w:val="center"/>
          </w:tcPr>
          <w:p>
            <w:pPr>
              <w:pStyle w:val="TableContents"/>
              <w:bidi w:val="0"/>
              <w:spacing w:before="0" w:after="0"/>
              <w:ind w:left="0" w:right="0" w:hanging="0"/>
              <w:jc w:val="left"/>
              <w:rPr/>
            </w:pPr>
            <w:r>
              <w:rPr/>
              <w:t xml:space="preserve">  </w:t>
            </w:r>
          </w:p>
        </w:tc>
        <w:tc>
          <w:tcPr>
            <w:tcW w:w="220" w:type="dxa"/>
            <w:tcBorders/>
            <w:vAlign w:val="center"/>
          </w:tcPr>
          <w:p>
            <w:pPr>
              <w:pStyle w:val="TableContents"/>
              <w:bidi w:val="0"/>
              <w:spacing w:before="0" w:after="0"/>
              <w:ind w:left="0" w:right="0" w:hanging="0"/>
              <w:jc w:val="left"/>
              <w:rPr/>
            </w:pPr>
            <w:r>
              <w:rPr/>
              <w:t xml:space="preserve">  </w:t>
            </w:r>
          </w:p>
        </w:tc>
        <w:tc>
          <w:tcPr>
            <w:tcW w:w="1023" w:type="dxa"/>
            <w:tcBorders/>
            <w:vAlign w:val="bottom"/>
          </w:tcPr>
          <w:p>
            <w:pPr>
              <w:pStyle w:val="TableContents"/>
              <w:pBdr/>
              <w:bidi w:val="0"/>
              <w:spacing w:before="0" w:after="0"/>
              <w:ind w:left="0" w:right="0" w:hanging="0"/>
              <w:jc w:val="right"/>
              <w:rPr/>
            </w:pPr>
            <w:r>
              <w:rPr/>
              <w:t xml:space="preserve">  </w:t>
            </w:r>
          </w:p>
        </w:tc>
        <w:tc>
          <w:tcPr>
            <w:tcW w:w="153" w:type="dxa"/>
            <w:tcBorders/>
            <w:vAlign w:val="bottom"/>
          </w:tcPr>
          <w:p>
            <w:pPr>
              <w:pStyle w:val="TableContents"/>
              <w:pBdr/>
              <w:bidi w:val="0"/>
              <w:spacing w:before="0" w:after="0"/>
              <w:ind w:left="0" w:right="0" w:hanging="0"/>
              <w:jc w:val="left"/>
              <w:rPr/>
            </w:pPr>
            <w:r>
              <w:rPr/>
              <w:t xml:space="preserve">  </w:t>
            </w:r>
          </w:p>
        </w:tc>
        <w:tc>
          <w:tcPr>
            <w:tcW w:w="142" w:type="dxa"/>
            <w:tcBorders/>
            <w:vAlign w:val="bottom"/>
          </w:tcPr>
          <w:p>
            <w:pPr>
              <w:pStyle w:val="TableContents"/>
              <w:pBdr/>
              <w:bidi w:val="0"/>
              <w:spacing w:before="0" w:after="0"/>
              <w:ind w:left="0" w:right="0" w:hanging="0"/>
              <w:jc w:val="left"/>
              <w:rPr/>
            </w:pPr>
            <w:r>
              <w:rPr/>
              <w:t xml:space="preserve">  </w:t>
            </w:r>
          </w:p>
        </w:tc>
        <w:tc>
          <w:tcPr>
            <w:tcW w:w="220" w:type="dxa"/>
            <w:tcBorders/>
            <w:vAlign w:val="bottom"/>
          </w:tcPr>
          <w:p>
            <w:pPr>
              <w:pStyle w:val="TableContents"/>
              <w:pBdr/>
              <w:bidi w:val="0"/>
              <w:spacing w:before="0" w:after="0"/>
              <w:ind w:left="0" w:right="0" w:hanging="0"/>
              <w:jc w:val="left"/>
              <w:rPr/>
            </w:pPr>
            <w:r>
              <w:rPr/>
              <w:t xml:space="preserve">  </w:t>
            </w:r>
          </w:p>
        </w:tc>
        <w:tc>
          <w:tcPr>
            <w:tcW w:w="860" w:type="dxa"/>
            <w:tcBorders/>
            <w:vAlign w:val="bottom"/>
          </w:tcPr>
          <w:p>
            <w:pPr>
              <w:pStyle w:val="TableContents"/>
              <w:pBdr/>
              <w:bidi w:val="0"/>
              <w:spacing w:before="0" w:after="0"/>
              <w:ind w:left="0" w:right="0" w:hanging="0"/>
              <w:jc w:val="right"/>
              <w:rPr/>
            </w:pPr>
            <w:r>
              <w:rPr/>
              <w:t xml:space="preserve">  </w:t>
            </w:r>
          </w:p>
        </w:tc>
        <w:tc>
          <w:tcPr>
            <w:tcW w:w="115" w:type="dxa"/>
            <w:tcBorders/>
            <w:vAlign w:val="bottom"/>
          </w:tcPr>
          <w:p>
            <w:pPr>
              <w:pStyle w:val="TableContents"/>
              <w:pBdr/>
              <w:bidi w:val="0"/>
              <w:spacing w:before="0" w:after="0"/>
              <w:ind w:left="0" w:right="0" w:hanging="0"/>
              <w:jc w:val="left"/>
              <w:rPr/>
            </w:pPr>
            <w:r>
              <w:rPr/>
              <w:t xml:space="preserve">  </w:t>
            </w:r>
          </w:p>
        </w:tc>
        <w:tc>
          <w:tcPr>
            <w:tcW w:w="23" w:type="dxa"/>
            <w:tcBorders/>
            <w:vAlign w:val="center"/>
          </w:tcPr>
          <w:p>
            <w:pPr>
              <w:pStyle w:val="TableContents"/>
              <w:bidi w:val="0"/>
              <w:spacing w:before="0" w:after="283"/>
              <w:ind w:left="0" w:right="0" w:hanging="0"/>
              <w:jc w:val="left"/>
              <w:rPr/>
            </w:pPr>
            <w:r>
              <w:rPr/>
            </w:r>
          </w:p>
        </w:tc>
        <w:tc>
          <w:tcPr>
            <w:tcW w:w="216" w:type="dxa"/>
            <w:tcBorders/>
            <w:vAlign w:val="center"/>
          </w:tcPr>
          <w:p>
            <w:pPr>
              <w:pStyle w:val="TableContents"/>
              <w:bidi w:val="0"/>
              <w:spacing w:before="0" w:after="283"/>
              <w:ind w:left="0" w:right="0" w:hanging="0"/>
              <w:jc w:val="left"/>
              <w:rPr/>
            </w:pPr>
            <w:r>
              <w:rPr/>
            </w:r>
          </w:p>
        </w:tc>
        <w:tc>
          <w:tcPr>
            <w:tcW w:w="1174" w:type="dxa"/>
            <w:tcBorders/>
            <w:vAlign w:val="center"/>
          </w:tcPr>
          <w:p>
            <w:pPr>
              <w:pStyle w:val="TableContents"/>
              <w:bidi w:val="0"/>
              <w:spacing w:before="0" w:after="283"/>
              <w:ind w:left="0" w:right="0" w:hanging="0"/>
              <w:jc w:val="left"/>
              <w:rPr/>
            </w:pPr>
            <w:r>
              <w:rPr/>
            </w:r>
          </w:p>
        </w:tc>
        <w:tc>
          <w:tcPr>
            <w:tcW w:w="147" w:type="dxa"/>
            <w:tcBorders/>
            <w:vAlign w:val="center"/>
          </w:tcPr>
          <w:p>
            <w:pPr>
              <w:pStyle w:val="TableContents"/>
              <w:bidi w:val="0"/>
              <w:spacing w:before="0" w:after="283"/>
              <w:ind w:left="0" w:right="0" w:hanging="0"/>
              <w:jc w:val="left"/>
              <w:rPr/>
            </w:pPr>
            <w:r>
              <w:rPr/>
            </w:r>
          </w:p>
        </w:tc>
        <w:tc>
          <w:tcPr>
            <w:tcW w:w="35" w:type="dxa"/>
            <w:tcBorders/>
            <w:vAlign w:val="center"/>
          </w:tcPr>
          <w:p>
            <w:pPr>
              <w:pStyle w:val="TableContents"/>
              <w:bidi w:val="0"/>
              <w:spacing w:before="0" w:after="283"/>
              <w:ind w:left="0" w:right="0" w:hanging="0"/>
              <w:jc w:val="left"/>
              <w:rPr/>
            </w:pPr>
            <w:r>
              <w:rPr/>
            </w:r>
          </w:p>
        </w:tc>
        <w:tc>
          <w:tcPr>
            <w:tcW w:w="217" w:type="dxa"/>
            <w:tcBorders/>
            <w:vAlign w:val="center"/>
          </w:tcPr>
          <w:p>
            <w:pPr>
              <w:pStyle w:val="TableContents"/>
              <w:bidi w:val="0"/>
              <w:spacing w:before="0" w:after="283"/>
              <w:ind w:left="0" w:right="0" w:hanging="0"/>
              <w:jc w:val="left"/>
              <w:rPr/>
            </w:pPr>
            <w:r>
              <w:rPr/>
            </w:r>
          </w:p>
        </w:tc>
        <w:tc>
          <w:tcPr>
            <w:tcW w:w="1174" w:type="dxa"/>
            <w:tcBorders/>
            <w:vAlign w:val="center"/>
          </w:tcPr>
          <w:p>
            <w:pPr>
              <w:pStyle w:val="TableContents"/>
              <w:bidi w:val="0"/>
              <w:spacing w:before="0" w:after="283"/>
              <w:ind w:left="0" w:right="0" w:hanging="0"/>
              <w:jc w:val="left"/>
              <w:rPr/>
            </w:pPr>
            <w:r>
              <w:rPr/>
            </w:r>
          </w:p>
        </w:tc>
        <w:tc>
          <w:tcPr>
            <w:tcW w:w="119" w:type="dxa"/>
            <w:tcBorders/>
            <w:vAlign w:val="center"/>
          </w:tcPr>
          <w:p>
            <w:pPr>
              <w:pStyle w:val="TableContents"/>
              <w:bidi w:val="0"/>
              <w:spacing w:before="0" w:after="283"/>
              <w:jc w:val="left"/>
              <w:rPr/>
            </w:pPr>
            <w:r>
              <w:rPr/>
            </w:r>
          </w:p>
        </w:tc>
      </w:tr>
      <w:tr>
        <w:trPr/>
        <w:tc>
          <w:tcPr>
            <w:tcW w:w="426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Balance, beginning of period </w:t>
            </w:r>
          </w:p>
        </w:tc>
        <w:tc>
          <w:tcPr>
            <w:tcW w:w="100" w:type="dxa"/>
            <w:tcBorders/>
            <w:shd w:fill="CCEEFF" w:val="clear"/>
            <w:vAlign w:val="center"/>
          </w:tcPr>
          <w:p>
            <w:pPr>
              <w:pStyle w:val="TableContents"/>
              <w:bidi w:val="0"/>
              <w:spacing w:before="0" w:after="0"/>
              <w:ind w:left="0" w:right="0" w:hanging="0"/>
              <w:jc w:val="left"/>
              <w:rPr/>
            </w:pPr>
            <w:r>
              <w:rPr/>
              <w:t xml:space="preserve">  </w:t>
            </w:r>
          </w:p>
        </w:tc>
        <w:tc>
          <w:tcPr>
            <w:tcW w:w="22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023"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(329</w:t>
            </w:r>
          </w:p>
        </w:tc>
        <w:tc>
          <w:tcPr>
            <w:tcW w:w="153" w:type="dxa"/>
            <w:tcBorders/>
            <w:shd w:fill="CCEEFF" w:val="clear"/>
            <w:vAlign w:val="bottom"/>
          </w:tcPr>
          <w:p>
            <w:pPr>
              <w:pStyle w:val="TableContents"/>
              <w:bidi w:val="0"/>
              <w:spacing w:before="0" w:after="0"/>
              <w:ind w:left="0" w:right="0" w:hanging="0"/>
              <w:jc w:val="left"/>
              <w:rPr/>
            </w:pPr>
            <w:r>
              <w:rPr/>
              <w:t>)</w:t>
            </w:r>
          </w:p>
        </w:tc>
        <w:tc>
          <w:tcPr>
            <w:tcW w:w="142" w:type="dxa"/>
            <w:tcBorders/>
            <w:shd w:fill="CCEEFF" w:val="clear"/>
            <w:vAlign w:val="bottom"/>
          </w:tcPr>
          <w:p>
            <w:pPr>
              <w:pStyle w:val="TableContents"/>
              <w:pBdr/>
              <w:bidi w:val="0"/>
              <w:spacing w:before="0" w:after="0"/>
              <w:ind w:left="0" w:right="0" w:hanging="0"/>
              <w:jc w:val="left"/>
              <w:rPr/>
            </w:pPr>
            <w:r>
              <w:rPr/>
              <w:t xml:space="preserve">  </w:t>
            </w:r>
          </w:p>
        </w:tc>
        <w:tc>
          <w:tcPr>
            <w:tcW w:w="220"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860"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(294</w:t>
            </w:r>
          </w:p>
        </w:tc>
        <w:tc>
          <w:tcPr>
            <w:tcW w:w="115" w:type="dxa"/>
            <w:tcBorders/>
            <w:shd w:fill="CCEEFF" w:val="clear"/>
            <w:vAlign w:val="bottom"/>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283"/>
              <w:ind w:left="0" w:right="0" w:hanging="0"/>
              <w:jc w:val="left"/>
              <w:rPr/>
            </w:pPr>
            <w:r>
              <w:rPr/>
            </w:r>
          </w:p>
        </w:tc>
        <w:tc>
          <w:tcPr>
            <w:tcW w:w="216" w:type="dxa"/>
            <w:tcBorders/>
            <w:shd w:fill="CCEEFF" w:val="clear"/>
            <w:vAlign w:val="center"/>
          </w:tcPr>
          <w:p>
            <w:pPr>
              <w:pStyle w:val="TableContents"/>
              <w:widowControl/>
              <w:bidi w:val="0"/>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174" w:type="dxa"/>
            <w:tcBorders/>
            <w:shd w:fill="CCEEFF" w:val="clear"/>
            <w:vAlign w:val="center"/>
          </w:tcPr>
          <w:p>
            <w:pPr>
              <w:pStyle w:val="TableContents"/>
              <w:bidi w:val="0"/>
              <w:spacing w:before="0" w:after="0"/>
              <w:ind w:left="0" w:right="0" w:hanging="0"/>
              <w:jc w:val="right"/>
              <w:rPr/>
            </w:pPr>
            <w:r>
              <w:rPr/>
              <w:t>(306</w:t>
            </w:r>
          </w:p>
        </w:tc>
        <w:tc>
          <w:tcPr>
            <w:tcW w:w="147" w:type="dxa"/>
            <w:tcBorders/>
            <w:shd w:fill="CCEEFF" w:val="clear"/>
            <w:vAlign w:val="center"/>
          </w:tcPr>
          <w:p>
            <w:pPr>
              <w:pStyle w:val="TableContents"/>
              <w:bidi w:val="0"/>
              <w:spacing w:before="0" w:after="0"/>
              <w:ind w:left="0" w:right="0" w:hanging="0"/>
              <w:jc w:val="left"/>
              <w:rPr/>
            </w:pPr>
            <w:r>
              <w:rPr/>
              <w:t>)</w:t>
            </w:r>
          </w:p>
        </w:tc>
        <w:tc>
          <w:tcPr>
            <w:tcW w:w="35" w:type="dxa"/>
            <w:tcBorders/>
            <w:shd w:fill="CCEEFF" w:val="clear"/>
            <w:vAlign w:val="center"/>
          </w:tcPr>
          <w:p>
            <w:pPr>
              <w:pStyle w:val="TableContents"/>
              <w:bidi w:val="0"/>
              <w:spacing w:before="0" w:after="283"/>
              <w:ind w:left="0" w:right="0" w:hanging="0"/>
              <w:jc w:val="left"/>
              <w:rPr/>
            </w:pPr>
            <w:r>
              <w:rPr/>
            </w:r>
          </w:p>
        </w:tc>
        <w:tc>
          <w:tcPr>
            <w:tcW w:w="217" w:type="dxa"/>
            <w:tcBorders/>
            <w:shd w:fill="CCEEFF" w:val="clear"/>
            <w:vAlign w:val="center"/>
          </w:tcPr>
          <w:p>
            <w:pPr>
              <w:pStyle w:val="TableContents"/>
              <w:widowControl/>
              <w:bidi w:val="0"/>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174" w:type="dxa"/>
            <w:tcBorders/>
            <w:shd w:fill="CCEEFF" w:val="clear"/>
            <w:vAlign w:val="center"/>
          </w:tcPr>
          <w:p>
            <w:pPr>
              <w:pStyle w:val="TableContents"/>
              <w:bidi w:val="0"/>
              <w:spacing w:before="0" w:after="0"/>
              <w:ind w:left="0" w:right="0" w:hanging="0"/>
              <w:jc w:val="right"/>
              <w:rPr/>
            </w:pPr>
            <w:r>
              <w:rPr/>
              <w:t>(310</w:t>
            </w:r>
          </w:p>
        </w:tc>
        <w:tc>
          <w:tcPr>
            <w:tcW w:w="119" w:type="dxa"/>
            <w:tcBorders/>
            <w:shd w:fill="CCEEFF" w:val="clear"/>
            <w:vAlign w:val="center"/>
          </w:tcPr>
          <w:p>
            <w:pPr>
              <w:pStyle w:val="TableContents"/>
              <w:bidi w:val="0"/>
              <w:spacing w:before="0" w:after="0"/>
              <w:jc w:val="left"/>
              <w:rPr/>
            </w:pPr>
            <w:r>
              <w:rPr/>
              <w:t>)</w:t>
            </w:r>
          </w:p>
        </w:tc>
      </w:tr>
      <w:tr>
        <w:trPr/>
        <w:tc>
          <w:tcPr>
            <w:tcW w:w="426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Unrealized loss on available-for-sale securities, net of tax</w:t>
            </w:r>
          </w:p>
        </w:tc>
        <w:tc>
          <w:tcPr>
            <w:tcW w:w="100" w:type="dxa"/>
            <w:tcBorders/>
            <w:vAlign w:val="center"/>
          </w:tcPr>
          <w:p>
            <w:pPr>
              <w:pStyle w:val="TableContents"/>
              <w:bidi w:val="0"/>
              <w:spacing w:before="0" w:after="0"/>
              <w:ind w:left="0" w:right="0" w:hanging="0"/>
              <w:jc w:val="left"/>
              <w:rPr/>
            </w:pPr>
            <w:r>
              <w:rPr/>
              <w:t xml:space="preserve">  </w:t>
            </w:r>
          </w:p>
        </w:tc>
        <w:tc>
          <w:tcPr>
            <w:tcW w:w="220" w:type="dxa"/>
            <w:tcBorders/>
            <w:vAlign w:val="center"/>
          </w:tcPr>
          <w:p>
            <w:pPr>
              <w:pStyle w:val="TableContents"/>
              <w:bidi w:val="0"/>
              <w:spacing w:before="0" w:after="0"/>
              <w:ind w:left="0" w:right="0" w:hanging="0"/>
              <w:jc w:val="left"/>
              <w:rPr/>
            </w:pPr>
            <w:r>
              <w:rPr/>
              <w:t xml:space="preserve">  </w:t>
            </w:r>
          </w:p>
        </w:tc>
        <w:tc>
          <w:tcPr>
            <w:tcW w:w="1023" w:type="dxa"/>
            <w:tcBorders/>
            <w:vAlign w:val="bottom"/>
          </w:tcPr>
          <w:p>
            <w:pPr>
              <w:pStyle w:val="TableContents"/>
              <w:pBdr/>
              <w:bidi w:val="0"/>
              <w:spacing w:before="0" w:after="0"/>
              <w:ind w:left="0" w:right="0" w:hanging="0"/>
              <w:jc w:val="right"/>
              <w:rPr/>
            </w:pPr>
            <w:r>
              <w:rPr/>
              <w:t>—</w:t>
            </w:r>
          </w:p>
        </w:tc>
        <w:tc>
          <w:tcPr>
            <w:tcW w:w="153" w:type="dxa"/>
            <w:tcBorders/>
            <w:vAlign w:val="bottom"/>
          </w:tcPr>
          <w:p>
            <w:pPr>
              <w:pStyle w:val="TableContents"/>
              <w:bidi w:val="0"/>
              <w:spacing w:before="0" w:after="283"/>
              <w:ind w:left="0" w:right="0" w:hanging="0"/>
              <w:jc w:val="left"/>
              <w:rPr>
                <w:sz w:val="4"/>
                <w:szCs w:val="4"/>
              </w:rPr>
            </w:pPr>
            <w:r>
              <w:rPr>
                <w:sz w:val="4"/>
                <w:szCs w:val="4"/>
              </w:rPr>
            </w:r>
          </w:p>
        </w:tc>
        <w:tc>
          <w:tcPr>
            <w:tcW w:w="142" w:type="dxa"/>
            <w:tcBorders/>
            <w:vAlign w:val="bottom"/>
          </w:tcPr>
          <w:p>
            <w:pPr>
              <w:pStyle w:val="TableContents"/>
              <w:pBdr/>
              <w:bidi w:val="0"/>
              <w:spacing w:before="0" w:after="0"/>
              <w:ind w:left="0" w:right="0" w:hanging="0"/>
              <w:jc w:val="left"/>
              <w:rPr/>
            </w:pPr>
            <w:r>
              <w:rPr/>
              <w:t xml:space="preserve">  </w:t>
            </w:r>
          </w:p>
        </w:tc>
        <w:tc>
          <w:tcPr>
            <w:tcW w:w="220" w:type="dxa"/>
            <w:tcBorders/>
            <w:vAlign w:val="bottom"/>
          </w:tcPr>
          <w:p>
            <w:pPr>
              <w:pStyle w:val="TableContents"/>
              <w:pBdr/>
              <w:bidi w:val="0"/>
              <w:spacing w:before="0" w:after="0"/>
              <w:ind w:left="0" w:right="0" w:hanging="0"/>
              <w:jc w:val="left"/>
              <w:rPr/>
            </w:pPr>
            <w:r>
              <w:rPr/>
              <w:t xml:space="preserve">  </w:t>
            </w:r>
          </w:p>
        </w:tc>
        <w:tc>
          <w:tcPr>
            <w:tcW w:w="860"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w:t>
            </w:r>
          </w:p>
        </w:tc>
        <w:tc>
          <w:tcPr>
            <w:tcW w:w="115" w:type="dxa"/>
            <w:tcBorders/>
            <w:vAlign w:val="bottom"/>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283"/>
              <w:ind w:left="0" w:right="0" w:hanging="0"/>
              <w:jc w:val="left"/>
              <w:rPr/>
            </w:pPr>
            <w:r>
              <w:rPr/>
            </w:r>
          </w:p>
        </w:tc>
        <w:tc>
          <w:tcPr>
            <w:tcW w:w="216" w:type="dxa"/>
            <w:tcBorders/>
            <w:vAlign w:val="center"/>
          </w:tcPr>
          <w:p>
            <w:pPr>
              <w:pStyle w:val="TableContents"/>
              <w:bidi w:val="0"/>
              <w:spacing w:before="0" w:after="283"/>
              <w:ind w:left="0" w:right="0" w:hanging="0"/>
              <w:jc w:val="left"/>
              <w:rPr/>
            </w:pPr>
            <w:r>
              <w:rPr/>
            </w:r>
          </w:p>
        </w:tc>
        <w:tc>
          <w:tcPr>
            <w:tcW w:w="1174" w:type="dxa"/>
            <w:tcBorders/>
            <w:vAlign w:val="center"/>
          </w:tcPr>
          <w:p>
            <w:pPr>
              <w:pStyle w:val="TableContents"/>
              <w:bidi w:val="0"/>
              <w:spacing w:before="0" w:after="0"/>
              <w:ind w:left="0" w:right="0" w:hanging="0"/>
              <w:jc w:val="right"/>
              <w:rPr/>
            </w:pPr>
            <w:r>
              <w:rPr/>
              <w:t>—</w:t>
            </w:r>
          </w:p>
        </w:tc>
        <w:tc>
          <w:tcPr>
            <w:tcW w:w="147" w:type="dxa"/>
            <w:tcBorders/>
            <w:vAlign w:val="center"/>
          </w:tcPr>
          <w:p>
            <w:pPr>
              <w:pStyle w:val="TableContents"/>
              <w:bidi w:val="0"/>
              <w:spacing w:before="0" w:after="283"/>
              <w:ind w:left="0" w:right="0" w:hanging="0"/>
              <w:jc w:val="left"/>
              <w:rPr>
                <w:sz w:val="4"/>
                <w:szCs w:val="4"/>
              </w:rPr>
            </w:pPr>
            <w:r>
              <w:rPr>
                <w:sz w:val="4"/>
                <w:szCs w:val="4"/>
              </w:rPr>
            </w:r>
          </w:p>
        </w:tc>
        <w:tc>
          <w:tcPr>
            <w:tcW w:w="35" w:type="dxa"/>
            <w:tcBorders/>
            <w:vAlign w:val="center"/>
          </w:tcPr>
          <w:p>
            <w:pPr>
              <w:pStyle w:val="TableContents"/>
              <w:bidi w:val="0"/>
              <w:spacing w:before="0" w:after="283"/>
              <w:ind w:left="0" w:right="0" w:hanging="0"/>
              <w:jc w:val="left"/>
              <w:rPr/>
            </w:pPr>
            <w:r>
              <w:rPr/>
            </w:r>
          </w:p>
        </w:tc>
        <w:tc>
          <w:tcPr>
            <w:tcW w:w="217" w:type="dxa"/>
            <w:tcBorders/>
            <w:vAlign w:val="center"/>
          </w:tcPr>
          <w:p>
            <w:pPr>
              <w:pStyle w:val="TableContents"/>
              <w:bidi w:val="0"/>
              <w:spacing w:before="0" w:after="283"/>
              <w:ind w:left="0" w:right="0" w:hanging="0"/>
              <w:jc w:val="left"/>
              <w:rPr/>
            </w:pPr>
            <w:r>
              <w:rPr/>
            </w:r>
          </w:p>
        </w:tc>
        <w:tc>
          <w:tcPr>
            <w:tcW w:w="1174" w:type="dxa"/>
            <w:tcBorders/>
            <w:vAlign w:val="center"/>
          </w:tcPr>
          <w:p>
            <w:pPr>
              <w:pStyle w:val="TableContents"/>
              <w:bidi w:val="0"/>
              <w:spacing w:before="0" w:after="0"/>
              <w:ind w:left="0" w:right="0" w:hanging="0"/>
              <w:jc w:val="right"/>
              <w:rPr/>
            </w:pPr>
            <w:r>
              <w:rPr/>
              <w:t>18</w:t>
            </w:r>
          </w:p>
        </w:tc>
        <w:tc>
          <w:tcPr>
            <w:tcW w:w="119" w:type="dxa"/>
            <w:tcBorders/>
            <w:vAlign w:val="center"/>
          </w:tcPr>
          <w:p>
            <w:pPr>
              <w:pStyle w:val="TableContents"/>
              <w:bidi w:val="0"/>
              <w:spacing w:before="0" w:after="283"/>
              <w:jc w:val="left"/>
              <w:rPr/>
            </w:pPr>
            <w:r>
              <w:rPr/>
            </w:r>
          </w:p>
        </w:tc>
      </w:tr>
      <w:tr>
        <w:trPr/>
        <w:tc>
          <w:tcPr>
            <w:tcW w:w="4267"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Foreign currency translation adjustment </w:t>
            </w:r>
          </w:p>
        </w:tc>
        <w:tc>
          <w:tcPr>
            <w:tcW w:w="100" w:type="dxa"/>
            <w:tcBorders/>
            <w:shd w:fill="CCEEFF" w:val="clear"/>
            <w:vAlign w:val="bottom"/>
          </w:tcPr>
          <w:p>
            <w:pPr>
              <w:pStyle w:val="TableContents"/>
              <w:bidi w:val="0"/>
              <w:spacing w:before="0" w:after="0"/>
              <w:ind w:left="0" w:right="0" w:hanging="0"/>
              <w:jc w:val="left"/>
              <w:rPr/>
            </w:pPr>
            <w:r>
              <w:rPr/>
              <w:t xml:space="preserve">  </w:t>
            </w:r>
          </w:p>
        </w:tc>
        <w:tc>
          <w:tcPr>
            <w:tcW w:w="220" w:type="dxa"/>
            <w:tcBorders/>
            <w:shd w:fill="CCEEFF" w:val="clear"/>
            <w:vAlign w:val="bottom"/>
          </w:tcPr>
          <w:p>
            <w:pPr>
              <w:pStyle w:val="TableContents"/>
              <w:bidi w:val="0"/>
              <w:spacing w:before="0" w:after="0"/>
              <w:ind w:left="0" w:right="0" w:hanging="0"/>
              <w:jc w:val="left"/>
              <w:rPr/>
            </w:pPr>
            <w:r>
              <w:rPr/>
              <w:t xml:space="preserve">  </w:t>
            </w:r>
          </w:p>
        </w:tc>
        <w:tc>
          <w:tcPr>
            <w:tcW w:w="1023" w:type="dxa"/>
            <w:tcBorders/>
            <w:shd w:fill="CCEEFF" w:val="clear"/>
            <w:vAlign w:val="bottom"/>
          </w:tcPr>
          <w:p>
            <w:pPr>
              <w:pStyle w:val="TableContents"/>
              <w:pBdr/>
              <w:bidi w:val="0"/>
              <w:spacing w:before="0" w:after="0"/>
              <w:ind w:left="0" w:right="0" w:hanging="0"/>
              <w:jc w:val="right"/>
              <w:rPr>
                <w:rFonts w:ascii="Times New Roman" w:hAnsi="Times New Roman"/>
              </w:rPr>
            </w:pPr>
            <w:r>
              <w:rPr>
                <w:rFonts w:ascii="Times New Roman" w:hAnsi="Times New Roman"/>
              </w:rPr>
              <w:t>(6</w:t>
            </w:r>
          </w:p>
        </w:tc>
        <w:tc>
          <w:tcPr>
            <w:tcW w:w="153" w:type="dxa"/>
            <w:tcBorders/>
            <w:shd w:fill="CCEEFF" w:val="clear"/>
            <w:vAlign w:val="bottom"/>
          </w:tcPr>
          <w:p>
            <w:pPr>
              <w:pStyle w:val="TableContents"/>
              <w:bidi w:val="0"/>
              <w:spacing w:before="0" w:after="0"/>
              <w:ind w:left="0" w:right="0" w:hanging="0"/>
              <w:jc w:val="left"/>
              <w:rPr/>
            </w:pPr>
            <w:r>
              <w:rPr/>
              <w:t>)</w:t>
            </w:r>
          </w:p>
        </w:tc>
        <w:tc>
          <w:tcPr>
            <w:tcW w:w="142" w:type="dxa"/>
            <w:tcBorders/>
            <w:shd w:fill="CCEEFF" w:val="clear"/>
            <w:vAlign w:val="bottom"/>
          </w:tcPr>
          <w:p>
            <w:pPr>
              <w:pStyle w:val="TableContents"/>
              <w:pBdr/>
              <w:bidi w:val="0"/>
              <w:spacing w:before="0" w:after="0"/>
              <w:ind w:left="0" w:right="0" w:hanging="0"/>
              <w:jc w:val="left"/>
              <w:rPr/>
            </w:pPr>
            <w:r>
              <w:rPr/>
              <w:t xml:space="preserve">  </w:t>
            </w:r>
          </w:p>
        </w:tc>
        <w:tc>
          <w:tcPr>
            <w:tcW w:w="220" w:type="dxa"/>
            <w:tcBorders/>
            <w:shd w:fill="CCEEFF" w:val="clear"/>
            <w:vAlign w:val="bottom"/>
          </w:tcPr>
          <w:p>
            <w:pPr>
              <w:pStyle w:val="TableContents"/>
              <w:pBdr/>
              <w:bidi w:val="0"/>
              <w:spacing w:before="0" w:after="0"/>
              <w:ind w:left="0" w:right="0" w:hanging="0"/>
              <w:jc w:val="left"/>
              <w:rPr/>
            </w:pPr>
            <w:r>
              <w:rPr/>
              <w:t xml:space="preserve">  </w:t>
            </w:r>
          </w:p>
        </w:tc>
        <w:tc>
          <w:tcPr>
            <w:tcW w:w="860"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(12</w:t>
            </w:r>
          </w:p>
        </w:tc>
        <w:tc>
          <w:tcPr>
            <w:tcW w:w="115" w:type="dxa"/>
            <w:tcBorders/>
            <w:shd w:fill="CCEEFF" w:val="clear"/>
            <w:vAlign w:val="bottom"/>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283"/>
              <w:ind w:left="0" w:right="0" w:hanging="0"/>
              <w:jc w:val="left"/>
              <w:rPr/>
            </w:pPr>
            <w:r>
              <w:rPr/>
            </w:r>
          </w:p>
        </w:tc>
        <w:tc>
          <w:tcPr>
            <w:tcW w:w="216" w:type="dxa"/>
            <w:tcBorders/>
            <w:shd w:fill="CCEEFF" w:val="clear"/>
            <w:vAlign w:val="center"/>
          </w:tcPr>
          <w:p>
            <w:pPr>
              <w:pStyle w:val="TableContents"/>
              <w:bidi w:val="0"/>
              <w:spacing w:before="0" w:after="283"/>
              <w:ind w:left="0" w:right="0" w:hanging="0"/>
              <w:jc w:val="left"/>
              <w:rPr/>
            </w:pPr>
            <w:r>
              <w:rPr/>
            </w:r>
          </w:p>
        </w:tc>
        <w:tc>
          <w:tcPr>
            <w:tcW w:w="1174" w:type="dxa"/>
            <w:tcBorders/>
            <w:shd w:fill="CCEEFF" w:val="clear"/>
            <w:vAlign w:val="center"/>
          </w:tcPr>
          <w:p>
            <w:pPr>
              <w:pStyle w:val="TableContents"/>
              <w:bidi w:val="0"/>
              <w:spacing w:before="0" w:after="0"/>
              <w:ind w:left="0" w:right="0" w:hanging="0"/>
              <w:jc w:val="right"/>
              <w:rPr/>
            </w:pPr>
            <w:r>
              <w:rPr/>
              <w:t>(29</w:t>
            </w:r>
          </w:p>
        </w:tc>
        <w:tc>
          <w:tcPr>
            <w:tcW w:w="147" w:type="dxa"/>
            <w:tcBorders/>
            <w:shd w:fill="CCEEFF" w:val="clear"/>
            <w:vAlign w:val="center"/>
          </w:tcPr>
          <w:p>
            <w:pPr>
              <w:pStyle w:val="TableContents"/>
              <w:bidi w:val="0"/>
              <w:spacing w:before="0" w:after="0"/>
              <w:ind w:left="0" w:right="0" w:hanging="0"/>
              <w:jc w:val="left"/>
              <w:rPr/>
            </w:pPr>
            <w:r>
              <w:rPr/>
              <w:t>)</w:t>
            </w:r>
          </w:p>
        </w:tc>
        <w:tc>
          <w:tcPr>
            <w:tcW w:w="35" w:type="dxa"/>
            <w:tcBorders/>
            <w:shd w:fill="CCEEFF" w:val="clear"/>
            <w:vAlign w:val="center"/>
          </w:tcPr>
          <w:p>
            <w:pPr>
              <w:pStyle w:val="TableContents"/>
              <w:bidi w:val="0"/>
              <w:spacing w:before="0" w:after="283"/>
              <w:ind w:left="0" w:right="0" w:hanging="0"/>
              <w:jc w:val="left"/>
              <w:rPr/>
            </w:pPr>
            <w:r>
              <w:rPr/>
            </w:r>
          </w:p>
        </w:tc>
        <w:tc>
          <w:tcPr>
            <w:tcW w:w="217" w:type="dxa"/>
            <w:tcBorders/>
            <w:shd w:fill="CCEEFF" w:val="clear"/>
            <w:vAlign w:val="center"/>
          </w:tcPr>
          <w:p>
            <w:pPr>
              <w:pStyle w:val="TableContents"/>
              <w:bidi w:val="0"/>
              <w:spacing w:before="0" w:after="283"/>
              <w:ind w:left="0" w:right="0" w:hanging="0"/>
              <w:jc w:val="left"/>
              <w:rPr/>
            </w:pPr>
            <w:r>
              <w:rPr/>
            </w:r>
          </w:p>
        </w:tc>
        <w:tc>
          <w:tcPr>
            <w:tcW w:w="1174" w:type="dxa"/>
            <w:tcBorders/>
            <w:shd w:fill="CCEEFF" w:val="clear"/>
            <w:vAlign w:val="center"/>
          </w:tcPr>
          <w:p>
            <w:pPr>
              <w:pStyle w:val="TableContents"/>
              <w:bidi w:val="0"/>
              <w:spacing w:before="0" w:after="0"/>
              <w:ind w:left="0" w:right="0" w:hanging="0"/>
              <w:jc w:val="right"/>
              <w:rPr/>
            </w:pPr>
            <w:r>
              <w:rPr/>
              <w:t>(15</w:t>
            </w:r>
          </w:p>
        </w:tc>
        <w:tc>
          <w:tcPr>
            <w:tcW w:w="119" w:type="dxa"/>
            <w:tcBorders/>
            <w:shd w:fill="CCEEFF" w:val="clear"/>
            <w:vAlign w:val="center"/>
          </w:tcPr>
          <w:p>
            <w:pPr>
              <w:pStyle w:val="TableContents"/>
              <w:bidi w:val="0"/>
              <w:spacing w:before="0" w:after="0"/>
              <w:jc w:val="left"/>
              <w:rPr/>
            </w:pPr>
            <w:r>
              <w:rPr/>
              <w:t>)</w:t>
            </w:r>
          </w:p>
        </w:tc>
      </w:tr>
      <w:tr>
        <w:trPr/>
        <w:tc>
          <w:tcPr>
            <w:tcW w:w="4267"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Balance, end of period </w:t>
            </w:r>
          </w:p>
        </w:tc>
        <w:tc>
          <w:tcPr>
            <w:tcW w:w="100" w:type="dxa"/>
            <w:tcBorders/>
            <w:vAlign w:val="bottom"/>
          </w:tcPr>
          <w:p>
            <w:pPr>
              <w:pStyle w:val="TableContents"/>
              <w:bidi w:val="0"/>
              <w:spacing w:before="0" w:after="0"/>
              <w:ind w:left="0" w:right="0" w:hanging="0"/>
              <w:jc w:val="left"/>
              <w:rPr/>
            </w:pPr>
            <w:r>
              <w:rPr/>
              <w:t xml:space="preserve">  </w:t>
            </w:r>
          </w:p>
        </w:tc>
        <w:tc>
          <w:tcPr>
            <w:tcW w:w="220"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023"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(335</w:t>
            </w:r>
          </w:p>
        </w:tc>
        <w:tc>
          <w:tcPr>
            <w:tcW w:w="153" w:type="dxa"/>
            <w:tcBorders/>
            <w:vAlign w:val="bottom"/>
          </w:tcPr>
          <w:p>
            <w:pPr>
              <w:pStyle w:val="TableContents"/>
              <w:bidi w:val="0"/>
              <w:spacing w:before="0" w:after="0"/>
              <w:ind w:left="0" w:right="0" w:hanging="0"/>
              <w:jc w:val="left"/>
              <w:rPr/>
            </w:pPr>
            <w:r>
              <w:rPr/>
              <w:t>)</w:t>
            </w:r>
          </w:p>
        </w:tc>
        <w:tc>
          <w:tcPr>
            <w:tcW w:w="142" w:type="dxa"/>
            <w:tcBorders/>
            <w:vAlign w:val="bottom"/>
          </w:tcPr>
          <w:p>
            <w:pPr>
              <w:pStyle w:val="TableContents"/>
              <w:pBdr/>
              <w:bidi w:val="0"/>
              <w:spacing w:before="0" w:after="0"/>
              <w:ind w:left="0" w:right="0" w:hanging="0"/>
              <w:jc w:val="left"/>
              <w:rPr/>
            </w:pPr>
            <w:r>
              <w:rPr/>
              <w:t xml:space="preserve">  </w:t>
            </w:r>
          </w:p>
        </w:tc>
        <w:tc>
          <w:tcPr>
            <w:tcW w:w="220" w:type="dxa"/>
            <w:tcBorders/>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860"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(307</w:t>
            </w:r>
          </w:p>
        </w:tc>
        <w:tc>
          <w:tcPr>
            <w:tcW w:w="115" w:type="dxa"/>
            <w:tcBorders/>
            <w:vAlign w:val="bottom"/>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283"/>
              <w:ind w:left="0" w:right="0" w:hanging="0"/>
              <w:jc w:val="left"/>
              <w:rPr/>
            </w:pPr>
            <w:r>
              <w:rPr/>
            </w:r>
          </w:p>
        </w:tc>
        <w:tc>
          <w:tcPr>
            <w:tcW w:w="216" w:type="dxa"/>
            <w:tcBorders/>
            <w:vAlign w:val="center"/>
          </w:tcPr>
          <w:p>
            <w:pPr>
              <w:pStyle w:val="TableContents"/>
              <w:widowControl/>
              <w:bidi w:val="0"/>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174"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(335</w:t>
            </w:r>
          </w:p>
        </w:tc>
        <w:tc>
          <w:tcPr>
            <w:tcW w:w="147" w:type="dxa"/>
            <w:tcBorders/>
            <w:vAlign w:val="center"/>
          </w:tcPr>
          <w:p>
            <w:pPr>
              <w:pStyle w:val="TableContents"/>
              <w:bidi w:val="0"/>
              <w:spacing w:before="0" w:after="0"/>
              <w:ind w:left="0" w:right="0" w:hanging="0"/>
              <w:jc w:val="left"/>
              <w:rPr/>
            </w:pPr>
            <w:r>
              <w:rPr/>
              <w:t>)</w:t>
            </w:r>
          </w:p>
        </w:tc>
        <w:tc>
          <w:tcPr>
            <w:tcW w:w="35" w:type="dxa"/>
            <w:tcBorders/>
            <w:vAlign w:val="center"/>
          </w:tcPr>
          <w:p>
            <w:pPr>
              <w:pStyle w:val="TableContents"/>
              <w:bidi w:val="0"/>
              <w:spacing w:before="0" w:after="283"/>
              <w:ind w:left="0" w:right="0" w:hanging="0"/>
              <w:jc w:val="left"/>
              <w:rPr/>
            </w:pPr>
            <w:r>
              <w:rPr/>
            </w:r>
          </w:p>
        </w:tc>
        <w:tc>
          <w:tcPr>
            <w:tcW w:w="217" w:type="dxa"/>
            <w:tcBorders/>
            <w:vAlign w:val="center"/>
          </w:tcPr>
          <w:p>
            <w:pPr>
              <w:pStyle w:val="TableContents"/>
              <w:widowControl/>
              <w:bidi w:val="0"/>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174"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(307</w:t>
            </w:r>
          </w:p>
        </w:tc>
        <w:tc>
          <w:tcPr>
            <w:tcW w:w="119" w:type="dxa"/>
            <w:tcBorders/>
            <w:vAlign w:val="center"/>
          </w:tcPr>
          <w:p>
            <w:pPr>
              <w:pStyle w:val="TableContents"/>
              <w:bidi w:val="0"/>
              <w:spacing w:before="0" w:after="0"/>
              <w:jc w:val="left"/>
              <w:rPr/>
            </w:pPr>
            <w:r>
              <w:rPr/>
              <w:t>)</w:t>
            </w:r>
          </w:p>
        </w:tc>
      </w:tr>
      <w:tr>
        <w:trPr/>
        <w:tc>
          <w:tcPr>
            <w:tcW w:w="4267" w:type="dxa"/>
            <w:tcBorders/>
            <w:shd w:fill="CCEEFF" w:val="clear"/>
            <w:vAlign w:val="center"/>
          </w:tcPr>
          <w:p>
            <w:pPr>
              <w:pStyle w:val="TableContents"/>
              <w:bidi w:val="0"/>
              <w:spacing w:before="0" w:after="0"/>
              <w:ind w:left="0" w:right="0" w:hanging="0"/>
              <w:jc w:val="left"/>
              <w:rPr/>
            </w:pPr>
            <w:r>
              <w:rPr/>
              <w:t xml:space="preserve">  </w:t>
            </w:r>
          </w:p>
        </w:tc>
        <w:tc>
          <w:tcPr>
            <w:tcW w:w="100" w:type="dxa"/>
            <w:tcBorders/>
            <w:shd w:fill="CCEEFF" w:val="clear"/>
            <w:vAlign w:val="center"/>
          </w:tcPr>
          <w:p>
            <w:pPr>
              <w:pStyle w:val="TableContents"/>
              <w:bidi w:val="0"/>
              <w:spacing w:before="0" w:after="0"/>
              <w:ind w:left="0" w:right="0" w:hanging="0"/>
              <w:jc w:val="left"/>
              <w:rPr/>
            </w:pPr>
            <w:r>
              <w:rPr/>
              <w:t xml:space="preserve">  </w:t>
            </w:r>
          </w:p>
        </w:tc>
        <w:tc>
          <w:tcPr>
            <w:tcW w:w="220" w:type="dxa"/>
            <w:tcBorders/>
            <w:shd w:fill="CCEEFF" w:val="clear"/>
            <w:vAlign w:val="center"/>
          </w:tcPr>
          <w:p>
            <w:pPr>
              <w:pStyle w:val="TableContents"/>
              <w:bidi w:val="0"/>
              <w:spacing w:before="0" w:after="0"/>
              <w:ind w:left="0" w:right="0" w:hanging="0"/>
              <w:jc w:val="left"/>
              <w:rPr/>
            </w:pPr>
            <w:r>
              <w:rPr/>
              <w:t xml:space="preserve">  </w:t>
            </w:r>
          </w:p>
        </w:tc>
        <w:tc>
          <w:tcPr>
            <w:tcW w:w="1023" w:type="dxa"/>
            <w:tcBorders/>
            <w:shd w:fill="CCEEFF" w:val="clear"/>
            <w:vAlign w:val="bottom"/>
          </w:tcPr>
          <w:p>
            <w:pPr>
              <w:pStyle w:val="TableContents"/>
              <w:pBdr/>
              <w:bidi w:val="0"/>
              <w:spacing w:before="0" w:after="0"/>
              <w:ind w:left="0" w:right="0" w:hanging="0"/>
              <w:jc w:val="right"/>
              <w:rPr/>
            </w:pPr>
            <w:r>
              <w:rPr/>
              <w:t xml:space="preserve">  </w:t>
            </w:r>
          </w:p>
        </w:tc>
        <w:tc>
          <w:tcPr>
            <w:tcW w:w="153" w:type="dxa"/>
            <w:tcBorders/>
            <w:shd w:fill="CCEEFF" w:val="clear"/>
            <w:vAlign w:val="bottom"/>
          </w:tcPr>
          <w:p>
            <w:pPr>
              <w:pStyle w:val="TableContents"/>
              <w:pBdr/>
              <w:bidi w:val="0"/>
              <w:spacing w:before="0" w:after="0"/>
              <w:ind w:left="0" w:right="0" w:hanging="0"/>
              <w:jc w:val="left"/>
              <w:rPr/>
            </w:pPr>
            <w:r>
              <w:rPr/>
              <w:t xml:space="preserve">  </w:t>
            </w:r>
          </w:p>
        </w:tc>
        <w:tc>
          <w:tcPr>
            <w:tcW w:w="142" w:type="dxa"/>
            <w:tcBorders/>
            <w:shd w:fill="CCEEFF" w:val="clear"/>
            <w:vAlign w:val="bottom"/>
          </w:tcPr>
          <w:p>
            <w:pPr>
              <w:pStyle w:val="TableContents"/>
              <w:pBdr/>
              <w:bidi w:val="0"/>
              <w:spacing w:before="0" w:after="0"/>
              <w:ind w:left="0" w:right="0" w:hanging="0"/>
              <w:jc w:val="left"/>
              <w:rPr/>
            </w:pPr>
            <w:r>
              <w:rPr/>
              <w:t xml:space="preserve">  </w:t>
            </w:r>
          </w:p>
        </w:tc>
        <w:tc>
          <w:tcPr>
            <w:tcW w:w="220" w:type="dxa"/>
            <w:tcBorders/>
            <w:shd w:fill="CCEEFF" w:val="clear"/>
            <w:vAlign w:val="bottom"/>
          </w:tcPr>
          <w:p>
            <w:pPr>
              <w:pStyle w:val="TableContents"/>
              <w:pBdr/>
              <w:bidi w:val="0"/>
              <w:spacing w:before="0" w:after="0"/>
              <w:ind w:left="0" w:right="0" w:hanging="0"/>
              <w:jc w:val="left"/>
              <w:rPr/>
            </w:pPr>
            <w:r>
              <w:rPr/>
              <w:t xml:space="preserve">  </w:t>
            </w:r>
          </w:p>
        </w:tc>
        <w:tc>
          <w:tcPr>
            <w:tcW w:w="860" w:type="dxa"/>
            <w:tcBorders/>
            <w:shd w:fill="CCEEFF" w:val="clear"/>
            <w:vAlign w:val="bottom"/>
          </w:tcPr>
          <w:p>
            <w:pPr>
              <w:pStyle w:val="TableContents"/>
              <w:pBdr/>
              <w:bidi w:val="0"/>
              <w:spacing w:before="0" w:after="0"/>
              <w:ind w:left="0" w:right="0" w:hanging="0"/>
              <w:jc w:val="right"/>
              <w:rPr/>
            </w:pPr>
            <w:r>
              <w:rPr/>
              <w:t xml:space="preserve">  </w:t>
            </w:r>
          </w:p>
        </w:tc>
        <w:tc>
          <w:tcPr>
            <w:tcW w:w="115" w:type="dxa"/>
            <w:tcBorders/>
            <w:shd w:fill="CCEEFF" w:val="clear"/>
            <w:vAlign w:val="bottom"/>
          </w:tcPr>
          <w:p>
            <w:pPr>
              <w:pStyle w:val="TableContents"/>
              <w:pBdr/>
              <w:bidi w:val="0"/>
              <w:spacing w:before="0" w:after="0"/>
              <w:ind w:left="0" w:right="0" w:hanging="0"/>
              <w:jc w:val="left"/>
              <w:rPr/>
            </w:pPr>
            <w:r>
              <w:rPr/>
              <w:t xml:space="preserve">  </w:t>
            </w:r>
          </w:p>
        </w:tc>
        <w:tc>
          <w:tcPr>
            <w:tcW w:w="23" w:type="dxa"/>
            <w:tcBorders/>
            <w:shd w:fill="CCEEFF" w:val="clear"/>
            <w:vAlign w:val="center"/>
          </w:tcPr>
          <w:p>
            <w:pPr>
              <w:pStyle w:val="TableContents"/>
              <w:bidi w:val="0"/>
              <w:spacing w:before="0" w:after="283"/>
              <w:ind w:left="0" w:right="0" w:hanging="0"/>
              <w:jc w:val="left"/>
              <w:rPr/>
            </w:pPr>
            <w:r>
              <w:rPr/>
            </w:r>
          </w:p>
        </w:tc>
        <w:tc>
          <w:tcPr>
            <w:tcW w:w="216" w:type="dxa"/>
            <w:tcBorders/>
            <w:shd w:fill="CCEEFF" w:val="clear"/>
            <w:vAlign w:val="center"/>
          </w:tcPr>
          <w:p>
            <w:pPr>
              <w:pStyle w:val="TableContents"/>
              <w:bidi w:val="0"/>
              <w:spacing w:before="0" w:after="283"/>
              <w:ind w:left="0" w:right="0" w:hanging="0"/>
              <w:jc w:val="left"/>
              <w:rPr/>
            </w:pPr>
            <w:r>
              <w:rPr/>
            </w:r>
          </w:p>
        </w:tc>
        <w:tc>
          <w:tcPr>
            <w:tcW w:w="1174" w:type="dxa"/>
            <w:tcBorders/>
            <w:shd w:fill="CCEEFF" w:val="clear"/>
            <w:vAlign w:val="center"/>
          </w:tcPr>
          <w:p>
            <w:pPr>
              <w:pStyle w:val="TableContents"/>
              <w:bidi w:val="0"/>
              <w:spacing w:before="0" w:after="283"/>
              <w:ind w:left="0" w:right="0" w:hanging="0"/>
              <w:jc w:val="left"/>
              <w:rPr/>
            </w:pPr>
            <w:r>
              <w:rPr/>
            </w:r>
          </w:p>
        </w:tc>
        <w:tc>
          <w:tcPr>
            <w:tcW w:w="147" w:type="dxa"/>
            <w:tcBorders/>
            <w:shd w:fill="CCEEFF" w:val="clear"/>
            <w:vAlign w:val="center"/>
          </w:tcPr>
          <w:p>
            <w:pPr>
              <w:pStyle w:val="TableContents"/>
              <w:bidi w:val="0"/>
              <w:spacing w:before="0" w:after="283"/>
              <w:ind w:left="0" w:right="0" w:hanging="0"/>
              <w:jc w:val="left"/>
              <w:rPr/>
            </w:pPr>
            <w:r>
              <w:rPr/>
            </w:r>
          </w:p>
        </w:tc>
        <w:tc>
          <w:tcPr>
            <w:tcW w:w="35" w:type="dxa"/>
            <w:tcBorders/>
            <w:shd w:fill="CCEEFF" w:val="clear"/>
            <w:vAlign w:val="center"/>
          </w:tcPr>
          <w:p>
            <w:pPr>
              <w:pStyle w:val="TableContents"/>
              <w:bidi w:val="0"/>
              <w:spacing w:before="0" w:after="283"/>
              <w:ind w:left="0" w:right="0" w:hanging="0"/>
              <w:jc w:val="left"/>
              <w:rPr/>
            </w:pPr>
            <w:r>
              <w:rPr/>
            </w:r>
          </w:p>
        </w:tc>
        <w:tc>
          <w:tcPr>
            <w:tcW w:w="217" w:type="dxa"/>
            <w:tcBorders/>
            <w:shd w:fill="CCEEFF" w:val="clear"/>
            <w:vAlign w:val="center"/>
          </w:tcPr>
          <w:p>
            <w:pPr>
              <w:pStyle w:val="TableContents"/>
              <w:bidi w:val="0"/>
              <w:spacing w:before="0" w:after="283"/>
              <w:ind w:left="0" w:right="0" w:hanging="0"/>
              <w:jc w:val="left"/>
              <w:rPr/>
            </w:pPr>
            <w:r>
              <w:rPr/>
            </w:r>
          </w:p>
        </w:tc>
        <w:tc>
          <w:tcPr>
            <w:tcW w:w="1174" w:type="dxa"/>
            <w:tcBorders/>
            <w:shd w:fill="CCEEFF" w:val="clear"/>
            <w:vAlign w:val="center"/>
          </w:tcPr>
          <w:p>
            <w:pPr>
              <w:pStyle w:val="TableContents"/>
              <w:bidi w:val="0"/>
              <w:spacing w:before="0" w:after="283"/>
              <w:ind w:left="0" w:right="0" w:hanging="0"/>
              <w:jc w:val="left"/>
              <w:rPr/>
            </w:pPr>
            <w:r>
              <w:rPr/>
            </w:r>
          </w:p>
        </w:tc>
        <w:tc>
          <w:tcPr>
            <w:tcW w:w="119" w:type="dxa"/>
            <w:tcBorders/>
            <w:shd w:fill="CCEEFF" w:val="clear"/>
            <w:vAlign w:val="center"/>
          </w:tcPr>
          <w:p>
            <w:pPr>
              <w:pStyle w:val="TableContents"/>
              <w:bidi w:val="0"/>
              <w:spacing w:before="0" w:after="283"/>
              <w:jc w:val="left"/>
              <w:rPr/>
            </w:pPr>
            <w:r>
              <w:rPr/>
            </w:r>
          </w:p>
        </w:tc>
      </w:tr>
      <w:tr>
        <w:trPr/>
        <w:tc>
          <w:tcPr>
            <w:tcW w:w="4267"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 xml:space="preserve">Accumulated deficit  </w:t>
            </w:r>
          </w:p>
        </w:tc>
        <w:tc>
          <w:tcPr>
            <w:tcW w:w="100" w:type="dxa"/>
            <w:tcBorders/>
            <w:vAlign w:val="center"/>
          </w:tcPr>
          <w:p>
            <w:pPr>
              <w:pStyle w:val="TableContents"/>
              <w:bidi w:val="0"/>
              <w:spacing w:before="0" w:after="0"/>
              <w:ind w:left="0" w:right="0" w:hanging="0"/>
              <w:jc w:val="left"/>
              <w:rPr/>
            </w:pPr>
            <w:r>
              <w:rPr/>
              <w:t xml:space="preserve">  </w:t>
            </w:r>
          </w:p>
        </w:tc>
        <w:tc>
          <w:tcPr>
            <w:tcW w:w="220" w:type="dxa"/>
            <w:tcBorders/>
            <w:vAlign w:val="center"/>
          </w:tcPr>
          <w:p>
            <w:pPr>
              <w:pStyle w:val="TableContents"/>
              <w:bidi w:val="0"/>
              <w:spacing w:before="0" w:after="0"/>
              <w:ind w:left="0" w:right="0" w:hanging="0"/>
              <w:jc w:val="left"/>
              <w:rPr/>
            </w:pPr>
            <w:r>
              <w:rPr/>
              <w:t xml:space="preserve">  </w:t>
            </w:r>
          </w:p>
        </w:tc>
        <w:tc>
          <w:tcPr>
            <w:tcW w:w="1023" w:type="dxa"/>
            <w:tcBorders/>
            <w:vAlign w:val="bottom"/>
          </w:tcPr>
          <w:p>
            <w:pPr>
              <w:pStyle w:val="TableContents"/>
              <w:pBdr/>
              <w:bidi w:val="0"/>
              <w:spacing w:before="0" w:after="0"/>
              <w:ind w:left="0" w:right="0" w:hanging="0"/>
              <w:jc w:val="right"/>
              <w:rPr/>
            </w:pPr>
            <w:r>
              <w:rPr/>
              <w:t xml:space="preserve">  </w:t>
            </w:r>
          </w:p>
        </w:tc>
        <w:tc>
          <w:tcPr>
            <w:tcW w:w="153" w:type="dxa"/>
            <w:tcBorders/>
            <w:vAlign w:val="bottom"/>
          </w:tcPr>
          <w:p>
            <w:pPr>
              <w:pStyle w:val="TableContents"/>
              <w:pBdr/>
              <w:bidi w:val="0"/>
              <w:spacing w:before="0" w:after="0"/>
              <w:ind w:left="0" w:right="0" w:hanging="0"/>
              <w:jc w:val="left"/>
              <w:rPr/>
            </w:pPr>
            <w:r>
              <w:rPr/>
              <w:t xml:space="preserve">  </w:t>
            </w:r>
          </w:p>
        </w:tc>
        <w:tc>
          <w:tcPr>
            <w:tcW w:w="142" w:type="dxa"/>
            <w:tcBorders/>
            <w:vAlign w:val="bottom"/>
          </w:tcPr>
          <w:p>
            <w:pPr>
              <w:pStyle w:val="TableContents"/>
              <w:pBdr/>
              <w:bidi w:val="0"/>
              <w:spacing w:before="0" w:after="0"/>
              <w:ind w:left="0" w:right="0" w:hanging="0"/>
              <w:jc w:val="left"/>
              <w:rPr/>
            </w:pPr>
            <w:r>
              <w:rPr/>
              <w:t xml:space="preserve">  </w:t>
            </w:r>
          </w:p>
        </w:tc>
        <w:tc>
          <w:tcPr>
            <w:tcW w:w="220" w:type="dxa"/>
            <w:tcBorders/>
            <w:vAlign w:val="bottom"/>
          </w:tcPr>
          <w:p>
            <w:pPr>
              <w:pStyle w:val="TableContents"/>
              <w:pBdr/>
              <w:bidi w:val="0"/>
              <w:spacing w:before="0" w:after="0"/>
              <w:ind w:left="0" w:right="0" w:hanging="0"/>
              <w:jc w:val="left"/>
              <w:rPr/>
            </w:pPr>
            <w:r>
              <w:rPr/>
              <w:t xml:space="preserve">  </w:t>
            </w:r>
          </w:p>
        </w:tc>
        <w:tc>
          <w:tcPr>
            <w:tcW w:w="860" w:type="dxa"/>
            <w:tcBorders/>
            <w:vAlign w:val="bottom"/>
          </w:tcPr>
          <w:p>
            <w:pPr>
              <w:pStyle w:val="TableContents"/>
              <w:pBdr/>
              <w:bidi w:val="0"/>
              <w:spacing w:before="0" w:after="0"/>
              <w:ind w:left="0" w:right="0" w:hanging="0"/>
              <w:jc w:val="right"/>
              <w:rPr/>
            </w:pPr>
            <w:r>
              <w:rPr/>
              <w:t xml:space="preserve">  </w:t>
            </w:r>
          </w:p>
        </w:tc>
        <w:tc>
          <w:tcPr>
            <w:tcW w:w="115" w:type="dxa"/>
            <w:tcBorders/>
            <w:vAlign w:val="bottom"/>
          </w:tcPr>
          <w:p>
            <w:pPr>
              <w:pStyle w:val="TableContents"/>
              <w:pBdr/>
              <w:bidi w:val="0"/>
              <w:spacing w:before="0" w:after="0"/>
              <w:ind w:left="0" w:right="0" w:hanging="0"/>
              <w:jc w:val="left"/>
              <w:rPr/>
            </w:pPr>
            <w:r>
              <w:rPr/>
              <w:t xml:space="preserve">  </w:t>
            </w:r>
          </w:p>
        </w:tc>
        <w:tc>
          <w:tcPr>
            <w:tcW w:w="23" w:type="dxa"/>
            <w:tcBorders/>
            <w:vAlign w:val="center"/>
          </w:tcPr>
          <w:p>
            <w:pPr>
              <w:pStyle w:val="TableContents"/>
              <w:bidi w:val="0"/>
              <w:spacing w:before="0" w:after="283"/>
              <w:ind w:left="0" w:right="0" w:hanging="0"/>
              <w:jc w:val="left"/>
              <w:rPr/>
            </w:pPr>
            <w:r>
              <w:rPr/>
            </w:r>
          </w:p>
        </w:tc>
        <w:tc>
          <w:tcPr>
            <w:tcW w:w="216" w:type="dxa"/>
            <w:tcBorders/>
            <w:vAlign w:val="center"/>
          </w:tcPr>
          <w:p>
            <w:pPr>
              <w:pStyle w:val="TableContents"/>
              <w:bidi w:val="0"/>
              <w:spacing w:before="0" w:after="283"/>
              <w:ind w:left="0" w:right="0" w:hanging="0"/>
              <w:jc w:val="left"/>
              <w:rPr/>
            </w:pPr>
            <w:r>
              <w:rPr/>
            </w:r>
          </w:p>
        </w:tc>
        <w:tc>
          <w:tcPr>
            <w:tcW w:w="1174" w:type="dxa"/>
            <w:tcBorders/>
            <w:vAlign w:val="center"/>
          </w:tcPr>
          <w:p>
            <w:pPr>
              <w:pStyle w:val="TableContents"/>
              <w:bidi w:val="0"/>
              <w:spacing w:before="0" w:after="283"/>
              <w:ind w:left="0" w:right="0" w:hanging="0"/>
              <w:jc w:val="left"/>
              <w:rPr/>
            </w:pPr>
            <w:r>
              <w:rPr/>
            </w:r>
          </w:p>
        </w:tc>
        <w:tc>
          <w:tcPr>
            <w:tcW w:w="147" w:type="dxa"/>
            <w:tcBorders/>
            <w:vAlign w:val="center"/>
          </w:tcPr>
          <w:p>
            <w:pPr>
              <w:pStyle w:val="TableContents"/>
              <w:bidi w:val="0"/>
              <w:spacing w:before="0" w:after="283"/>
              <w:ind w:left="0" w:right="0" w:hanging="0"/>
              <w:jc w:val="left"/>
              <w:rPr/>
            </w:pPr>
            <w:r>
              <w:rPr/>
            </w:r>
          </w:p>
        </w:tc>
        <w:tc>
          <w:tcPr>
            <w:tcW w:w="35" w:type="dxa"/>
            <w:tcBorders/>
            <w:vAlign w:val="center"/>
          </w:tcPr>
          <w:p>
            <w:pPr>
              <w:pStyle w:val="TableContents"/>
              <w:bidi w:val="0"/>
              <w:spacing w:before="0" w:after="283"/>
              <w:ind w:left="0" w:right="0" w:hanging="0"/>
              <w:jc w:val="left"/>
              <w:rPr/>
            </w:pPr>
            <w:r>
              <w:rPr/>
            </w:r>
          </w:p>
        </w:tc>
        <w:tc>
          <w:tcPr>
            <w:tcW w:w="217" w:type="dxa"/>
            <w:tcBorders/>
            <w:vAlign w:val="center"/>
          </w:tcPr>
          <w:p>
            <w:pPr>
              <w:pStyle w:val="TableContents"/>
              <w:bidi w:val="0"/>
              <w:spacing w:before="0" w:after="283"/>
              <w:ind w:left="0" w:right="0" w:hanging="0"/>
              <w:jc w:val="left"/>
              <w:rPr/>
            </w:pPr>
            <w:r>
              <w:rPr/>
            </w:r>
          </w:p>
        </w:tc>
        <w:tc>
          <w:tcPr>
            <w:tcW w:w="1174" w:type="dxa"/>
            <w:tcBorders/>
            <w:vAlign w:val="center"/>
          </w:tcPr>
          <w:p>
            <w:pPr>
              <w:pStyle w:val="TableContents"/>
              <w:bidi w:val="0"/>
              <w:spacing w:before="0" w:after="283"/>
              <w:ind w:left="0" w:right="0" w:hanging="0"/>
              <w:jc w:val="left"/>
              <w:rPr/>
            </w:pPr>
            <w:r>
              <w:rPr/>
            </w:r>
          </w:p>
        </w:tc>
        <w:tc>
          <w:tcPr>
            <w:tcW w:w="119" w:type="dxa"/>
            <w:tcBorders/>
            <w:vAlign w:val="center"/>
          </w:tcPr>
          <w:p>
            <w:pPr>
              <w:pStyle w:val="TableContents"/>
              <w:bidi w:val="0"/>
              <w:spacing w:before="0" w:after="283"/>
              <w:jc w:val="left"/>
              <w:rPr/>
            </w:pPr>
            <w:r>
              <w:rPr/>
            </w:r>
          </w:p>
        </w:tc>
      </w:tr>
      <w:tr>
        <w:trPr/>
        <w:tc>
          <w:tcPr>
            <w:tcW w:w="426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Balance, beginning of period </w:t>
            </w:r>
          </w:p>
        </w:tc>
        <w:tc>
          <w:tcPr>
            <w:tcW w:w="100" w:type="dxa"/>
            <w:tcBorders/>
            <w:shd w:fill="CCEEFF" w:val="clear"/>
            <w:vAlign w:val="center"/>
          </w:tcPr>
          <w:p>
            <w:pPr>
              <w:pStyle w:val="TableContents"/>
              <w:bidi w:val="0"/>
              <w:spacing w:before="0" w:after="0"/>
              <w:ind w:left="0" w:right="0" w:hanging="0"/>
              <w:jc w:val="left"/>
              <w:rPr/>
            </w:pPr>
            <w:r>
              <w:rPr/>
              <w:t xml:space="preserve">  </w:t>
            </w:r>
          </w:p>
        </w:tc>
        <w:tc>
          <w:tcPr>
            <w:tcW w:w="22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023"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(17,465</w:t>
            </w:r>
          </w:p>
        </w:tc>
        <w:tc>
          <w:tcPr>
            <w:tcW w:w="153" w:type="dxa"/>
            <w:tcBorders/>
            <w:shd w:fill="CCEEFF" w:val="clear"/>
            <w:vAlign w:val="bottom"/>
          </w:tcPr>
          <w:p>
            <w:pPr>
              <w:pStyle w:val="TableContents"/>
              <w:bidi w:val="0"/>
              <w:spacing w:before="0" w:after="0"/>
              <w:ind w:left="0" w:right="0" w:hanging="0"/>
              <w:jc w:val="left"/>
              <w:rPr/>
            </w:pPr>
            <w:r>
              <w:rPr/>
              <w:t>)</w:t>
            </w:r>
          </w:p>
        </w:tc>
        <w:tc>
          <w:tcPr>
            <w:tcW w:w="142" w:type="dxa"/>
            <w:tcBorders/>
            <w:shd w:fill="CCEEFF" w:val="clear"/>
            <w:vAlign w:val="bottom"/>
          </w:tcPr>
          <w:p>
            <w:pPr>
              <w:pStyle w:val="TableContents"/>
              <w:pBdr/>
              <w:bidi w:val="0"/>
              <w:spacing w:before="0" w:after="0"/>
              <w:ind w:left="0" w:right="0" w:hanging="0"/>
              <w:jc w:val="left"/>
              <w:rPr/>
            </w:pPr>
            <w:r>
              <w:rPr/>
              <w:t xml:space="preserve">  </w:t>
            </w:r>
          </w:p>
        </w:tc>
        <w:tc>
          <w:tcPr>
            <w:tcW w:w="220"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860"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(5,794</w:t>
            </w:r>
          </w:p>
        </w:tc>
        <w:tc>
          <w:tcPr>
            <w:tcW w:w="115" w:type="dxa"/>
            <w:tcBorders/>
            <w:shd w:fill="CCEEFF" w:val="clear"/>
            <w:vAlign w:val="bottom"/>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283"/>
              <w:ind w:left="0" w:right="0" w:hanging="0"/>
              <w:jc w:val="left"/>
              <w:rPr/>
            </w:pPr>
            <w:r>
              <w:rPr/>
            </w:r>
          </w:p>
        </w:tc>
        <w:tc>
          <w:tcPr>
            <w:tcW w:w="216" w:type="dxa"/>
            <w:tcBorders/>
            <w:shd w:fill="CCEEFF" w:val="clear"/>
            <w:vAlign w:val="center"/>
          </w:tcPr>
          <w:p>
            <w:pPr>
              <w:pStyle w:val="TableContents"/>
              <w:widowControl/>
              <w:bidi w:val="0"/>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174" w:type="dxa"/>
            <w:tcBorders/>
            <w:shd w:fill="CCEEFF" w:val="clear"/>
            <w:vAlign w:val="center"/>
          </w:tcPr>
          <w:p>
            <w:pPr>
              <w:pStyle w:val="TableContents"/>
              <w:bidi w:val="0"/>
              <w:spacing w:before="0" w:after="0"/>
              <w:ind w:left="0" w:right="0" w:hanging="0"/>
              <w:jc w:val="right"/>
              <w:rPr/>
            </w:pPr>
            <w:r>
              <w:rPr/>
              <w:t>(10,059</w:t>
            </w:r>
          </w:p>
        </w:tc>
        <w:tc>
          <w:tcPr>
            <w:tcW w:w="147" w:type="dxa"/>
            <w:tcBorders/>
            <w:shd w:fill="CCEEFF" w:val="clear"/>
            <w:vAlign w:val="center"/>
          </w:tcPr>
          <w:p>
            <w:pPr>
              <w:pStyle w:val="TableContents"/>
              <w:bidi w:val="0"/>
              <w:spacing w:before="0" w:after="0"/>
              <w:ind w:left="0" w:right="0" w:hanging="0"/>
              <w:jc w:val="left"/>
              <w:rPr/>
            </w:pPr>
            <w:r>
              <w:rPr/>
              <w:t>)</w:t>
            </w:r>
          </w:p>
        </w:tc>
        <w:tc>
          <w:tcPr>
            <w:tcW w:w="35" w:type="dxa"/>
            <w:tcBorders/>
            <w:shd w:fill="CCEEFF" w:val="clear"/>
            <w:vAlign w:val="center"/>
          </w:tcPr>
          <w:p>
            <w:pPr>
              <w:pStyle w:val="TableContents"/>
              <w:bidi w:val="0"/>
              <w:spacing w:before="0" w:after="283"/>
              <w:ind w:left="0" w:right="0" w:hanging="0"/>
              <w:jc w:val="left"/>
              <w:rPr/>
            </w:pPr>
            <w:r>
              <w:rPr/>
            </w:r>
          </w:p>
        </w:tc>
        <w:tc>
          <w:tcPr>
            <w:tcW w:w="217" w:type="dxa"/>
            <w:tcBorders/>
            <w:shd w:fill="CCEEFF" w:val="clear"/>
            <w:vAlign w:val="center"/>
          </w:tcPr>
          <w:p>
            <w:pPr>
              <w:pStyle w:val="TableContents"/>
              <w:widowControl/>
              <w:bidi w:val="0"/>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174" w:type="dxa"/>
            <w:tcBorders/>
            <w:shd w:fill="CCEEFF" w:val="clear"/>
            <w:vAlign w:val="center"/>
          </w:tcPr>
          <w:p>
            <w:pPr>
              <w:pStyle w:val="TableContents"/>
              <w:bidi w:val="0"/>
              <w:spacing w:before="0" w:after="0"/>
              <w:ind w:left="0" w:right="0" w:hanging="0"/>
              <w:jc w:val="right"/>
              <w:rPr/>
            </w:pPr>
            <w:r>
              <w:rPr/>
              <w:t>(1,076</w:t>
            </w:r>
          </w:p>
        </w:tc>
        <w:tc>
          <w:tcPr>
            <w:tcW w:w="119" w:type="dxa"/>
            <w:tcBorders/>
            <w:shd w:fill="CCEEFF" w:val="clear"/>
            <w:vAlign w:val="center"/>
          </w:tcPr>
          <w:p>
            <w:pPr>
              <w:pStyle w:val="TableContents"/>
              <w:bidi w:val="0"/>
              <w:spacing w:before="0" w:after="0"/>
              <w:jc w:val="left"/>
              <w:rPr/>
            </w:pPr>
            <w:r>
              <w:rPr/>
              <w:t>)</w:t>
            </w:r>
          </w:p>
        </w:tc>
      </w:tr>
      <w:tr>
        <w:trPr/>
        <w:tc>
          <w:tcPr>
            <w:tcW w:w="4267" w:type="dxa"/>
            <w:tcBorders/>
            <w:vAlign w:val="center"/>
          </w:tcPr>
          <w:p>
            <w:pPr>
              <w:pStyle w:val="TableContents"/>
              <w:bidi w:val="0"/>
              <w:spacing w:before="0" w:after="283"/>
              <w:jc w:val="left"/>
              <w:rPr/>
            </w:pPr>
            <w:r>
              <w:rPr>
                <w:rFonts w:ascii="Times New Roman;serif" w:hAnsi="Times New Roman;serif"/>
                <w:color w:val="000000"/>
                <w:sz w:val="20"/>
              </w:rPr>
              <w:t>Net loss – discontinued operations</w:t>
            </w:r>
            <w:r>
              <w:rPr/>
              <w:t xml:space="preserve"> </w:t>
            </w:r>
          </w:p>
        </w:tc>
        <w:tc>
          <w:tcPr>
            <w:tcW w:w="100" w:type="dxa"/>
            <w:tcBorders/>
            <w:vAlign w:val="center"/>
          </w:tcPr>
          <w:p>
            <w:pPr>
              <w:pStyle w:val="TableContents"/>
              <w:bidi w:val="0"/>
              <w:spacing w:before="0" w:after="283"/>
              <w:jc w:val="left"/>
              <w:rPr/>
            </w:pPr>
            <w:r>
              <w:rPr/>
            </w:r>
          </w:p>
        </w:tc>
        <w:tc>
          <w:tcPr>
            <w:tcW w:w="220" w:type="dxa"/>
            <w:tcBorders/>
            <w:vAlign w:val="center"/>
          </w:tcPr>
          <w:p>
            <w:pPr>
              <w:pStyle w:val="TableContents"/>
              <w:bidi w:val="0"/>
              <w:spacing w:before="0" w:after="283"/>
              <w:ind w:left="0" w:right="0" w:hanging="0"/>
              <w:jc w:val="left"/>
              <w:rPr/>
            </w:pPr>
            <w:r>
              <w:rPr/>
            </w:r>
          </w:p>
        </w:tc>
        <w:tc>
          <w:tcPr>
            <w:tcW w:w="1023" w:type="dxa"/>
            <w:tcBorders/>
            <w:vAlign w:val="center"/>
          </w:tcPr>
          <w:p>
            <w:pPr>
              <w:pStyle w:val="TableContents"/>
              <w:bidi w:val="0"/>
              <w:spacing w:before="0" w:after="0"/>
              <w:ind w:left="0" w:right="0" w:hanging="0"/>
              <w:jc w:val="right"/>
              <w:rPr/>
            </w:pPr>
            <w:r>
              <w:rPr/>
              <w:t>(12,865</w:t>
            </w:r>
          </w:p>
        </w:tc>
        <w:tc>
          <w:tcPr>
            <w:tcW w:w="153" w:type="dxa"/>
            <w:tcBorders/>
            <w:vAlign w:val="center"/>
          </w:tcPr>
          <w:p>
            <w:pPr>
              <w:pStyle w:val="TableContents"/>
              <w:bidi w:val="0"/>
              <w:spacing w:before="0" w:after="0"/>
              <w:ind w:left="0" w:right="0" w:hanging="0"/>
              <w:jc w:val="left"/>
              <w:rPr/>
            </w:pPr>
            <w:r>
              <w:rPr/>
              <w:t>)</w:t>
            </w:r>
          </w:p>
        </w:tc>
        <w:tc>
          <w:tcPr>
            <w:tcW w:w="142" w:type="dxa"/>
            <w:tcBorders/>
            <w:vAlign w:val="center"/>
          </w:tcPr>
          <w:p>
            <w:pPr>
              <w:pStyle w:val="TableContents"/>
              <w:bidi w:val="0"/>
              <w:spacing w:before="0" w:after="283"/>
              <w:ind w:left="0" w:right="0" w:hanging="0"/>
              <w:jc w:val="left"/>
              <w:rPr/>
            </w:pPr>
            <w:r>
              <w:rPr/>
            </w:r>
          </w:p>
        </w:tc>
        <w:tc>
          <w:tcPr>
            <w:tcW w:w="220" w:type="dxa"/>
            <w:tcBorders/>
            <w:vAlign w:val="center"/>
          </w:tcPr>
          <w:p>
            <w:pPr>
              <w:pStyle w:val="TableContents"/>
              <w:bidi w:val="0"/>
              <w:spacing w:before="0" w:after="283"/>
              <w:ind w:left="0" w:right="0" w:hanging="0"/>
              <w:jc w:val="left"/>
              <w:rPr/>
            </w:pPr>
            <w:r>
              <w:rPr/>
            </w:r>
          </w:p>
        </w:tc>
        <w:tc>
          <w:tcPr>
            <w:tcW w:w="860" w:type="dxa"/>
            <w:tcBorders/>
            <w:vAlign w:val="center"/>
          </w:tcPr>
          <w:p>
            <w:pPr>
              <w:pStyle w:val="TableContents"/>
              <w:bidi w:val="0"/>
              <w:spacing w:before="0" w:after="0"/>
              <w:ind w:left="0" w:right="0" w:hanging="0"/>
              <w:jc w:val="right"/>
              <w:rPr/>
            </w:pPr>
            <w:r>
              <w:rPr/>
              <w:t>(1,346</w:t>
            </w:r>
          </w:p>
        </w:tc>
        <w:tc>
          <w:tcPr>
            <w:tcW w:w="115"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283"/>
              <w:ind w:left="0" w:right="0" w:hanging="0"/>
              <w:jc w:val="left"/>
              <w:rPr/>
            </w:pPr>
            <w:r>
              <w:rPr/>
            </w:r>
          </w:p>
        </w:tc>
        <w:tc>
          <w:tcPr>
            <w:tcW w:w="216" w:type="dxa"/>
            <w:tcBorders/>
            <w:vAlign w:val="center"/>
          </w:tcPr>
          <w:p>
            <w:pPr>
              <w:pStyle w:val="TableContents"/>
              <w:bidi w:val="0"/>
              <w:spacing w:before="0" w:after="283"/>
              <w:ind w:left="0" w:right="0" w:hanging="0"/>
              <w:jc w:val="left"/>
              <w:rPr/>
            </w:pPr>
            <w:r>
              <w:rPr/>
            </w:r>
          </w:p>
        </w:tc>
        <w:tc>
          <w:tcPr>
            <w:tcW w:w="1174" w:type="dxa"/>
            <w:tcBorders/>
            <w:vAlign w:val="center"/>
          </w:tcPr>
          <w:p>
            <w:pPr>
              <w:pStyle w:val="TableContents"/>
              <w:bidi w:val="0"/>
              <w:spacing w:before="0" w:after="0"/>
              <w:ind w:left="0" w:right="0" w:hanging="0"/>
              <w:jc w:val="right"/>
              <w:rPr/>
            </w:pPr>
            <w:r>
              <w:rPr/>
              <w:t>(17,864</w:t>
            </w:r>
          </w:p>
        </w:tc>
        <w:tc>
          <w:tcPr>
            <w:tcW w:w="147" w:type="dxa"/>
            <w:tcBorders/>
            <w:vAlign w:val="center"/>
          </w:tcPr>
          <w:p>
            <w:pPr>
              <w:pStyle w:val="TableContents"/>
              <w:bidi w:val="0"/>
              <w:spacing w:before="0" w:after="0"/>
              <w:ind w:left="0" w:right="0" w:hanging="0"/>
              <w:jc w:val="left"/>
              <w:rPr/>
            </w:pPr>
            <w:r>
              <w:rPr/>
              <w:t>)</w:t>
            </w:r>
          </w:p>
        </w:tc>
        <w:tc>
          <w:tcPr>
            <w:tcW w:w="35" w:type="dxa"/>
            <w:tcBorders/>
            <w:vAlign w:val="center"/>
          </w:tcPr>
          <w:p>
            <w:pPr>
              <w:pStyle w:val="TableContents"/>
              <w:bidi w:val="0"/>
              <w:spacing w:before="0" w:after="283"/>
              <w:ind w:left="0" w:right="0" w:hanging="0"/>
              <w:jc w:val="left"/>
              <w:rPr/>
            </w:pPr>
            <w:r>
              <w:rPr/>
            </w:r>
          </w:p>
        </w:tc>
        <w:tc>
          <w:tcPr>
            <w:tcW w:w="217" w:type="dxa"/>
            <w:tcBorders/>
            <w:vAlign w:val="center"/>
          </w:tcPr>
          <w:p>
            <w:pPr>
              <w:pStyle w:val="TableContents"/>
              <w:bidi w:val="0"/>
              <w:spacing w:before="0" w:after="283"/>
              <w:ind w:left="0" w:right="0" w:hanging="0"/>
              <w:jc w:val="left"/>
              <w:rPr/>
            </w:pPr>
            <w:r>
              <w:rPr/>
            </w:r>
          </w:p>
        </w:tc>
        <w:tc>
          <w:tcPr>
            <w:tcW w:w="1174" w:type="dxa"/>
            <w:tcBorders/>
            <w:vAlign w:val="center"/>
          </w:tcPr>
          <w:p>
            <w:pPr>
              <w:pStyle w:val="TableContents"/>
              <w:bidi w:val="0"/>
              <w:spacing w:before="0" w:after="0"/>
              <w:ind w:left="0" w:right="0" w:hanging="0"/>
              <w:jc w:val="right"/>
              <w:rPr/>
            </w:pPr>
            <w:r>
              <w:rPr/>
              <w:t>(4,694</w:t>
            </w:r>
          </w:p>
        </w:tc>
        <w:tc>
          <w:tcPr>
            <w:tcW w:w="119" w:type="dxa"/>
            <w:tcBorders/>
            <w:vAlign w:val="center"/>
          </w:tcPr>
          <w:p>
            <w:pPr>
              <w:pStyle w:val="TableContents"/>
              <w:bidi w:val="0"/>
              <w:spacing w:before="0" w:after="0"/>
              <w:jc w:val="left"/>
              <w:rPr/>
            </w:pPr>
            <w:r>
              <w:rPr/>
              <w:t>)</w:t>
            </w:r>
          </w:p>
        </w:tc>
      </w:tr>
      <w:tr>
        <w:trPr/>
        <w:tc>
          <w:tcPr>
            <w:tcW w:w="4267" w:type="dxa"/>
            <w:tcBorders/>
            <w:shd w:fill="CCEEFF" w:val="clear"/>
            <w:vAlign w:val="bottom"/>
          </w:tcPr>
          <w:p>
            <w:pPr>
              <w:pStyle w:val="TableContents"/>
              <w:widowControl/>
              <w:bidi w:val="0"/>
              <w:spacing w:before="0" w:after="283"/>
              <w:ind w:left="0" w:right="0" w:hanging="0"/>
              <w:jc w:val="both"/>
              <w:rPr/>
            </w:pPr>
            <w:r>
              <w:rPr/>
              <w:t>Net loss </w:t>
            </w:r>
            <w:r>
              <w:rPr>
                <w:caps w:val="false"/>
                <w:smallCaps w:val="false"/>
                <w:color w:val="000000"/>
                <w:spacing w:val="0"/>
              </w:rPr>
              <w:t xml:space="preserve">– </w:t>
            </w:r>
            <w:r>
              <w:rPr>
                <w:rFonts w:ascii="Times New Roman;serif" w:hAnsi="Times New Roman;serif"/>
                <w:b w:val="false"/>
                <w:i w:val="false"/>
                <w:caps w:val="false"/>
                <w:smallCaps w:val="false"/>
                <w:color w:val="000000"/>
                <w:spacing w:val="0"/>
                <w:sz w:val="20"/>
              </w:rPr>
              <w:t>continuing operations</w:t>
            </w:r>
          </w:p>
        </w:tc>
        <w:tc>
          <w:tcPr>
            <w:tcW w:w="100" w:type="dxa"/>
            <w:tcBorders/>
            <w:shd w:fill="CCEEFF" w:val="clear"/>
            <w:vAlign w:val="bottom"/>
          </w:tcPr>
          <w:p>
            <w:pPr>
              <w:pStyle w:val="TableContents"/>
              <w:bidi w:val="0"/>
              <w:spacing w:before="0" w:after="0"/>
              <w:ind w:left="0" w:right="0" w:hanging="0"/>
              <w:jc w:val="left"/>
              <w:rPr/>
            </w:pPr>
            <w:r>
              <w:rPr/>
              <w:t xml:space="preserve">  </w:t>
            </w:r>
          </w:p>
        </w:tc>
        <w:tc>
          <w:tcPr>
            <w:tcW w:w="220" w:type="dxa"/>
            <w:tcBorders/>
            <w:shd w:fill="CCEEFF" w:val="clear"/>
            <w:vAlign w:val="bottom"/>
          </w:tcPr>
          <w:p>
            <w:pPr>
              <w:pStyle w:val="TableContents"/>
              <w:bidi w:val="0"/>
              <w:spacing w:before="0" w:after="0"/>
              <w:ind w:left="0" w:right="0" w:hanging="0"/>
              <w:jc w:val="left"/>
              <w:rPr/>
            </w:pPr>
            <w:r>
              <w:rPr/>
              <w:t xml:space="preserve">  </w:t>
            </w:r>
          </w:p>
        </w:tc>
        <w:tc>
          <w:tcPr>
            <w:tcW w:w="1023"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(871</w:t>
            </w:r>
          </w:p>
        </w:tc>
        <w:tc>
          <w:tcPr>
            <w:tcW w:w="153" w:type="dxa"/>
            <w:tcBorders/>
            <w:shd w:fill="CCEEFF" w:val="clear"/>
            <w:vAlign w:val="bottom"/>
          </w:tcPr>
          <w:p>
            <w:pPr>
              <w:pStyle w:val="TableContents"/>
              <w:bidi w:val="0"/>
              <w:spacing w:before="0" w:after="0"/>
              <w:ind w:left="0" w:right="0" w:hanging="0"/>
              <w:jc w:val="left"/>
              <w:rPr/>
            </w:pPr>
            <w:r>
              <w:rPr/>
              <w:t>)</w:t>
            </w:r>
          </w:p>
        </w:tc>
        <w:tc>
          <w:tcPr>
            <w:tcW w:w="142" w:type="dxa"/>
            <w:tcBorders/>
            <w:shd w:fill="CCEEFF" w:val="clear"/>
            <w:vAlign w:val="bottom"/>
          </w:tcPr>
          <w:p>
            <w:pPr>
              <w:pStyle w:val="TableContents"/>
              <w:pBdr/>
              <w:bidi w:val="0"/>
              <w:spacing w:before="0" w:after="0"/>
              <w:ind w:left="0" w:right="0" w:hanging="0"/>
              <w:jc w:val="left"/>
              <w:rPr/>
            </w:pPr>
            <w:r>
              <w:rPr/>
              <w:t xml:space="preserve">  </w:t>
            </w:r>
          </w:p>
        </w:tc>
        <w:tc>
          <w:tcPr>
            <w:tcW w:w="220" w:type="dxa"/>
            <w:tcBorders/>
            <w:shd w:fill="CCEEFF" w:val="clear"/>
            <w:vAlign w:val="bottom"/>
          </w:tcPr>
          <w:p>
            <w:pPr>
              <w:pStyle w:val="TableContents"/>
              <w:pBdr/>
              <w:bidi w:val="0"/>
              <w:spacing w:before="0" w:after="0"/>
              <w:ind w:left="0" w:right="0" w:hanging="0"/>
              <w:jc w:val="left"/>
              <w:rPr/>
            </w:pPr>
            <w:r>
              <w:rPr/>
              <w:t xml:space="preserve">  </w:t>
            </w:r>
          </w:p>
        </w:tc>
        <w:tc>
          <w:tcPr>
            <w:tcW w:w="860"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(716 </w:t>
            </w:r>
          </w:p>
        </w:tc>
        <w:tc>
          <w:tcPr>
            <w:tcW w:w="115"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23" w:type="dxa"/>
            <w:tcBorders/>
            <w:shd w:fill="CCEEFF" w:val="clear"/>
            <w:vAlign w:val="center"/>
          </w:tcPr>
          <w:p>
            <w:pPr>
              <w:pStyle w:val="TableContents"/>
              <w:bidi w:val="0"/>
              <w:spacing w:before="0" w:after="283"/>
              <w:ind w:left="0" w:right="0" w:hanging="0"/>
              <w:jc w:val="left"/>
              <w:rPr/>
            </w:pPr>
            <w:r>
              <w:rPr/>
            </w:r>
          </w:p>
        </w:tc>
        <w:tc>
          <w:tcPr>
            <w:tcW w:w="216" w:type="dxa"/>
            <w:tcBorders/>
            <w:shd w:fill="CCEEFF" w:val="clear"/>
            <w:vAlign w:val="center"/>
          </w:tcPr>
          <w:p>
            <w:pPr>
              <w:pStyle w:val="TableContents"/>
              <w:bidi w:val="0"/>
              <w:spacing w:before="0" w:after="283"/>
              <w:ind w:left="0" w:right="0" w:hanging="0"/>
              <w:jc w:val="left"/>
              <w:rPr/>
            </w:pPr>
            <w:r>
              <w:rPr/>
            </w:r>
          </w:p>
        </w:tc>
        <w:tc>
          <w:tcPr>
            <w:tcW w:w="117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(3,278</w:t>
            </w:r>
          </w:p>
        </w:tc>
        <w:tc>
          <w:tcPr>
            <w:tcW w:w="147" w:type="dxa"/>
            <w:tcBorders/>
            <w:shd w:fill="CCEEFF" w:val="clear"/>
            <w:vAlign w:val="center"/>
          </w:tcPr>
          <w:p>
            <w:pPr>
              <w:pStyle w:val="TableContents"/>
              <w:bidi w:val="0"/>
              <w:spacing w:before="0" w:after="0"/>
              <w:ind w:left="0" w:right="0" w:hanging="0"/>
              <w:jc w:val="left"/>
              <w:rPr/>
            </w:pPr>
            <w:r>
              <w:rPr/>
              <w:t>)</w:t>
            </w:r>
          </w:p>
        </w:tc>
        <w:tc>
          <w:tcPr>
            <w:tcW w:w="35" w:type="dxa"/>
            <w:tcBorders/>
            <w:shd w:fill="CCEEFF" w:val="clear"/>
            <w:vAlign w:val="center"/>
          </w:tcPr>
          <w:p>
            <w:pPr>
              <w:pStyle w:val="TableContents"/>
              <w:bidi w:val="0"/>
              <w:spacing w:before="0" w:after="283"/>
              <w:ind w:left="0" w:right="0" w:hanging="0"/>
              <w:jc w:val="left"/>
              <w:rPr/>
            </w:pPr>
            <w:r>
              <w:rPr/>
            </w:r>
          </w:p>
        </w:tc>
        <w:tc>
          <w:tcPr>
            <w:tcW w:w="217" w:type="dxa"/>
            <w:tcBorders/>
            <w:shd w:fill="CCEEFF" w:val="clear"/>
            <w:vAlign w:val="center"/>
          </w:tcPr>
          <w:p>
            <w:pPr>
              <w:pStyle w:val="TableContents"/>
              <w:bidi w:val="0"/>
              <w:spacing w:before="0" w:after="283"/>
              <w:ind w:left="0" w:right="0" w:hanging="0"/>
              <w:jc w:val="left"/>
              <w:rPr/>
            </w:pPr>
            <w:r>
              <w:rPr/>
            </w:r>
          </w:p>
        </w:tc>
        <w:tc>
          <w:tcPr>
            <w:tcW w:w="117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(2,086</w:t>
            </w:r>
          </w:p>
        </w:tc>
        <w:tc>
          <w:tcPr>
            <w:tcW w:w="119" w:type="dxa"/>
            <w:tcBorders/>
            <w:shd w:fill="CCEEFF" w:val="clear"/>
            <w:vAlign w:val="center"/>
          </w:tcPr>
          <w:p>
            <w:pPr>
              <w:pStyle w:val="TableContents"/>
              <w:bidi w:val="0"/>
              <w:spacing w:before="0" w:after="0"/>
              <w:jc w:val="left"/>
              <w:rPr/>
            </w:pPr>
            <w:r>
              <w:rPr/>
              <w:t>)</w:t>
            </w:r>
          </w:p>
        </w:tc>
      </w:tr>
      <w:tr>
        <w:trPr/>
        <w:tc>
          <w:tcPr>
            <w:tcW w:w="4267"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Adjustment to retained earnings related to temporary equity accretion</w:t>
            </w:r>
          </w:p>
        </w:tc>
        <w:tc>
          <w:tcPr>
            <w:tcW w:w="100" w:type="dxa"/>
            <w:tcBorders/>
            <w:vAlign w:val="center"/>
          </w:tcPr>
          <w:p>
            <w:pPr>
              <w:pStyle w:val="TableContents"/>
              <w:bidi w:val="0"/>
              <w:spacing w:before="0" w:after="283"/>
              <w:jc w:val="left"/>
              <w:rPr/>
            </w:pPr>
            <w:r>
              <w:rPr/>
            </w:r>
          </w:p>
        </w:tc>
        <w:tc>
          <w:tcPr>
            <w:tcW w:w="220" w:type="dxa"/>
            <w:tcBorders/>
            <w:vAlign w:val="center"/>
          </w:tcPr>
          <w:p>
            <w:pPr>
              <w:pStyle w:val="TableContents"/>
              <w:bidi w:val="0"/>
              <w:spacing w:before="0" w:after="283"/>
              <w:ind w:left="0" w:right="0" w:hanging="0"/>
              <w:jc w:val="left"/>
              <w:rPr/>
            </w:pPr>
            <w:r>
              <w:rPr/>
            </w:r>
          </w:p>
        </w:tc>
        <w:tc>
          <w:tcPr>
            <w:tcW w:w="1023" w:type="dxa"/>
            <w:tcBorders/>
            <w:vAlign w:val="center"/>
          </w:tcPr>
          <w:p>
            <w:pPr>
              <w:pStyle w:val="TableContents"/>
              <w:bidi w:val="0"/>
              <w:spacing w:before="0" w:after="0"/>
              <w:ind w:left="0" w:right="0" w:hanging="0"/>
              <w:jc w:val="right"/>
              <w:rPr/>
            </w:pPr>
            <w:r>
              <w:rPr/>
              <w:t>(757</w:t>
            </w:r>
          </w:p>
        </w:tc>
        <w:tc>
          <w:tcPr>
            <w:tcW w:w="153" w:type="dxa"/>
            <w:tcBorders/>
            <w:vAlign w:val="center"/>
          </w:tcPr>
          <w:p>
            <w:pPr>
              <w:pStyle w:val="TableContents"/>
              <w:bidi w:val="0"/>
              <w:spacing w:before="0" w:after="0"/>
              <w:ind w:left="0" w:right="0" w:hanging="0"/>
              <w:jc w:val="left"/>
              <w:rPr/>
            </w:pPr>
            <w:r>
              <w:rPr/>
              <w:t>)</w:t>
            </w:r>
          </w:p>
        </w:tc>
        <w:tc>
          <w:tcPr>
            <w:tcW w:w="142" w:type="dxa"/>
            <w:tcBorders/>
            <w:vAlign w:val="center"/>
          </w:tcPr>
          <w:p>
            <w:pPr>
              <w:pStyle w:val="TableContents"/>
              <w:bidi w:val="0"/>
              <w:spacing w:before="0" w:after="283"/>
              <w:ind w:left="0" w:right="0" w:hanging="0"/>
              <w:jc w:val="left"/>
              <w:rPr/>
            </w:pPr>
            <w:r>
              <w:rPr/>
            </w:r>
          </w:p>
        </w:tc>
        <w:tc>
          <w:tcPr>
            <w:tcW w:w="220" w:type="dxa"/>
            <w:tcBorders/>
            <w:vAlign w:val="center"/>
          </w:tcPr>
          <w:p>
            <w:pPr>
              <w:pStyle w:val="TableContents"/>
              <w:bidi w:val="0"/>
              <w:spacing w:before="0" w:after="283"/>
              <w:ind w:left="0" w:right="0" w:hanging="0"/>
              <w:jc w:val="left"/>
              <w:rPr/>
            </w:pPr>
            <w:r>
              <w:rPr/>
            </w:r>
          </w:p>
        </w:tc>
        <w:tc>
          <w:tcPr>
            <w:tcW w:w="860" w:type="dxa"/>
            <w:tcBorders/>
            <w:vAlign w:val="center"/>
          </w:tcPr>
          <w:p>
            <w:pPr>
              <w:pStyle w:val="TableContents"/>
              <w:bidi w:val="0"/>
              <w:spacing w:before="0" w:after="0"/>
              <w:ind w:left="0" w:right="0" w:hanging="0"/>
              <w:jc w:val="right"/>
              <w:rPr/>
            </w:pPr>
            <w:r>
              <w:rPr/>
              <w:t>—</w:t>
            </w:r>
          </w:p>
        </w:tc>
        <w:tc>
          <w:tcPr>
            <w:tcW w:w="115" w:type="dxa"/>
            <w:tcBorders/>
            <w:vAlign w:val="center"/>
          </w:tcPr>
          <w:p>
            <w:pPr>
              <w:pStyle w:val="TableContents"/>
              <w:bidi w:val="0"/>
              <w:spacing w:before="0" w:after="283"/>
              <w:ind w:left="0" w:right="0" w:hanging="0"/>
              <w:jc w:val="left"/>
              <w:rPr/>
            </w:pPr>
            <w:r>
              <w:rPr/>
            </w:r>
          </w:p>
        </w:tc>
        <w:tc>
          <w:tcPr>
            <w:tcW w:w="23" w:type="dxa"/>
            <w:tcBorders/>
            <w:vAlign w:val="center"/>
          </w:tcPr>
          <w:p>
            <w:pPr>
              <w:pStyle w:val="TableContents"/>
              <w:bidi w:val="0"/>
              <w:spacing w:before="0" w:after="283"/>
              <w:ind w:left="0" w:right="0" w:hanging="0"/>
              <w:jc w:val="left"/>
              <w:rPr/>
            </w:pPr>
            <w:r>
              <w:rPr/>
            </w:r>
          </w:p>
        </w:tc>
        <w:tc>
          <w:tcPr>
            <w:tcW w:w="216" w:type="dxa"/>
            <w:tcBorders/>
            <w:vAlign w:val="center"/>
          </w:tcPr>
          <w:p>
            <w:pPr>
              <w:pStyle w:val="TableContents"/>
              <w:bidi w:val="0"/>
              <w:spacing w:before="0" w:after="283"/>
              <w:ind w:left="0" w:right="0" w:hanging="0"/>
              <w:jc w:val="left"/>
              <w:rPr/>
            </w:pPr>
            <w:r>
              <w:rPr/>
            </w:r>
          </w:p>
        </w:tc>
        <w:tc>
          <w:tcPr>
            <w:tcW w:w="1174" w:type="dxa"/>
            <w:tcBorders/>
            <w:vAlign w:val="center"/>
          </w:tcPr>
          <w:p>
            <w:pPr>
              <w:pStyle w:val="TableContents"/>
              <w:bidi w:val="0"/>
              <w:spacing w:before="0" w:after="0"/>
              <w:ind w:left="0" w:right="0" w:hanging="0"/>
              <w:jc w:val="right"/>
              <w:rPr/>
            </w:pPr>
            <w:r>
              <w:rPr/>
              <w:t>(757</w:t>
            </w:r>
          </w:p>
        </w:tc>
        <w:tc>
          <w:tcPr>
            <w:tcW w:w="147" w:type="dxa"/>
            <w:tcBorders/>
            <w:vAlign w:val="center"/>
          </w:tcPr>
          <w:p>
            <w:pPr>
              <w:pStyle w:val="TableContents"/>
              <w:bidi w:val="0"/>
              <w:spacing w:before="0" w:after="0"/>
              <w:ind w:left="0" w:right="0" w:hanging="0"/>
              <w:jc w:val="left"/>
              <w:rPr/>
            </w:pPr>
            <w:r>
              <w:rPr/>
              <w:t>)</w:t>
            </w:r>
          </w:p>
        </w:tc>
        <w:tc>
          <w:tcPr>
            <w:tcW w:w="35" w:type="dxa"/>
            <w:tcBorders/>
            <w:vAlign w:val="center"/>
          </w:tcPr>
          <w:p>
            <w:pPr>
              <w:pStyle w:val="TableContents"/>
              <w:bidi w:val="0"/>
              <w:spacing w:before="0" w:after="283"/>
              <w:ind w:left="0" w:right="0" w:hanging="0"/>
              <w:jc w:val="left"/>
              <w:rPr/>
            </w:pPr>
            <w:r>
              <w:rPr/>
            </w:r>
          </w:p>
        </w:tc>
        <w:tc>
          <w:tcPr>
            <w:tcW w:w="217" w:type="dxa"/>
            <w:tcBorders/>
            <w:vAlign w:val="center"/>
          </w:tcPr>
          <w:p>
            <w:pPr>
              <w:pStyle w:val="TableContents"/>
              <w:bidi w:val="0"/>
              <w:spacing w:before="0" w:after="283"/>
              <w:ind w:left="0" w:right="0" w:hanging="0"/>
              <w:jc w:val="left"/>
              <w:rPr/>
            </w:pPr>
            <w:r>
              <w:rPr/>
            </w:r>
          </w:p>
        </w:tc>
        <w:tc>
          <w:tcPr>
            <w:tcW w:w="1174" w:type="dxa"/>
            <w:tcBorders/>
            <w:vAlign w:val="center"/>
          </w:tcPr>
          <w:p>
            <w:pPr>
              <w:pStyle w:val="TableContents"/>
              <w:bidi w:val="0"/>
              <w:spacing w:before="0" w:after="0"/>
              <w:ind w:left="0" w:right="0" w:hanging="0"/>
              <w:jc w:val="right"/>
              <w:rPr/>
            </w:pPr>
            <w:r>
              <w:rPr/>
              <w:t>—</w:t>
            </w:r>
          </w:p>
        </w:tc>
        <w:tc>
          <w:tcPr>
            <w:tcW w:w="119" w:type="dxa"/>
            <w:tcBorders/>
            <w:vAlign w:val="center"/>
          </w:tcPr>
          <w:p>
            <w:pPr>
              <w:pStyle w:val="TableContents"/>
              <w:bidi w:val="0"/>
              <w:spacing w:before="0" w:after="283"/>
              <w:jc w:val="left"/>
              <w:rPr/>
            </w:pPr>
            <w:r>
              <w:rPr/>
            </w:r>
          </w:p>
        </w:tc>
      </w:tr>
      <w:tr>
        <w:trPr/>
        <w:tc>
          <w:tcPr>
            <w:tcW w:w="426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Balance, end of period </w:t>
            </w:r>
          </w:p>
        </w:tc>
        <w:tc>
          <w:tcPr>
            <w:tcW w:w="100" w:type="dxa"/>
            <w:tcBorders/>
            <w:shd w:fill="CCEEFF" w:val="clear"/>
            <w:vAlign w:val="center"/>
          </w:tcPr>
          <w:p>
            <w:pPr>
              <w:pStyle w:val="TableContents"/>
              <w:bidi w:val="0"/>
              <w:spacing w:before="0" w:after="0"/>
              <w:ind w:left="0" w:right="0" w:hanging="0"/>
              <w:jc w:val="left"/>
              <w:rPr/>
            </w:pPr>
            <w:r>
              <w:rPr/>
              <w:t xml:space="preserve">  </w:t>
            </w:r>
          </w:p>
        </w:tc>
        <w:tc>
          <w:tcPr>
            <w:tcW w:w="22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023"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(31,958</w:t>
            </w:r>
          </w:p>
        </w:tc>
        <w:tc>
          <w:tcPr>
            <w:tcW w:w="153" w:type="dxa"/>
            <w:tcBorders/>
            <w:shd w:fill="CCEEFF" w:val="clear"/>
            <w:vAlign w:val="bottom"/>
          </w:tcPr>
          <w:p>
            <w:pPr>
              <w:pStyle w:val="TableContents"/>
              <w:bidi w:val="0"/>
              <w:spacing w:before="0" w:after="0"/>
              <w:ind w:left="0" w:right="0" w:hanging="0"/>
              <w:jc w:val="left"/>
              <w:rPr/>
            </w:pPr>
            <w:r>
              <w:rPr/>
              <w:t>)</w:t>
            </w:r>
          </w:p>
        </w:tc>
        <w:tc>
          <w:tcPr>
            <w:tcW w:w="142" w:type="dxa"/>
            <w:tcBorders/>
            <w:shd w:fill="CCEEFF" w:val="clear"/>
            <w:vAlign w:val="bottom"/>
          </w:tcPr>
          <w:p>
            <w:pPr>
              <w:pStyle w:val="TableContents"/>
              <w:pBdr/>
              <w:bidi w:val="0"/>
              <w:spacing w:before="0" w:after="0"/>
              <w:ind w:left="0" w:right="0" w:hanging="0"/>
              <w:jc w:val="left"/>
              <w:rPr/>
            </w:pPr>
            <w:r>
              <w:rPr/>
              <w:t xml:space="preserve">  </w:t>
            </w:r>
          </w:p>
        </w:tc>
        <w:tc>
          <w:tcPr>
            <w:tcW w:w="220"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860"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(7,856 </w:t>
            </w:r>
          </w:p>
        </w:tc>
        <w:tc>
          <w:tcPr>
            <w:tcW w:w="115"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23" w:type="dxa"/>
            <w:tcBorders/>
            <w:shd w:fill="CCEEFF" w:val="clear"/>
            <w:vAlign w:val="center"/>
          </w:tcPr>
          <w:p>
            <w:pPr>
              <w:pStyle w:val="TableContents"/>
              <w:bidi w:val="0"/>
              <w:spacing w:before="0" w:after="283"/>
              <w:ind w:left="0" w:right="0" w:hanging="0"/>
              <w:jc w:val="left"/>
              <w:rPr/>
            </w:pPr>
            <w:r>
              <w:rPr/>
            </w:r>
          </w:p>
        </w:tc>
        <w:tc>
          <w:tcPr>
            <w:tcW w:w="216" w:type="dxa"/>
            <w:tcBorders/>
            <w:shd w:fill="CCEEFF" w:val="clear"/>
            <w:vAlign w:val="center"/>
          </w:tcPr>
          <w:p>
            <w:pPr>
              <w:pStyle w:val="TableContents"/>
              <w:widowControl/>
              <w:bidi w:val="0"/>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174" w:type="dxa"/>
            <w:tcBorders/>
            <w:shd w:fill="CCEEFF" w:val="clear"/>
            <w:vAlign w:val="bottom"/>
          </w:tcPr>
          <w:p>
            <w:pPr>
              <w:pStyle w:val="TableContents"/>
              <w:bidi w:val="0"/>
              <w:spacing w:before="0" w:after="0"/>
              <w:ind w:left="0" w:right="0" w:hanging="0"/>
              <w:jc w:val="right"/>
              <w:rPr/>
            </w:pPr>
            <w:r>
              <w:rPr/>
              <w:t>(31,958</w:t>
            </w:r>
          </w:p>
        </w:tc>
        <w:tc>
          <w:tcPr>
            <w:tcW w:w="147" w:type="dxa"/>
            <w:tcBorders/>
            <w:shd w:fill="CCEEFF" w:val="clear"/>
            <w:vAlign w:val="bottom"/>
          </w:tcPr>
          <w:p>
            <w:pPr>
              <w:pStyle w:val="TableContents"/>
              <w:bidi w:val="0"/>
              <w:spacing w:before="0" w:after="0"/>
              <w:ind w:left="0" w:right="0" w:hanging="0"/>
              <w:jc w:val="left"/>
              <w:rPr/>
            </w:pPr>
            <w:r>
              <w:rPr/>
              <w:t>)</w:t>
            </w:r>
          </w:p>
        </w:tc>
        <w:tc>
          <w:tcPr>
            <w:tcW w:w="35" w:type="dxa"/>
            <w:tcBorders/>
            <w:shd w:fill="CCEEFF" w:val="clear"/>
            <w:vAlign w:val="center"/>
          </w:tcPr>
          <w:p>
            <w:pPr>
              <w:pStyle w:val="TableContents"/>
              <w:bidi w:val="0"/>
              <w:spacing w:before="0" w:after="283"/>
              <w:ind w:left="0" w:right="0" w:hanging="0"/>
              <w:jc w:val="left"/>
              <w:rPr/>
            </w:pPr>
            <w:r>
              <w:rPr/>
            </w:r>
          </w:p>
        </w:tc>
        <w:tc>
          <w:tcPr>
            <w:tcW w:w="217" w:type="dxa"/>
            <w:tcBorders/>
            <w:shd w:fill="CCEEFF" w:val="clear"/>
            <w:vAlign w:val="center"/>
          </w:tcPr>
          <w:p>
            <w:pPr>
              <w:pStyle w:val="TableContents"/>
              <w:widowControl/>
              <w:bidi w:val="0"/>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174" w:type="dxa"/>
            <w:tcBorders/>
            <w:shd w:fill="CCEEFF" w:val="clear"/>
            <w:vAlign w:val="center"/>
          </w:tcPr>
          <w:p>
            <w:pPr>
              <w:pStyle w:val="TableContents"/>
              <w:bidi w:val="0"/>
              <w:spacing w:before="0" w:after="0"/>
              <w:ind w:left="0" w:right="0" w:hanging="0"/>
              <w:jc w:val="right"/>
              <w:rPr/>
            </w:pPr>
            <w:r>
              <w:rPr/>
              <w:t>(7,856</w:t>
            </w:r>
          </w:p>
        </w:tc>
        <w:tc>
          <w:tcPr>
            <w:tcW w:w="119" w:type="dxa"/>
            <w:tcBorders/>
            <w:shd w:fill="CCEEFF" w:val="clear"/>
            <w:vAlign w:val="center"/>
          </w:tcPr>
          <w:p>
            <w:pPr>
              <w:pStyle w:val="TableContents"/>
              <w:bidi w:val="0"/>
              <w:spacing w:before="0" w:after="0"/>
              <w:jc w:val="left"/>
              <w:rPr/>
            </w:pPr>
            <w:r>
              <w:rPr/>
              <w:t>)</w:t>
            </w:r>
          </w:p>
        </w:tc>
      </w:tr>
      <w:tr>
        <w:trPr/>
        <w:tc>
          <w:tcPr>
            <w:tcW w:w="4267" w:type="dxa"/>
            <w:tcBorders/>
            <w:vAlign w:val="center"/>
          </w:tcPr>
          <w:p>
            <w:pPr>
              <w:pStyle w:val="TableContents"/>
              <w:bidi w:val="0"/>
              <w:spacing w:before="0" w:after="0"/>
              <w:ind w:left="0" w:right="0" w:hanging="0"/>
              <w:jc w:val="left"/>
              <w:rPr/>
            </w:pPr>
            <w:r>
              <w:rPr/>
              <w:t xml:space="preserve">  </w:t>
            </w:r>
          </w:p>
        </w:tc>
        <w:tc>
          <w:tcPr>
            <w:tcW w:w="100" w:type="dxa"/>
            <w:tcBorders/>
            <w:vAlign w:val="center"/>
          </w:tcPr>
          <w:p>
            <w:pPr>
              <w:pStyle w:val="TableContents"/>
              <w:bidi w:val="0"/>
              <w:spacing w:before="0" w:after="0"/>
              <w:ind w:left="0" w:right="0" w:hanging="0"/>
              <w:jc w:val="left"/>
              <w:rPr/>
            </w:pPr>
            <w:r>
              <w:rPr/>
              <w:t xml:space="preserve">  </w:t>
            </w:r>
          </w:p>
        </w:tc>
        <w:tc>
          <w:tcPr>
            <w:tcW w:w="220" w:type="dxa"/>
            <w:tcBorders/>
            <w:vAlign w:val="center"/>
          </w:tcPr>
          <w:p>
            <w:pPr>
              <w:pStyle w:val="TableContents"/>
              <w:bidi w:val="0"/>
              <w:spacing w:before="0" w:after="0"/>
              <w:ind w:left="0" w:right="0" w:hanging="0"/>
              <w:jc w:val="left"/>
              <w:rPr/>
            </w:pPr>
            <w:r>
              <w:rPr/>
              <w:t xml:space="preserve">  </w:t>
            </w:r>
          </w:p>
        </w:tc>
        <w:tc>
          <w:tcPr>
            <w:tcW w:w="1023" w:type="dxa"/>
            <w:tcBorders/>
            <w:vAlign w:val="bottom"/>
          </w:tcPr>
          <w:p>
            <w:pPr>
              <w:pStyle w:val="TableContents"/>
              <w:pBdr/>
              <w:bidi w:val="0"/>
              <w:spacing w:before="0" w:after="0"/>
              <w:ind w:left="0" w:right="0" w:hanging="0"/>
              <w:jc w:val="right"/>
              <w:rPr/>
            </w:pPr>
            <w:r>
              <w:rPr/>
              <w:t xml:space="preserve">  </w:t>
            </w:r>
          </w:p>
        </w:tc>
        <w:tc>
          <w:tcPr>
            <w:tcW w:w="153" w:type="dxa"/>
            <w:tcBorders/>
            <w:vAlign w:val="bottom"/>
          </w:tcPr>
          <w:p>
            <w:pPr>
              <w:pStyle w:val="TableContents"/>
              <w:pBdr/>
              <w:bidi w:val="0"/>
              <w:spacing w:before="0" w:after="0"/>
              <w:ind w:left="0" w:right="0" w:hanging="0"/>
              <w:jc w:val="left"/>
              <w:rPr/>
            </w:pPr>
            <w:r>
              <w:rPr/>
              <w:t xml:space="preserve">  </w:t>
            </w:r>
          </w:p>
        </w:tc>
        <w:tc>
          <w:tcPr>
            <w:tcW w:w="142" w:type="dxa"/>
            <w:tcBorders/>
            <w:vAlign w:val="bottom"/>
          </w:tcPr>
          <w:p>
            <w:pPr>
              <w:pStyle w:val="TableContents"/>
              <w:pBdr/>
              <w:bidi w:val="0"/>
              <w:spacing w:before="0" w:after="0"/>
              <w:ind w:left="0" w:right="0" w:hanging="0"/>
              <w:jc w:val="left"/>
              <w:rPr/>
            </w:pPr>
            <w:r>
              <w:rPr/>
              <w:t xml:space="preserve">  </w:t>
            </w:r>
          </w:p>
        </w:tc>
        <w:tc>
          <w:tcPr>
            <w:tcW w:w="220" w:type="dxa"/>
            <w:tcBorders/>
            <w:vAlign w:val="bottom"/>
          </w:tcPr>
          <w:p>
            <w:pPr>
              <w:pStyle w:val="TableContents"/>
              <w:pBdr/>
              <w:bidi w:val="0"/>
              <w:spacing w:before="0" w:after="0"/>
              <w:ind w:left="0" w:right="0" w:hanging="0"/>
              <w:jc w:val="left"/>
              <w:rPr/>
            </w:pPr>
            <w:r>
              <w:rPr/>
              <w:t xml:space="preserve">  </w:t>
            </w:r>
          </w:p>
        </w:tc>
        <w:tc>
          <w:tcPr>
            <w:tcW w:w="860" w:type="dxa"/>
            <w:tcBorders/>
            <w:vAlign w:val="bottom"/>
          </w:tcPr>
          <w:p>
            <w:pPr>
              <w:pStyle w:val="TableContents"/>
              <w:pBdr/>
              <w:bidi w:val="0"/>
              <w:spacing w:before="0" w:after="0"/>
              <w:ind w:left="0" w:right="0" w:hanging="0"/>
              <w:jc w:val="right"/>
              <w:rPr/>
            </w:pPr>
            <w:r>
              <w:rPr/>
              <w:t xml:space="preserve">  </w:t>
            </w:r>
          </w:p>
        </w:tc>
        <w:tc>
          <w:tcPr>
            <w:tcW w:w="115" w:type="dxa"/>
            <w:tcBorders/>
            <w:vAlign w:val="bottom"/>
          </w:tcPr>
          <w:p>
            <w:pPr>
              <w:pStyle w:val="TableContents"/>
              <w:pBdr/>
              <w:bidi w:val="0"/>
              <w:spacing w:before="0" w:after="0"/>
              <w:ind w:left="0" w:right="0" w:hanging="0"/>
              <w:jc w:val="left"/>
              <w:rPr/>
            </w:pPr>
            <w:r>
              <w:rPr/>
              <w:t xml:space="preserve">  </w:t>
            </w:r>
          </w:p>
        </w:tc>
        <w:tc>
          <w:tcPr>
            <w:tcW w:w="23" w:type="dxa"/>
            <w:tcBorders/>
            <w:vAlign w:val="center"/>
          </w:tcPr>
          <w:p>
            <w:pPr>
              <w:pStyle w:val="TableContents"/>
              <w:bidi w:val="0"/>
              <w:spacing w:before="0" w:after="283"/>
              <w:ind w:left="0" w:right="0" w:hanging="0"/>
              <w:jc w:val="left"/>
              <w:rPr/>
            </w:pPr>
            <w:r>
              <w:rPr/>
            </w:r>
          </w:p>
        </w:tc>
        <w:tc>
          <w:tcPr>
            <w:tcW w:w="216" w:type="dxa"/>
            <w:tcBorders/>
            <w:vAlign w:val="center"/>
          </w:tcPr>
          <w:p>
            <w:pPr>
              <w:pStyle w:val="TableContents"/>
              <w:bidi w:val="0"/>
              <w:spacing w:before="0" w:after="283"/>
              <w:ind w:left="0" w:right="0" w:hanging="0"/>
              <w:jc w:val="left"/>
              <w:rPr/>
            </w:pPr>
            <w:r>
              <w:rPr/>
            </w:r>
          </w:p>
        </w:tc>
        <w:tc>
          <w:tcPr>
            <w:tcW w:w="1174" w:type="dxa"/>
            <w:tcBorders/>
            <w:vAlign w:val="center"/>
          </w:tcPr>
          <w:p>
            <w:pPr>
              <w:pStyle w:val="TableContents"/>
              <w:bidi w:val="0"/>
              <w:spacing w:before="0" w:after="283"/>
              <w:ind w:left="0" w:right="0" w:hanging="0"/>
              <w:jc w:val="left"/>
              <w:rPr/>
            </w:pPr>
            <w:r>
              <w:rPr/>
            </w:r>
          </w:p>
        </w:tc>
        <w:tc>
          <w:tcPr>
            <w:tcW w:w="147" w:type="dxa"/>
            <w:tcBorders/>
            <w:vAlign w:val="center"/>
          </w:tcPr>
          <w:p>
            <w:pPr>
              <w:pStyle w:val="TableContents"/>
              <w:bidi w:val="0"/>
              <w:spacing w:before="0" w:after="283"/>
              <w:ind w:left="0" w:right="0" w:hanging="0"/>
              <w:jc w:val="left"/>
              <w:rPr/>
            </w:pPr>
            <w:r>
              <w:rPr/>
            </w:r>
          </w:p>
        </w:tc>
        <w:tc>
          <w:tcPr>
            <w:tcW w:w="35" w:type="dxa"/>
            <w:tcBorders/>
            <w:vAlign w:val="center"/>
          </w:tcPr>
          <w:p>
            <w:pPr>
              <w:pStyle w:val="TableContents"/>
              <w:bidi w:val="0"/>
              <w:spacing w:before="0" w:after="283"/>
              <w:ind w:left="0" w:right="0" w:hanging="0"/>
              <w:jc w:val="left"/>
              <w:rPr/>
            </w:pPr>
            <w:r>
              <w:rPr/>
            </w:r>
          </w:p>
        </w:tc>
        <w:tc>
          <w:tcPr>
            <w:tcW w:w="217" w:type="dxa"/>
            <w:tcBorders/>
            <w:vAlign w:val="center"/>
          </w:tcPr>
          <w:p>
            <w:pPr>
              <w:pStyle w:val="TableContents"/>
              <w:bidi w:val="0"/>
              <w:spacing w:before="0" w:after="283"/>
              <w:ind w:left="0" w:right="0" w:hanging="0"/>
              <w:jc w:val="left"/>
              <w:rPr/>
            </w:pPr>
            <w:r>
              <w:rPr/>
            </w:r>
          </w:p>
        </w:tc>
        <w:tc>
          <w:tcPr>
            <w:tcW w:w="1174" w:type="dxa"/>
            <w:tcBorders/>
            <w:vAlign w:val="center"/>
          </w:tcPr>
          <w:p>
            <w:pPr>
              <w:pStyle w:val="TableContents"/>
              <w:bidi w:val="0"/>
              <w:spacing w:before="0" w:after="283"/>
              <w:ind w:left="0" w:right="0" w:hanging="0"/>
              <w:jc w:val="left"/>
              <w:rPr/>
            </w:pPr>
            <w:r>
              <w:rPr/>
            </w:r>
          </w:p>
        </w:tc>
        <w:tc>
          <w:tcPr>
            <w:tcW w:w="119" w:type="dxa"/>
            <w:tcBorders/>
            <w:vAlign w:val="center"/>
          </w:tcPr>
          <w:p>
            <w:pPr>
              <w:pStyle w:val="TableContents"/>
              <w:bidi w:val="0"/>
              <w:spacing w:before="0" w:after="283"/>
              <w:jc w:val="left"/>
              <w:rPr/>
            </w:pPr>
            <w:r>
              <w:rPr/>
            </w:r>
          </w:p>
        </w:tc>
      </w:tr>
      <w:tr>
        <w:trPr/>
        <w:tc>
          <w:tcPr>
            <w:tcW w:w="426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Total shareholders' equity </w:t>
            </w:r>
          </w:p>
        </w:tc>
        <w:tc>
          <w:tcPr>
            <w:tcW w:w="100" w:type="dxa"/>
            <w:tcBorders/>
            <w:shd w:fill="CCEEFF" w:val="clear"/>
            <w:vAlign w:val="center"/>
          </w:tcPr>
          <w:p>
            <w:pPr>
              <w:pStyle w:val="TableContents"/>
              <w:bidi w:val="0"/>
              <w:spacing w:before="0" w:after="0"/>
              <w:ind w:left="0" w:right="0" w:hanging="0"/>
              <w:jc w:val="left"/>
              <w:rPr/>
            </w:pPr>
            <w:r>
              <w:rPr/>
              <w:t xml:space="preserve">  </w:t>
            </w:r>
          </w:p>
        </w:tc>
        <w:tc>
          <w:tcPr>
            <w:tcW w:w="22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023"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3,461</w:t>
            </w:r>
          </w:p>
        </w:tc>
        <w:tc>
          <w:tcPr>
            <w:tcW w:w="153" w:type="dxa"/>
            <w:tcBorders/>
            <w:shd w:fill="CCEEFF" w:val="clear"/>
            <w:vAlign w:val="bottom"/>
          </w:tcPr>
          <w:p>
            <w:pPr>
              <w:pStyle w:val="TableContents"/>
              <w:pBdr/>
              <w:bidi w:val="0"/>
              <w:spacing w:before="0" w:after="0"/>
              <w:ind w:left="0" w:right="0" w:hanging="0"/>
              <w:jc w:val="left"/>
              <w:rPr/>
            </w:pPr>
            <w:r>
              <w:rPr/>
              <w:t xml:space="preserve">  </w:t>
            </w:r>
          </w:p>
        </w:tc>
        <w:tc>
          <w:tcPr>
            <w:tcW w:w="142" w:type="dxa"/>
            <w:tcBorders/>
            <w:shd w:fill="CCEEFF" w:val="clear"/>
            <w:vAlign w:val="bottom"/>
          </w:tcPr>
          <w:p>
            <w:pPr>
              <w:pStyle w:val="TableContents"/>
              <w:pBdr/>
              <w:bidi w:val="0"/>
              <w:spacing w:before="0" w:after="0"/>
              <w:ind w:left="0" w:right="0" w:hanging="0"/>
              <w:jc w:val="left"/>
              <w:rPr/>
            </w:pPr>
            <w:r>
              <w:rPr/>
              <w:t xml:space="preserve">  </w:t>
            </w:r>
          </w:p>
        </w:tc>
        <w:tc>
          <w:tcPr>
            <w:tcW w:w="220"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860"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23,501</w:t>
            </w:r>
          </w:p>
        </w:tc>
        <w:tc>
          <w:tcPr>
            <w:tcW w:w="115" w:type="dxa"/>
            <w:tcBorders/>
            <w:shd w:fill="CCEEFF" w:val="clear"/>
            <w:vAlign w:val="bottom"/>
          </w:tcPr>
          <w:p>
            <w:pPr>
              <w:pStyle w:val="TableContents"/>
              <w:pBdr/>
              <w:bidi w:val="0"/>
              <w:spacing w:before="0" w:after="0"/>
              <w:ind w:left="0" w:right="0" w:hanging="0"/>
              <w:jc w:val="left"/>
              <w:rPr/>
            </w:pPr>
            <w:r>
              <w:rPr/>
              <w:t xml:space="preserve">  </w:t>
            </w:r>
          </w:p>
        </w:tc>
        <w:tc>
          <w:tcPr>
            <w:tcW w:w="23" w:type="dxa"/>
            <w:tcBorders/>
            <w:shd w:fill="CCEEFF" w:val="clear"/>
            <w:vAlign w:val="center"/>
          </w:tcPr>
          <w:p>
            <w:pPr>
              <w:pStyle w:val="TableContents"/>
              <w:bidi w:val="0"/>
              <w:spacing w:before="0" w:after="283"/>
              <w:ind w:left="0" w:right="0" w:hanging="0"/>
              <w:jc w:val="left"/>
              <w:rPr/>
            </w:pPr>
            <w:r>
              <w:rPr/>
            </w:r>
          </w:p>
        </w:tc>
        <w:tc>
          <w:tcPr>
            <w:tcW w:w="216" w:type="dxa"/>
            <w:tcBorders>
              <w:bottom w:val="double" w:sz="7" w:space="0" w:color="000000"/>
            </w:tcBorders>
            <w:shd w:fill="CCEEFF" w:val="clear"/>
            <w:tcMar>
              <w:bottom w:w="28" w:type="dxa"/>
            </w:tcMar>
            <w:vAlign w:val="center"/>
          </w:tcPr>
          <w:p>
            <w:pPr>
              <w:pStyle w:val="TableContents"/>
              <w:widowControl/>
              <w:bidi w:val="0"/>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174" w:type="dxa"/>
            <w:tcBorders>
              <w:bottom w:val="double" w:sz="7" w:space="0" w:color="000000"/>
            </w:tcBorders>
            <w:shd w:fill="CCEEFF" w:val="clear"/>
            <w:tcMar>
              <w:bottom w:w="28" w:type="dxa"/>
            </w:tcMar>
            <w:vAlign w:val="center"/>
          </w:tcPr>
          <w:p>
            <w:pPr>
              <w:pStyle w:val="TableContents"/>
              <w:bidi w:val="0"/>
              <w:spacing w:before="0" w:after="0"/>
              <w:ind w:left="0" w:right="0" w:hanging="0"/>
              <w:jc w:val="right"/>
              <w:rPr/>
            </w:pPr>
            <w:r>
              <w:rPr/>
              <w:t>3,461</w:t>
            </w:r>
          </w:p>
        </w:tc>
        <w:tc>
          <w:tcPr>
            <w:tcW w:w="147" w:type="dxa"/>
            <w:tcBorders/>
            <w:shd w:fill="CCEEFF" w:val="clear"/>
            <w:vAlign w:val="center"/>
          </w:tcPr>
          <w:p>
            <w:pPr>
              <w:pStyle w:val="TableContents"/>
              <w:bidi w:val="0"/>
              <w:spacing w:before="0" w:after="283"/>
              <w:ind w:left="0" w:right="0" w:hanging="0"/>
              <w:jc w:val="left"/>
              <w:rPr/>
            </w:pPr>
            <w:r>
              <w:rPr/>
            </w:r>
          </w:p>
        </w:tc>
        <w:tc>
          <w:tcPr>
            <w:tcW w:w="35" w:type="dxa"/>
            <w:tcBorders/>
            <w:shd w:fill="CCEEFF" w:val="clear"/>
            <w:vAlign w:val="center"/>
          </w:tcPr>
          <w:p>
            <w:pPr>
              <w:pStyle w:val="TableContents"/>
              <w:bidi w:val="0"/>
              <w:spacing w:before="0" w:after="283"/>
              <w:ind w:left="0" w:right="0" w:hanging="0"/>
              <w:jc w:val="left"/>
              <w:rPr/>
            </w:pPr>
            <w:r>
              <w:rPr/>
            </w:r>
          </w:p>
        </w:tc>
        <w:tc>
          <w:tcPr>
            <w:tcW w:w="217" w:type="dxa"/>
            <w:tcBorders>
              <w:bottom w:val="double" w:sz="7" w:space="0" w:color="000000"/>
            </w:tcBorders>
            <w:shd w:fill="CCEEFF" w:val="clear"/>
            <w:tcMar>
              <w:bottom w:w="28" w:type="dxa"/>
            </w:tcMar>
            <w:vAlign w:val="center"/>
          </w:tcPr>
          <w:p>
            <w:pPr>
              <w:pStyle w:val="TableContents"/>
              <w:widowControl/>
              <w:bidi w:val="0"/>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174" w:type="dxa"/>
            <w:tcBorders>
              <w:bottom w:val="double" w:sz="7" w:space="0" w:color="000000"/>
            </w:tcBorders>
            <w:shd w:fill="CCEEFF" w:val="clear"/>
            <w:tcMar>
              <w:bottom w:w="28" w:type="dxa"/>
            </w:tcMar>
            <w:vAlign w:val="center"/>
          </w:tcPr>
          <w:p>
            <w:pPr>
              <w:pStyle w:val="TableContents"/>
              <w:bidi w:val="0"/>
              <w:spacing w:before="0" w:after="0"/>
              <w:ind w:left="0" w:right="0" w:hanging="0"/>
              <w:jc w:val="right"/>
              <w:rPr/>
            </w:pPr>
            <w:r>
              <w:rPr/>
              <w:t>23,501</w:t>
            </w:r>
          </w:p>
        </w:tc>
        <w:tc>
          <w:tcPr>
            <w:tcW w:w="119" w:type="dxa"/>
            <w:tcBorders/>
            <w:shd w:fill="CCEEFF" w:val="clear"/>
            <w:vAlign w:val="center"/>
          </w:tcPr>
          <w:p>
            <w:pPr>
              <w:pStyle w:val="TableContents"/>
              <w:bidi w:val="0"/>
              <w:spacing w:before="0" w:after="283"/>
              <w:jc w:val="left"/>
              <w:rPr/>
            </w:pPr>
            <w:r>
              <w:rPr/>
            </w:r>
          </w:p>
        </w:tc>
      </w:tr>
    </w:tbl>
    <w:p>
      <w:pPr>
        <w:pStyle w:val="TextBody"/>
        <w:bidi w:val="0"/>
        <w:spacing w:lineRule="auto" w:line="288" w:before="0" w:after="0"/>
        <w:ind w:left="0" w:right="0" w:hanging="0"/>
        <w:jc w:val="both"/>
        <w:rPr/>
      </w:pPr>
      <w:r>
        <w:rPr/>
        <w:t> </w:t>
      </w:r>
    </w:p>
    <w:p>
      <w:pPr>
        <w:pStyle w:val="TextBody"/>
        <w:widowControl/>
        <w:bidi w:val="0"/>
        <w:spacing w:lineRule="auto" w:line="288" w:before="0" w:after="0"/>
        <w:ind w:left="0" w:right="0" w:hanging="0"/>
        <w:jc w:val="both"/>
        <w:rPr>
          <w:rFonts w:ascii="Times New Roman;serif" w:hAnsi="Times New Roman;serif"/>
          <w:b/>
          <w:i/>
          <w:color w:val="000000"/>
          <w:spacing w:val="0"/>
          <w:sz w:val="20"/>
        </w:rPr>
      </w:pPr>
      <w:r>
        <w:rPr>
          <w:rFonts w:ascii="Times New Roman;serif" w:hAnsi="Times New Roman;serif"/>
          <w:b/>
          <w:i/>
          <w:color w:val="000000"/>
          <w:spacing w:val="0"/>
          <w:sz w:val="20"/>
        </w:rPr>
        <w:t>Issue of Common Stock</w:t>
      </w:r>
    </w:p>
    <w:p>
      <w:pPr>
        <w:pStyle w:val="TextBody"/>
        <w:bidi w:val="0"/>
        <w:spacing w:lineRule="auto" w:line="288" w:before="0" w:after="0"/>
        <w:ind w:left="0" w:right="0" w:hanging="0"/>
        <w:jc w:val="both"/>
        <w:rPr/>
      </w:pPr>
      <w:r>
        <w:rPr/>
      </w:r>
    </w:p>
    <w:p>
      <w:pPr>
        <w:pStyle w:val="TextBody"/>
        <w:widowControl/>
        <w:bidi w:val="0"/>
        <w:spacing w:lineRule="auto" w:line="288" w:before="0" w:after="0"/>
        <w:ind w:left="0" w:right="0" w:hanging="0"/>
        <w:jc w:val="both"/>
        <w:rPr>
          <w:rFonts w:ascii="times new roman;times" w:hAnsi="times new roman;times"/>
          <w:b w:val="false"/>
          <w:color w:val="000000"/>
          <w:spacing w:val="0"/>
          <w:sz w:val="20"/>
        </w:rPr>
      </w:pPr>
      <w:r>
        <w:rPr>
          <w:rFonts w:ascii="times new roman;times" w:hAnsi="times new roman;times"/>
          <w:b w:val="false"/>
          <w:color w:val="000000"/>
          <w:spacing w:val="0"/>
          <w:sz w:val="20"/>
        </w:rPr>
        <w:t>On February 26, 2025 the Company entered into a securities purchase agreement with Edward D. Bagley, pursuant to which the Company agreed to issue and sell, in a private placement at-the-market offering of 133,334 shares of the Company’s common stock, par value $0.001 per share, at a purchase price of $7.50 per share of Common Stock. The Company received $1,000 in cash in connection with the sale. Mr. Bagley is an affiliate of the Company and the Company’s single largest stockholder.</w:t>
      </w:r>
    </w:p>
    <w:p>
      <w:pPr>
        <w:pStyle w:val="TextBody"/>
        <w:bidi w:val="0"/>
        <w:spacing w:lineRule="auto" w:line="288" w:before="0" w:after="0"/>
        <w:ind w:left="0" w:right="0" w:hanging="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bookmarkStart w:id="266" w:name="PageBreakNo17"/>
            <w:bookmarkEnd w:id="266"/>
            <w:r>
              <w:rPr>
                <w:sz w:val="20"/>
              </w:rPr>
              <w:t>17</w:t>
            </w:r>
          </w:p>
        </w:tc>
      </w:tr>
    </w:tbl>
    <w:p>
      <w:pPr>
        <w:pStyle w:val="TextBody"/>
        <w:bidi w:val="0"/>
        <w:jc w:val="both"/>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jc w:val="both"/>
        <w:rPr/>
      </w:pPr>
      <w:r>
        <w:rPr/>
      </w:r>
    </w:p>
    <w:p>
      <w:pPr>
        <w:pStyle w:val="TextBody"/>
        <w:bidi w:val="0"/>
        <w:jc w:val="left"/>
        <w:rPr/>
      </w:pPr>
      <w:hyperlink w:anchor="TOC">
        <w:r>
          <w:rPr>
            <w:rStyle w:val="InternetLink"/>
            <w:sz w:val="20"/>
          </w:rPr>
          <w:t>Table of Contents</w:t>
        </w:r>
      </w:hyperlink>
    </w:p>
    <w:p>
      <w:pPr>
        <w:pStyle w:val="TextBody"/>
        <w:bidi w:val="0"/>
        <w:spacing w:lineRule="auto" w:line="288" w:before="0" w:after="0"/>
        <w:ind w:left="0" w:right="0" w:hanging="0"/>
        <w:jc w:val="both"/>
        <w:rPr/>
      </w:pPr>
      <w:r>
        <w:rPr/>
        <w:t> </w:t>
      </w:r>
    </w:p>
    <w:p>
      <w:pPr>
        <w:pStyle w:val="TextBody"/>
        <w:bidi w:val="0"/>
        <w:spacing w:lineRule="auto" w:line="288" w:before="0" w:after="0"/>
        <w:ind w:left="144" w:right="144" w:hanging="0"/>
        <w:jc w:val="center"/>
        <w:rPr>
          <w:rFonts w:ascii="Times New Roman" w:hAnsi="Times New Roman"/>
          <w:b/>
          <w:sz w:val="20"/>
        </w:rPr>
      </w:pPr>
      <w:r>
        <w:rPr>
          <w:rFonts w:ascii="Times New Roman" w:hAnsi="Times New Roman"/>
          <w:b/>
          <w:sz w:val="20"/>
        </w:rPr>
        <w:t>UNAUDITED NOTES TO CONDENSED CONSOLIDATED FINANCIAL STATEMENTS</w:t>
      </w:r>
    </w:p>
    <w:p>
      <w:pPr>
        <w:pStyle w:val="TextBody"/>
        <w:bidi w:val="0"/>
        <w:spacing w:lineRule="auto" w:line="288" w:before="0" w:after="0"/>
        <w:ind w:left="144" w:right="144" w:hanging="0"/>
        <w:jc w:val="center"/>
        <w:rPr>
          <w:rFonts w:ascii="Times New Roman" w:hAnsi="Times New Roman"/>
          <w:sz w:val="20"/>
        </w:rPr>
      </w:pPr>
      <w:r>
        <w:rPr>
          <w:rFonts w:ascii="Times New Roman" w:hAnsi="Times New Roman"/>
          <w:sz w:val="20"/>
        </w:rPr>
        <w:t>(Dollars in thousands, except per share amounts)</w:t>
      </w:r>
    </w:p>
    <w:p>
      <w:pPr>
        <w:pStyle w:val="TextBody"/>
        <w:bidi w:val="0"/>
        <w:spacing w:lineRule="auto" w:line="288" w:before="0" w:after="0"/>
        <w:ind w:left="0" w:right="0" w:hanging="0"/>
        <w:jc w:val="both"/>
        <w:rPr/>
      </w:pPr>
      <w:r>
        <w:rPr/>
      </w:r>
    </w:p>
    <w:p>
      <w:pPr>
        <w:pStyle w:val="TextBody"/>
        <w:widowControl/>
        <w:bidi w:val="0"/>
        <w:spacing w:lineRule="auto" w:line="288" w:before="0" w:after="0"/>
        <w:ind w:left="0" w:right="0" w:hanging="0"/>
        <w:jc w:val="both"/>
        <w:rPr>
          <w:rFonts w:ascii="times new roman;times" w:hAnsi="times new roman;times"/>
          <w:b w:val="false"/>
          <w:color w:val="000000"/>
          <w:spacing w:val="0"/>
          <w:sz w:val="20"/>
        </w:rPr>
      </w:pPr>
      <w:r>
        <w:rPr>
          <w:rFonts w:ascii="times new roman;times" w:hAnsi="times new roman;times"/>
          <w:b/>
          <w:i/>
          <w:color w:val="000000"/>
          <w:spacing w:val="0"/>
          <w:sz w:val="20"/>
        </w:rPr>
        <w:t>Amendments to Certificate of Incorporation and Reverse Stock Split</w:t>
      </w:r>
      <w:r>
        <w:rPr>
          <w:rFonts w:ascii="times new roman;times" w:hAnsi="times new roman;times"/>
          <w:b w:val="false"/>
          <w:color w:val="000000"/>
          <w:spacing w:val="0"/>
          <w:sz w:val="20"/>
        </w:rPr>
        <w:t xml:space="preserve"> </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At the special meeting of stockholders held on May 30, 2025, stockholders approved amendments to the Certificate of Incorporation to: (i) increase the authorized number of shares of common stock from 50,000,000 to 150,000,000; (ii) authorize 50,000,000 shares of "blank check" preferred stock; (iii) effect a reverse stock split at a ratio between 1-for-10 and 1-for-15, with the exact ratio to be determined by the Board of Directors; and (iv) eliminate the prohibition on stockholder action by written consent and to allow such actions. Following stockholder approval, on June 4, 2025, the Company filed a Certificate of Amendment to its Certificate of Incorporation to effect these changes, including the selection of a 1-for-15 reverse stock split ratio, which became effective at </w:t>
      </w:r>
      <w:bookmarkStart w:id="267" w:name="fs_RB282SHDS000000000000000000000fs"/>
      <w:bookmarkEnd w:id="267"/>
      <w:r>
        <w:rPr>
          <w:rFonts w:ascii="times new roman;times" w:hAnsi="times new roman;times"/>
          <w:sz w:val="20"/>
        </w:rPr>
        <w:t>5:</w:t>
      </w:r>
      <w:bookmarkStart w:id="268" w:name="fs_SHUFQCR8BK00000000000000000000fs"/>
      <w:bookmarkEnd w:id="268"/>
      <w:r>
        <w:rPr>
          <w:rFonts w:ascii="times new roman;times" w:hAnsi="times new roman;times"/>
          <w:sz w:val="20"/>
        </w:rPr>
        <w:t xml:space="preserve">00 p.m. Eastern Time on June 9, 2025. The common stock began trading on a split-adjusted basis on the Nasdaq Capital Market on June 10, 2025, under the symbol "CLRO" and a new CUSIP number of </w:t>
      </w:r>
      <w:bookmarkStart w:id="269" w:name="fs_3DPTSTN2R400000000000000000000fs"/>
      <w:bookmarkEnd w:id="269"/>
      <w:r>
        <w:rPr>
          <w:rFonts w:ascii="times new roman;times" w:hAnsi="times new roman;times"/>
          <w:sz w:val="20"/>
        </w:rPr>
        <w:t>18506U</w:t>
      </w:r>
      <w:bookmarkStart w:id="270" w:name="fs_U9U4KWIW5S00000000000000000000fs"/>
      <w:bookmarkEnd w:id="270"/>
      <w:r>
        <w:rPr>
          <w:rFonts w:ascii="times new roman;times" w:hAnsi="times new roman;times"/>
          <w:sz w:val="20"/>
        </w:rPr>
        <w:t xml:space="preserve">203. The reverse stock split was primarily intended to increase the per share market price of the common stock in order to regain compliance with the minimum bid price requirement for continued listing on the Nasdaq Capital Market. As a result of the reverse stock split, every 15 shares of issued and outstanding common stock were automatically combined into </w:t>
      </w:r>
      <w:bookmarkStart w:id="271" w:name="fs_J70FJJNNKW00000000000000000000fs"/>
      <w:bookmarkEnd w:id="271"/>
      <w:r>
        <w:rPr>
          <w:rFonts w:ascii="times new roman;times" w:hAnsi="times new roman;times"/>
          <w:sz w:val="20"/>
        </w:rPr>
        <w:t>one share, with no fractional shares issued (any fractional interests were converted to one whole share). The reverse stock split did not change the par value of the common stock but reduced the number of issued and outstanding shares from approximately 26.0 million to approximately 1.7 million, with proportional adjustments to outstanding stock options, warrants, and shares reserved under equity incentive plans. All share and per-share amounts in these condensed consolidated financial statements and related notes have been retroactively adjusted to reflect the reverse stock split for all periods presented.</w:t>
      </w:r>
    </w:p>
    <w:p>
      <w:pPr>
        <w:pStyle w:val="TextBody"/>
        <w:bidi w:val="0"/>
        <w:spacing w:lineRule="auto" w:line="288" w:before="0" w:after="0"/>
        <w:ind w:left="0" w:right="0" w:hanging="0"/>
        <w:jc w:val="both"/>
        <w:rPr/>
      </w:pPr>
      <w:r>
        <w:rPr/>
      </w:r>
    </w:p>
    <w:p>
      <w:pPr>
        <w:pStyle w:val="TextBody"/>
        <w:widowControl/>
        <w:bidi w:val="0"/>
        <w:spacing w:lineRule="auto" w:line="288" w:before="0" w:after="0"/>
        <w:ind w:left="0" w:right="0" w:hanging="0"/>
        <w:jc w:val="both"/>
        <w:rPr>
          <w:rFonts w:ascii="times new roman;times" w:hAnsi="times new roman;times"/>
          <w:b w:val="false"/>
          <w:color w:val="000000"/>
          <w:spacing w:val="0"/>
          <w:sz w:val="20"/>
        </w:rPr>
      </w:pPr>
      <w:r>
        <w:rPr>
          <w:rFonts w:ascii="times new roman;times" w:hAnsi="times new roman;times"/>
          <w:b w:val="false"/>
          <w:color w:val="000000"/>
          <w:spacing w:val="0"/>
          <w:sz w:val="20"/>
        </w:rPr>
        <w:t xml:space="preserve">For additional details, including the Certificate of Amendment, refer to the Company's Current Report on Form 8-K filed with the SEC on June 2, 2025, including the press release attached as Exhibit </w:t>
      </w:r>
      <w:bookmarkStart w:id="272" w:name="fs_HOKXEHGOJK00000000000000000000fs"/>
      <w:bookmarkEnd w:id="272"/>
      <w:r>
        <w:rPr>
          <w:rFonts w:ascii="times new roman;times" w:hAnsi="times new roman;times"/>
          <w:b w:val="false"/>
          <w:color w:val="000000"/>
          <w:spacing w:val="0"/>
          <w:sz w:val="20"/>
        </w:rPr>
        <w:t xml:space="preserve">99.1 and the Certificate of Amendment attached as Exhibit </w:t>
      </w:r>
      <w:bookmarkStart w:id="273" w:name="fs_MI0R9IL9DC00000000000000000000fs"/>
      <w:bookmarkEnd w:id="273"/>
      <w:r>
        <w:rPr>
          <w:rFonts w:ascii="times new roman;times" w:hAnsi="times new roman;times"/>
          <w:b w:val="false"/>
          <w:color w:val="000000"/>
          <w:spacing w:val="0"/>
          <w:sz w:val="20"/>
        </w:rPr>
        <w:t xml:space="preserve">3.1 thereto. </w:t>
      </w:r>
    </w:p>
    <w:p>
      <w:pPr>
        <w:pStyle w:val="TextBody"/>
        <w:bidi w:val="0"/>
        <w:spacing w:lineRule="auto" w:line="288" w:before="0" w:after="0"/>
        <w:ind w:left="0" w:right="0" w:hanging="0"/>
        <w:jc w:val="both"/>
        <w:rPr/>
      </w:pPr>
      <w:r>
        <w:rPr/>
      </w:r>
    </w:p>
    <w:p>
      <w:pPr>
        <w:pStyle w:val="TextBody"/>
        <w:widowControl/>
        <w:bidi w:val="0"/>
        <w:spacing w:lineRule="auto" w:line="288" w:before="0" w:after="0"/>
        <w:ind w:left="0" w:right="0" w:hanging="0"/>
        <w:jc w:val="both"/>
        <w:rPr>
          <w:rFonts w:ascii="times new roman;times" w:hAnsi="times new roman;times"/>
          <w:b w:val="false"/>
          <w:color w:val="000000"/>
          <w:spacing w:val="0"/>
          <w:sz w:val="20"/>
        </w:rPr>
      </w:pPr>
      <w:r>
        <w:rPr>
          <w:rFonts w:ascii="times new roman;times" w:hAnsi="times new roman;times"/>
          <w:b/>
          <w:i/>
          <w:color w:val="000000"/>
          <w:spacing w:val="0"/>
          <w:sz w:val="20"/>
        </w:rPr>
        <w:t>Preferred Stock Designations and Related Matters</w:t>
      </w:r>
      <w:r>
        <w:rPr>
          <w:rFonts w:ascii="times new roman;times" w:hAnsi="times new roman;times"/>
          <w:b w:val="false"/>
          <w:color w:val="000000"/>
          <w:spacing w:val="0"/>
          <w:sz w:val="20"/>
        </w:rPr>
        <w:t xml:space="preserve"> </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On June 24, 2025, the Company filed Certificates of Designation with the State of Delaware authorizing up to 2,069,066 shares of Class A Redeemable Preferred Stock and 5,100 shares of Class B Convertible Preferred Stock. The Class A Redeemable Preferred Stock, which ranks senior to common stock and is redeemable upon an Asset Sale (defined as the sale of all or substantially all of the Company's current assets and operations, which the Company is required to pursue using reasonable best efforts within 180 days of issuance), was issued on July 18, 2025 as a dividend to holders of common stock and common stock equivalents of record as of July 11, 2025. Net proceeds from any Asset Sale will be distributed pro rata to holders of Class A Redeemable Preferred Stock. The Class B Convertible Preferred Stock ranks senior to common stock and other equity (except Class A Redeemable Preferred Stock), with specific rights including dividends, voting (on an as-converted basis), and liquidation preferences.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Additionally, effective June 20, 2025, the Board of Directors was expanded from four to five members, with Eric Boehnke and Youngsun Park (a/k/a Sunny Park), nominees of First Finance Ltd., appointed as directors to serve until the next annual meeting or until their successors are elected and qualified. Neither appointee has any material arrangements or family relationships with the Company requiring disclosure under Item </w:t>
      </w:r>
      <w:bookmarkStart w:id="274" w:name="fs_2V5G9ME8SG00000000000000000000fs"/>
      <w:bookmarkEnd w:id="274"/>
      <w:r>
        <w:rPr>
          <w:rFonts w:ascii="times new roman;times" w:hAnsi="times new roman;times"/>
          <w:sz w:val="20"/>
        </w:rPr>
        <w:t>404(a) of Regulation S-K, and they will receive standard director compensation.</w:t>
      </w:r>
    </w:p>
    <w:p>
      <w:pPr>
        <w:pStyle w:val="TextBody"/>
        <w:bidi w:val="0"/>
        <w:spacing w:lineRule="auto" w:line="288" w:before="0" w:after="0"/>
        <w:ind w:left="0" w:right="0" w:hanging="0"/>
        <w:jc w:val="both"/>
        <w:rPr/>
      </w:pPr>
      <w:r>
        <w:rPr/>
        <w:t> </w:t>
      </w:r>
    </w:p>
    <w:p>
      <w:pPr>
        <w:pStyle w:val="TextBody"/>
        <w:widowControl/>
        <w:bidi w:val="0"/>
        <w:spacing w:lineRule="auto" w:line="288" w:before="0" w:after="0"/>
        <w:ind w:left="0" w:right="0" w:hanging="0"/>
        <w:jc w:val="both"/>
        <w:rPr>
          <w:rFonts w:ascii="times new roman;times" w:hAnsi="times new roman;times"/>
          <w:b w:val="false"/>
          <w:color w:val="000000"/>
          <w:spacing w:val="0"/>
          <w:sz w:val="20"/>
        </w:rPr>
      </w:pPr>
      <w:r>
        <w:rPr>
          <w:rFonts w:ascii="times new roman;times" w:hAnsi="times new roman;times"/>
          <w:b w:val="false"/>
          <w:color w:val="000000"/>
          <w:spacing w:val="0"/>
          <w:sz w:val="20"/>
        </w:rPr>
        <w:t xml:space="preserve">For additional details, refer to the Company's Current Report on Form 8-K filed with the SEC on June 25, 2025, including the Certificates of Designation attached as Exhibits </w:t>
      </w:r>
      <w:bookmarkStart w:id="275" w:name="fs_BW68VDVK0000000000000000000000fs"/>
      <w:bookmarkEnd w:id="275"/>
      <w:r>
        <w:rPr>
          <w:rFonts w:ascii="times new roman;times" w:hAnsi="times new roman;times"/>
          <w:b w:val="false"/>
          <w:color w:val="000000"/>
          <w:spacing w:val="0"/>
          <w:sz w:val="20"/>
        </w:rPr>
        <w:t xml:space="preserve">3.1 and </w:t>
      </w:r>
      <w:bookmarkStart w:id="276" w:name="fs_3SFAJTAZI800000000000000000000fs"/>
      <w:bookmarkEnd w:id="276"/>
      <w:r>
        <w:rPr>
          <w:rFonts w:ascii="times new roman;times" w:hAnsi="times new roman;times"/>
          <w:b w:val="false"/>
          <w:color w:val="000000"/>
          <w:spacing w:val="0"/>
          <w:sz w:val="20"/>
        </w:rPr>
        <w:t xml:space="preserve">3.2, the Note Purchase Agreement attached as Exhibit </w:t>
      </w:r>
      <w:bookmarkStart w:id="277" w:name="fs_XYU6YCKHO000000000000000000000fs"/>
      <w:bookmarkEnd w:id="277"/>
      <w:r>
        <w:rPr>
          <w:rFonts w:ascii="times new roman;times" w:hAnsi="times new roman;times"/>
          <w:b w:val="false"/>
          <w:color w:val="000000"/>
          <w:spacing w:val="0"/>
          <w:sz w:val="20"/>
        </w:rPr>
        <w:t xml:space="preserve">10.1, and the Convertible Note attached as Exhibit </w:t>
      </w:r>
      <w:bookmarkStart w:id="278" w:name="fs_CHZCQ3JWZK00000000000000000000fs"/>
      <w:bookmarkEnd w:id="278"/>
      <w:r>
        <w:rPr>
          <w:rFonts w:ascii="times new roman;times" w:hAnsi="times new roman;times"/>
          <w:b w:val="false"/>
          <w:color w:val="000000"/>
          <w:spacing w:val="0"/>
          <w:sz w:val="20"/>
        </w:rPr>
        <w:t xml:space="preserve">10.2 thereto. </w:t>
      </w:r>
    </w:p>
    <w:p>
      <w:pPr>
        <w:pStyle w:val="TextBody"/>
        <w:bidi w:val="0"/>
        <w:spacing w:lineRule="auto" w:line="288"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bookmarkStart w:id="279" w:name="PageBreakNo18"/>
            <w:bookmarkEnd w:id="279"/>
            <w:r>
              <w:rPr>
                <w:sz w:val="20"/>
              </w:rPr>
              <w:t>18</w:t>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jc w:val="left"/>
        <w:rPr/>
      </w:pPr>
      <w:r>
        <w:rPr/>
      </w:r>
    </w:p>
    <w:p>
      <w:pPr>
        <w:pStyle w:val="TextBody"/>
        <w:bidi w:val="0"/>
        <w:spacing w:lineRule="auto" w:line="288"/>
        <w:jc w:val="left"/>
        <w:rPr/>
      </w:pPr>
      <w:hyperlink w:anchor="TOC">
        <w:r>
          <w:rPr>
            <w:rStyle w:val="InternetLink"/>
            <w:rFonts w:ascii="times new roman;times" w:hAnsi="times new roman;times"/>
            <w:sz w:val="20"/>
          </w:rPr>
          <w:t>Table of Contents</w:t>
        </w:r>
      </w:hyperlink>
    </w:p>
    <w:p>
      <w:pPr>
        <w:pStyle w:val="TextBody"/>
        <w:bidi w:val="0"/>
        <w:spacing w:lineRule="auto" w:line="288" w:before="0" w:after="0"/>
        <w:ind w:left="0" w:right="0" w:hanging="0"/>
        <w:jc w:val="left"/>
        <w:rPr/>
      </w:pPr>
      <w:r>
        <w:rPr/>
      </w:r>
    </w:p>
    <w:p>
      <w:pPr>
        <w:pStyle w:val="TextBody"/>
        <w:widowControl/>
        <w:bidi w:val="0"/>
        <w:spacing w:lineRule="auto" w:line="288" w:before="0" w:after="0"/>
        <w:ind w:left="144" w:right="144" w:hanging="0"/>
        <w:jc w:val="center"/>
        <w:rPr>
          <w:rFonts w:ascii="Times New Roman" w:hAnsi="Times New Roman"/>
          <w:b/>
          <w:sz w:val="20"/>
        </w:rPr>
      </w:pPr>
      <w:r>
        <w:rPr>
          <w:rFonts w:ascii="Times New Roman" w:hAnsi="Times New Roman"/>
          <w:b/>
          <w:i w:val="false"/>
          <w:caps w:val="false"/>
          <w:smallCaps w:val="false"/>
          <w:color w:val="000000"/>
          <w:spacing w:val="0"/>
          <w:sz w:val="20"/>
        </w:rPr>
        <w:t>UNAUDITED </w:t>
      </w:r>
      <w:r>
        <w:rPr>
          <w:rFonts w:ascii="Times New Roman" w:hAnsi="Times New Roman"/>
          <w:b/>
          <w:sz w:val="20"/>
        </w:rPr>
        <w:t>NOTES TO CONDENSED CONSOLIDATED FINANCIAL STATEMENTS</w:t>
      </w:r>
    </w:p>
    <w:p>
      <w:pPr>
        <w:pStyle w:val="TextBody"/>
        <w:bidi w:val="0"/>
        <w:spacing w:lineRule="auto" w:line="288" w:before="0" w:after="0"/>
        <w:ind w:left="144" w:right="144" w:hanging="0"/>
        <w:jc w:val="center"/>
        <w:rPr>
          <w:rFonts w:ascii="Times New Roman" w:hAnsi="Times New Roman"/>
          <w:sz w:val="20"/>
        </w:rPr>
      </w:pPr>
      <w:r>
        <w:rPr>
          <w:rFonts w:ascii="Times New Roman" w:hAnsi="Times New Roman"/>
          <w:sz w:val="20"/>
        </w:rPr>
        <w:t>(Dollars in thousands, except per share amounts)</w:t>
      </w:r>
    </w:p>
    <w:p>
      <w:pPr>
        <w:pStyle w:val="TextBody"/>
        <w:bidi w:val="0"/>
        <w:spacing w:before="0" w:after="0"/>
        <w:ind w:left="0" w:right="0" w:hanging="0"/>
        <w:jc w:val="left"/>
        <w:rPr/>
      </w:pPr>
      <w:r>
        <w:rPr/>
      </w:r>
    </w:p>
    <w:p>
      <w:pPr>
        <w:pStyle w:val="TextBody"/>
        <w:bidi w:val="0"/>
        <w:spacing w:lineRule="auto" w:line="288" w:before="0" w:after="200"/>
        <w:ind w:left="0" w:right="0" w:hanging="0"/>
        <w:jc w:val="left"/>
        <w:rPr>
          <w:rFonts w:ascii="times new roman;times" w:hAnsi="times new roman;times"/>
          <w:sz w:val="20"/>
        </w:rPr>
      </w:pPr>
      <w:r>
        <w:rPr>
          <w:rFonts w:ascii="Times New Roman" w:hAnsi="Times New Roman"/>
          <w:b/>
          <w:sz w:val="20"/>
        </w:rPr>
        <w:t>13</w:t>
      </w:r>
      <w:r>
        <w:rPr>
          <w:rFonts w:ascii="Times New Roman" w:hAnsi="Times New Roman"/>
          <w:b/>
          <w:sz w:val="20"/>
        </w:rPr>
        <w:t>. Share-based Compensation</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Company uses judgment in determining the fair value of the share-based payments on the date of grant using an option-pricing model with assumptions regarding a number of highly complex and subjective variables. These variables include, but are not limited to, the risk-free interest rate of the awards, the expected life of the awards, the expected volatility over the term of the awards, and the expected dividends of the awards. The Company uses the Black-Scholes option pricing model to determine the fair value of share-based payments granted under the guidelines of ASC Topic </w:t>
      </w:r>
      <w:r>
        <w:rPr>
          <w:rFonts w:ascii="times new roman;times" w:hAnsi="times new roman;times"/>
          <w:sz w:val="20"/>
        </w:rPr>
        <w:t>718</w:t>
      </w:r>
      <w:r>
        <w:rPr>
          <w:rFonts w:ascii="times new roman;times" w:hAnsi="times new roman;times"/>
          <w:sz w:val="20"/>
        </w:rPr>
        <w:t>. </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 xml:space="preserve">A summary of the stock option activity under the Company’s plans for the </w:t>
      </w:r>
      <w:bookmarkStart w:id="280" w:name="fs_NP86LQKGLC00000000000000000000FM"/>
      <w:bookmarkEnd w:id="280"/>
      <w:r>
        <w:rPr>
          <w:rFonts w:ascii="Times New Roman" w:hAnsi="Times New Roman"/>
          <w:sz w:val="20"/>
        </w:rPr>
        <w:t>nine months ended September 30, 2025,</w:t>
      </w:r>
      <w:r>
        <w:rPr>
          <w:rFonts w:ascii="times new roman;times" w:hAnsi="times new roman;times"/>
          <w:sz w:val="20"/>
        </w:rPr>
        <w:t xml:space="preserve"> </w:t>
      </w:r>
      <w:r>
        <w:rPr>
          <w:rFonts w:ascii="Times New Roman" w:hAnsi="Times New Roman"/>
          <w:sz w:val="20"/>
        </w:rPr>
        <w:t>is as follows:</w:t>
      </w:r>
    </w:p>
    <w:p>
      <w:pPr>
        <w:pStyle w:val="TextBody"/>
        <w:bidi w:val="0"/>
        <w:spacing w:lineRule="auto" w:line="288" w:before="0" w:after="0"/>
        <w:ind w:left="0" w:right="0" w:hanging="0"/>
        <w:jc w:val="both"/>
        <w:rPr/>
      </w:pPr>
      <w:r>
        <w:rPr/>
      </w:r>
    </w:p>
    <w:tbl>
      <w:tblPr>
        <w:tblW w:w="5000" w:type="pct"/>
        <w:jc w:val="left"/>
        <w:tblInd w:w="0" w:type="dxa"/>
        <w:tblLayout w:type="fixed"/>
        <w:tblCellMar>
          <w:top w:w="0" w:type="dxa"/>
          <w:left w:w="0" w:type="dxa"/>
          <w:bottom w:w="0" w:type="dxa"/>
          <w:right w:w="0" w:type="dxa"/>
        </w:tblCellMar>
      </w:tblPr>
      <w:tblGrid>
        <w:gridCol w:w="4665"/>
        <w:gridCol w:w="137"/>
        <w:gridCol w:w="280"/>
        <w:gridCol w:w="1482"/>
        <w:gridCol w:w="137"/>
        <w:gridCol w:w="136"/>
        <w:gridCol w:w="639"/>
        <w:gridCol w:w="2575"/>
        <w:gridCol w:w="154"/>
      </w:tblGrid>
      <w:tr>
        <w:trPr/>
        <w:tc>
          <w:tcPr>
            <w:tcW w:w="4665" w:type="dxa"/>
            <w:tcBorders/>
            <w:vAlign w:val="bottom"/>
          </w:tcPr>
          <w:p>
            <w:pPr>
              <w:pStyle w:val="TableContents"/>
              <w:bidi w:val="0"/>
              <w:spacing w:before="0" w:after="0"/>
              <w:ind w:left="0" w:right="0" w:hanging="0"/>
              <w:jc w:val="left"/>
              <w:rPr/>
            </w:pPr>
            <w:r>
              <w:rPr/>
              <w:t xml:space="preserve">  </w:t>
            </w:r>
          </w:p>
        </w:tc>
        <w:tc>
          <w:tcPr>
            <w:tcW w:w="137" w:type="dxa"/>
            <w:tcBorders/>
            <w:vAlign w:val="bottom"/>
          </w:tcPr>
          <w:p>
            <w:pPr>
              <w:pStyle w:val="TableContents"/>
              <w:pBdr/>
              <w:bidi w:val="0"/>
              <w:spacing w:before="0" w:after="0"/>
              <w:ind w:left="0" w:right="0" w:hanging="0"/>
              <w:jc w:val="left"/>
              <w:rPr/>
            </w:pPr>
            <w:r>
              <w:rPr/>
              <w:t xml:space="preserve">  </w:t>
            </w:r>
          </w:p>
        </w:tc>
        <w:tc>
          <w:tcPr>
            <w:tcW w:w="1762" w:type="dxa"/>
            <w:gridSpan w:val="2"/>
            <w:tcBorders/>
            <w:vAlign w:val="bottom"/>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Number of shares </w:t>
            </w:r>
          </w:p>
        </w:tc>
        <w:tc>
          <w:tcPr>
            <w:tcW w:w="137" w:type="dxa"/>
            <w:tcBorders/>
            <w:vAlign w:val="bottom"/>
          </w:tcPr>
          <w:p>
            <w:pPr>
              <w:pStyle w:val="TableContents"/>
              <w:pBdr/>
              <w:bidi w:val="0"/>
              <w:spacing w:before="0" w:after="0"/>
              <w:ind w:left="0" w:right="0" w:hanging="0"/>
              <w:jc w:val="left"/>
              <w:rPr/>
            </w:pPr>
            <w:r>
              <w:rPr/>
              <w:t xml:space="preserve">  </w:t>
            </w:r>
          </w:p>
        </w:tc>
        <w:tc>
          <w:tcPr>
            <w:tcW w:w="136" w:type="dxa"/>
            <w:tcBorders/>
            <w:vAlign w:val="bottom"/>
          </w:tcPr>
          <w:p>
            <w:pPr>
              <w:pStyle w:val="TableContents"/>
              <w:pBdr/>
              <w:bidi w:val="0"/>
              <w:spacing w:before="0" w:after="0"/>
              <w:ind w:left="0" w:right="0" w:hanging="0"/>
              <w:jc w:val="left"/>
              <w:rPr/>
            </w:pPr>
            <w:r>
              <w:rPr/>
              <w:t xml:space="preserve">  </w:t>
            </w:r>
          </w:p>
        </w:tc>
        <w:tc>
          <w:tcPr>
            <w:tcW w:w="3214" w:type="dxa"/>
            <w:gridSpan w:val="2"/>
            <w:tcBorders/>
            <w:vAlign w:val="bottom"/>
          </w:tcPr>
          <w:p>
            <w:pPr>
              <w:pStyle w:val="TableContents"/>
              <w:bidi w:val="0"/>
              <w:spacing w:lineRule="auto" w:line="264" w:before="0" w:after="0"/>
              <w:ind w:left="0" w:right="0" w:hanging="0"/>
              <w:jc w:val="center"/>
              <w:rPr>
                <w:rFonts w:ascii="Times New Roman" w:hAnsi="Times New Roman"/>
                <w:b/>
                <w:sz w:val="20"/>
              </w:rPr>
            </w:pPr>
            <w:r>
              <w:rPr>
                <w:rFonts w:ascii="Times New Roman" w:hAnsi="Times New Roman"/>
                <w:b/>
                <w:sz w:val="20"/>
              </w:rPr>
              <w:t xml:space="preserve">Weighted average exercise price </w:t>
            </w:r>
          </w:p>
        </w:tc>
        <w:tc>
          <w:tcPr>
            <w:tcW w:w="154" w:type="dxa"/>
            <w:tcBorders/>
            <w:vAlign w:val="bottom"/>
          </w:tcPr>
          <w:p>
            <w:pPr>
              <w:pStyle w:val="TableContents"/>
              <w:bidi w:val="0"/>
              <w:spacing w:before="0" w:after="0"/>
              <w:ind w:left="0" w:right="0" w:hanging="0"/>
              <w:jc w:val="left"/>
              <w:rPr/>
            </w:pPr>
            <w:r>
              <w:rPr/>
              <w:t xml:space="preserve">  </w:t>
            </w:r>
          </w:p>
        </w:tc>
      </w:tr>
      <w:tr>
        <w:trPr/>
        <w:tc>
          <w:tcPr>
            <w:tcW w:w="4665" w:type="dxa"/>
            <w:tcBorders/>
            <w:shd w:fill="CCEEFF" w:val="clear"/>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 xml:space="preserve">Options outstanding at beginning of year </w:t>
            </w:r>
          </w:p>
        </w:tc>
        <w:tc>
          <w:tcPr>
            <w:tcW w:w="137" w:type="dxa"/>
            <w:tcBorders/>
            <w:shd w:fill="CCEEFF" w:val="clear"/>
            <w:vAlign w:val="bottom"/>
          </w:tcPr>
          <w:p>
            <w:pPr>
              <w:pStyle w:val="TableContents"/>
              <w:pBdr/>
              <w:bidi w:val="0"/>
              <w:spacing w:before="0" w:after="0"/>
              <w:ind w:left="0" w:right="0" w:hanging="0"/>
              <w:jc w:val="left"/>
              <w:rPr/>
            </w:pPr>
            <w:r>
              <w:rPr/>
              <w:t xml:space="preserve">  </w:t>
            </w:r>
          </w:p>
        </w:tc>
        <w:tc>
          <w:tcPr>
            <w:tcW w:w="280" w:type="dxa"/>
            <w:tcBorders/>
            <w:shd w:fill="CCEEFF" w:val="clear"/>
            <w:vAlign w:val="bottom"/>
          </w:tcPr>
          <w:p>
            <w:pPr>
              <w:pStyle w:val="TableContents"/>
              <w:bidi w:val="0"/>
              <w:spacing w:before="0" w:after="0"/>
              <w:ind w:left="0" w:right="0" w:hanging="0"/>
              <w:jc w:val="left"/>
              <w:rPr/>
            </w:pPr>
            <w:r>
              <w:rPr/>
              <w:t xml:space="preserve">  </w:t>
            </w:r>
          </w:p>
        </w:tc>
        <w:tc>
          <w:tcPr>
            <w:tcW w:w="1482"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27,289 </w:t>
            </w:r>
          </w:p>
        </w:tc>
        <w:tc>
          <w:tcPr>
            <w:tcW w:w="137" w:type="dxa"/>
            <w:tcBorders/>
            <w:shd w:fill="CCEEFF" w:val="clear"/>
            <w:vAlign w:val="bottom"/>
          </w:tcPr>
          <w:p>
            <w:pPr>
              <w:pStyle w:val="TableContents"/>
              <w:pBdr/>
              <w:bidi w:val="0"/>
              <w:spacing w:before="0" w:after="0"/>
              <w:ind w:left="0" w:right="0" w:hanging="0"/>
              <w:jc w:val="left"/>
              <w:rPr/>
            </w:pPr>
            <w:r>
              <w:rPr/>
              <w:t xml:space="preserve">  </w:t>
            </w:r>
          </w:p>
        </w:tc>
        <w:tc>
          <w:tcPr>
            <w:tcW w:w="136" w:type="dxa"/>
            <w:tcBorders/>
            <w:shd w:fill="CCEEFF" w:val="clear"/>
            <w:vAlign w:val="bottom"/>
          </w:tcPr>
          <w:p>
            <w:pPr>
              <w:pStyle w:val="TableContents"/>
              <w:pBdr/>
              <w:bidi w:val="0"/>
              <w:spacing w:before="0" w:after="0"/>
              <w:ind w:left="0" w:right="0" w:hanging="0"/>
              <w:jc w:val="left"/>
              <w:rPr/>
            </w:pPr>
            <w:r>
              <w:rPr/>
              <w:t xml:space="preserve">  </w:t>
            </w:r>
          </w:p>
        </w:tc>
        <w:tc>
          <w:tcPr>
            <w:tcW w:w="639"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2575"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66.34 </w:t>
            </w:r>
          </w:p>
        </w:tc>
        <w:tc>
          <w:tcPr>
            <w:tcW w:w="154" w:type="dxa"/>
            <w:tcBorders/>
            <w:shd w:fill="CCEEFF" w:val="clear"/>
            <w:vAlign w:val="bottom"/>
          </w:tcPr>
          <w:p>
            <w:pPr>
              <w:pStyle w:val="TableContents"/>
              <w:pBdr/>
              <w:bidi w:val="0"/>
              <w:spacing w:before="0" w:after="0"/>
              <w:ind w:left="0" w:right="0" w:hanging="0"/>
              <w:jc w:val="left"/>
              <w:rPr/>
            </w:pPr>
            <w:r>
              <w:rPr/>
              <w:t xml:space="preserve">  </w:t>
            </w:r>
          </w:p>
        </w:tc>
      </w:tr>
      <w:tr>
        <w:trPr/>
        <w:tc>
          <w:tcPr>
            <w:tcW w:w="4665"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Granted </w:t>
            </w:r>
          </w:p>
        </w:tc>
        <w:tc>
          <w:tcPr>
            <w:tcW w:w="137" w:type="dxa"/>
            <w:tcBorders/>
            <w:vAlign w:val="bottom"/>
          </w:tcPr>
          <w:p>
            <w:pPr>
              <w:pStyle w:val="TableContents"/>
              <w:pBdr/>
              <w:bidi w:val="0"/>
              <w:spacing w:before="0" w:after="0"/>
              <w:ind w:left="0" w:right="0" w:hanging="0"/>
              <w:jc w:val="left"/>
              <w:rPr/>
            </w:pPr>
            <w:r>
              <w:rPr/>
              <w:t xml:space="preserve">  </w:t>
            </w:r>
          </w:p>
        </w:tc>
        <w:tc>
          <w:tcPr>
            <w:tcW w:w="280" w:type="dxa"/>
            <w:tcBorders/>
            <w:vAlign w:val="bottom"/>
          </w:tcPr>
          <w:p>
            <w:pPr>
              <w:pStyle w:val="TableContents"/>
              <w:bidi w:val="0"/>
              <w:spacing w:before="0" w:after="0"/>
              <w:ind w:left="0" w:right="0" w:hanging="0"/>
              <w:jc w:val="left"/>
              <w:rPr/>
            </w:pPr>
            <w:r>
              <w:rPr/>
              <w:t xml:space="preserve">  </w:t>
            </w:r>
          </w:p>
        </w:tc>
        <w:tc>
          <w:tcPr>
            <w:tcW w:w="1482"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10,667 </w:t>
            </w:r>
          </w:p>
        </w:tc>
        <w:tc>
          <w:tcPr>
            <w:tcW w:w="137" w:type="dxa"/>
            <w:tcBorders/>
            <w:vAlign w:val="bottom"/>
          </w:tcPr>
          <w:p>
            <w:pPr>
              <w:pStyle w:val="TableContents"/>
              <w:pBdr/>
              <w:bidi w:val="0"/>
              <w:spacing w:before="0" w:after="0"/>
              <w:ind w:left="0" w:right="0" w:hanging="0"/>
              <w:jc w:val="left"/>
              <w:rPr/>
            </w:pPr>
            <w:r>
              <w:rPr/>
              <w:t xml:space="preserve">  </w:t>
            </w:r>
          </w:p>
        </w:tc>
        <w:tc>
          <w:tcPr>
            <w:tcW w:w="136" w:type="dxa"/>
            <w:tcBorders/>
            <w:vAlign w:val="bottom"/>
          </w:tcPr>
          <w:p>
            <w:pPr>
              <w:pStyle w:val="TableContents"/>
              <w:pBdr/>
              <w:bidi w:val="0"/>
              <w:spacing w:before="0" w:after="0"/>
              <w:ind w:left="0" w:right="0" w:hanging="0"/>
              <w:jc w:val="left"/>
              <w:rPr/>
            </w:pPr>
            <w:r>
              <w:rPr/>
              <w:t xml:space="preserve">  </w:t>
            </w:r>
          </w:p>
        </w:tc>
        <w:tc>
          <w:tcPr>
            <w:tcW w:w="639" w:type="dxa"/>
            <w:tcBorders/>
            <w:vAlign w:val="bottom"/>
          </w:tcPr>
          <w:p>
            <w:pPr>
              <w:pStyle w:val="TableContents"/>
              <w:pBdr/>
              <w:bidi w:val="0"/>
              <w:spacing w:before="0" w:after="0"/>
              <w:ind w:left="0" w:right="0" w:hanging="0"/>
              <w:jc w:val="left"/>
              <w:rPr/>
            </w:pPr>
            <w:r>
              <w:rPr/>
              <w:t xml:space="preserve">  </w:t>
            </w:r>
          </w:p>
        </w:tc>
        <w:tc>
          <w:tcPr>
            <w:tcW w:w="2575"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7.35</w:t>
            </w:r>
          </w:p>
        </w:tc>
        <w:tc>
          <w:tcPr>
            <w:tcW w:w="154" w:type="dxa"/>
            <w:tcBorders/>
            <w:vAlign w:val="bottom"/>
          </w:tcPr>
          <w:p>
            <w:pPr>
              <w:pStyle w:val="TableContents"/>
              <w:pBdr/>
              <w:bidi w:val="0"/>
              <w:spacing w:before="0" w:after="0"/>
              <w:ind w:left="0" w:right="0" w:hanging="0"/>
              <w:jc w:val="left"/>
              <w:rPr/>
            </w:pPr>
            <w:r>
              <w:rPr/>
              <w:t xml:space="preserve">  </w:t>
            </w:r>
          </w:p>
        </w:tc>
      </w:tr>
      <w:tr>
        <w:trPr/>
        <w:tc>
          <w:tcPr>
            <w:tcW w:w="4665"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Less: </w:t>
            </w:r>
          </w:p>
        </w:tc>
        <w:tc>
          <w:tcPr>
            <w:tcW w:w="137" w:type="dxa"/>
            <w:tcBorders/>
            <w:shd w:fill="CCEEFF" w:val="clear"/>
            <w:vAlign w:val="bottom"/>
          </w:tcPr>
          <w:p>
            <w:pPr>
              <w:pStyle w:val="TableContents"/>
              <w:pBdr/>
              <w:bidi w:val="0"/>
              <w:spacing w:before="0" w:after="0"/>
              <w:ind w:left="0" w:right="0" w:hanging="0"/>
              <w:jc w:val="left"/>
              <w:rPr/>
            </w:pPr>
            <w:r>
              <w:rPr/>
              <w:t xml:space="preserve">  </w:t>
            </w:r>
          </w:p>
        </w:tc>
        <w:tc>
          <w:tcPr>
            <w:tcW w:w="280" w:type="dxa"/>
            <w:tcBorders/>
            <w:shd w:fill="CCEEFF" w:val="clear"/>
            <w:vAlign w:val="bottom"/>
          </w:tcPr>
          <w:p>
            <w:pPr>
              <w:pStyle w:val="TableContents"/>
              <w:bidi w:val="0"/>
              <w:spacing w:before="0" w:after="0"/>
              <w:ind w:left="0" w:right="0" w:hanging="0"/>
              <w:jc w:val="left"/>
              <w:rPr/>
            </w:pPr>
            <w:r>
              <w:rPr/>
              <w:t xml:space="preserve">  </w:t>
            </w:r>
          </w:p>
        </w:tc>
        <w:tc>
          <w:tcPr>
            <w:tcW w:w="1482" w:type="dxa"/>
            <w:tcBorders/>
            <w:shd w:fill="CCEEFF" w:val="clear"/>
            <w:vAlign w:val="bottom"/>
          </w:tcPr>
          <w:p>
            <w:pPr>
              <w:pStyle w:val="TableContents"/>
              <w:pBdr/>
              <w:bidi w:val="0"/>
              <w:spacing w:before="0" w:after="0"/>
              <w:ind w:left="0" w:right="0" w:hanging="0"/>
              <w:jc w:val="left"/>
              <w:rPr/>
            </w:pPr>
            <w:r>
              <w:rPr/>
              <w:t xml:space="preserve">  </w:t>
            </w:r>
          </w:p>
        </w:tc>
        <w:tc>
          <w:tcPr>
            <w:tcW w:w="137" w:type="dxa"/>
            <w:tcBorders/>
            <w:shd w:fill="CCEEFF" w:val="clear"/>
            <w:vAlign w:val="bottom"/>
          </w:tcPr>
          <w:p>
            <w:pPr>
              <w:pStyle w:val="TableContents"/>
              <w:pBdr/>
              <w:bidi w:val="0"/>
              <w:spacing w:before="0" w:after="0"/>
              <w:ind w:left="0" w:right="0" w:hanging="0"/>
              <w:jc w:val="left"/>
              <w:rPr/>
            </w:pPr>
            <w:r>
              <w:rPr/>
              <w:t xml:space="preserve">  </w:t>
            </w:r>
          </w:p>
        </w:tc>
        <w:tc>
          <w:tcPr>
            <w:tcW w:w="136" w:type="dxa"/>
            <w:tcBorders/>
            <w:shd w:fill="CCEEFF" w:val="clear"/>
            <w:vAlign w:val="bottom"/>
          </w:tcPr>
          <w:p>
            <w:pPr>
              <w:pStyle w:val="TableContents"/>
              <w:pBdr/>
              <w:bidi w:val="0"/>
              <w:spacing w:before="0" w:after="0"/>
              <w:ind w:left="0" w:right="0" w:hanging="0"/>
              <w:jc w:val="left"/>
              <w:rPr/>
            </w:pPr>
            <w:r>
              <w:rPr/>
              <w:t xml:space="preserve">  </w:t>
            </w:r>
          </w:p>
        </w:tc>
        <w:tc>
          <w:tcPr>
            <w:tcW w:w="639" w:type="dxa"/>
            <w:tcBorders/>
            <w:shd w:fill="CCEEFF" w:val="clear"/>
            <w:vAlign w:val="bottom"/>
          </w:tcPr>
          <w:p>
            <w:pPr>
              <w:pStyle w:val="TableContents"/>
              <w:pBdr/>
              <w:bidi w:val="0"/>
              <w:spacing w:before="0" w:after="0"/>
              <w:ind w:left="0" w:right="0" w:hanging="0"/>
              <w:jc w:val="left"/>
              <w:rPr/>
            </w:pPr>
            <w:r>
              <w:rPr/>
              <w:t xml:space="preserve">  </w:t>
            </w:r>
          </w:p>
        </w:tc>
        <w:tc>
          <w:tcPr>
            <w:tcW w:w="2575" w:type="dxa"/>
            <w:tcBorders/>
            <w:shd w:fill="CCEEFF" w:val="clear"/>
            <w:vAlign w:val="bottom"/>
          </w:tcPr>
          <w:p>
            <w:pPr>
              <w:pStyle w:val="TableContents"/>
              <w:pBdr/>
              <w:bidi w:val="0"/>
              <w:spacing w:before="0" w:after="0"/>
              <w:ind w:left="0" w:right="0" w:hanging="0"/>
              <w:jc w:val="left"/>
              <w:rPr/>
            </w:pPr>
            <w:r>
              <w:rPr/>
              <w:t xml:space="preserve">  </w:t>
            </w:r>
          </w:p>
        </w:tc>
        <w:tc>
          <w:tcPr>
            <w:tcW w:w="154" w:type="dxa"/>
            <w:tcBorders/>
            <w:shd w:fill="CCEEFF" w:val="clear"/>
            <w:vAlign w:val="bottom"/>
          </w:tcPr>
          <w:p>
            <w:pPr>
              <w:pStyle w:val="TableContents"/>
              <w:pBdr/>
              <w:bidi w:val="0"/>
              <w:spacing w:before="0" w:after="0"/>
              <w:ind w:left="0" w:right="0" w:hanging="0"/>
              <w:jc w:val="left"/>
              <w:rPr/>
            </w:pPr>
            <w:r>
              <w:rPr/>
              <w:t xml:space="preserve">  </w:t>
            </w:r>
          </w:p>
        </w:tc>
      </w:tr>
      <w:tr>
        <w:trPr/>
        <w:tc>
          <w:tcPr>
            <w:tcW w:w="4665"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Exercised </w:t>
            </w:r>
          </w:p>
        </w:tc>
        <w:tc>
          <w:tcPr>
            <w:tcW w:w="137" w:type="dxa"/>
            <w:tcBorders/>
            <w:vAlign w:val="bottom"/>
          </w:tcPr>
          <w:p>
            <w:pPr>
              <w:pStyle w:val="TableContents"/>
              <w:pBdr/>
              <w:bidi w:val="0"/>
              <w:spacing w:before="0" w:after="0"/>
              <w:ind w:left="0" w:right="0" w:hanging="0"/>
              <w:jc w:val="left"/>
              <w:rPr/>
            </w:pPr>
            <w:r>
              <w:rPr/>
              <w:t xml:space="preserve">  </w:t>
            </w:r>
          </w:p>
        </w:tc>
        <w:tc>
          <w:tcPr>
            <w:tcW w:w="280" w:type="dxa"/>
            <w:tcBorders/>
            <w:vAlign w:val="bottom"/>
          </w:tcPr>
          <w:p>
            <w:pPr>
              <w:pStyle w:val="TableContents"/>
              <w:bidi w:val="0"/>
              <w:spacing w:before="0" w:after="0"/>
              <w:ind w:left="0" w:right="0" w:hanging="0"/>
              <w:jc w:val="left"/>
              <w:rPr/>
            </w:pPr>
            <w:r>
              <w:rPr/>
              <w:t xml:space="preserve">  </w:t>
            </w:r>
          </w:p>
        </w:tc>
        <w:tc>
          <w:tcPr>
            <w:tcW w:w="1482" w:type="dxa"/>
            <w:tcBorders/>
            <w:vAlign w:val="bottom"/>
          </w:tcPr>
          <w:p>
            <w:pPr>
              <w:pStyle w:val="TableContents"/>
              <w:pBdr/>
              <w:bidi w:val="0"/>
              <w:spacing w:before="0" w:after="0"/>
              <w:ind w:left="0" w:right="0" w:hanging="0"/>
              <w:jc w:val="right"/>
              <w:rPr/>
            </w:pPr>
            <w:r>
              <w:rPr/>
              <w:t>—</w:t>
            </w:r>
          </w:p>
        </w:tc>
        <w:tc>
          <w:tcPr>
            <w:tcW w:w="137" w:type="dxa"/>
            <w:tcBorders/>
            <w:vAlign w:val="bottom"/>
          </w:tcPr>
          <w:p>
            <w:pPr>
              <w:pStyle w:val="TableContents"/>
              <w:pBdr/>
              <w:bidi w:val="0"/>
              <w:spacing w:before="0" w:after="0"/>
              <w:ind w:left="0" w:right="0" w:hanging="0"/>
              <w:jc w:val="left"/>
              <w:rPr/>
            </w:pPr>
            <w:r>
              <w:rPr/>
              <w:t xml:space="preserve">  </w:t>
            </w:r>
          </w:p>
        </w:tc>
        <w:tc>
          <w:tcPr>
            <w:tcW w:w="136" w:type="dxa"/>
            <w:tcBorders/>
            <w:vAlign w:val="bottom"/>
          </w:tcPr>
          <w:p>
            <w:pPr>
              <w:pStyle w:val="TableContents"/>
              <w:pBdr/>
              <w:bidi w:val="0"/>
              <w:spacing w:before="0" w:after="0"/>
              <w:ind w:left="0" w:right="0" w:hanging="0"/>
              <w:jc w:val="left"/>
              <w:rPr/>
            </w:pPr>
            <w:r>
              <w:rPr/>
              <w:t xml:space="preserve">  </w:t>
            </w:r>
          </w:p>
        </w:tc>
        <w:tc>
          <w:tcPr>
            <w:tcW w:w="639" w:type="dxa"/>
            <w:tcBorders/>
            <w:vAlign w:val="bottom"/>
          </w:tcPr>
          <w:p>
            <w:pPr>
              <w:pStyle w:val="TableContents"/>
              <w:pBdr/>
              <w:bidi w:val="0"/>
              <w:spacing w:before="0" w:after="0"/>
              <w:ind w:left="0" w:right="0" w:hanging="0"/>
              <w:jc w:val="left"/>
              <w:rPr/>
            </w:pPr>
            <w:r>
              <w:rPr/>
              <w:t xml:space="preserve">  </w:t>
            </w:r>
          </w:p>
        </w:tc>
        <w:tc>
          <w:tcPr>
            <w:tcW w:w="2575" w:type="dxa"/>
            <w:tcBorders/>
            <w:vAlign w:val="bottom"/>
          </w:tcPr>
          <w:p>
            <w:pPr>
              <w:pStyle w:val="TableContents"/>
              <w:pBdr/>
              <w:bidi w:val="0"/>
              <w:spacing w:before="0" w:after="0"/>
              <w:ind w:left="0" w:right="0" w:hanging="0"/>
              <w:jc w:val="right"/>
              <w:rPr/>
            </w:pPr>
            <w:r>
              <w:rPr/>
              <w:t>—</w:t>
            </w:r>
          </w:p>
        </w:tc>
        <w:tc>
          <w:tcPr>
            <w:tcW w:w="154" w:type="dxa"/>
            <w:tcBorders/>
            <w:vAlign w:val="bottom"/>
          </w:tcPr>
          <w:p>
            <w:pPr>
              <w:pStyle w:val="TableContents"/>
              <w:pBdr/>
              <w:bidi w:val="0"/>
              <w:spacing w:before="0" w:after="0"/>
              <w:ind w:left="0" w:right="0" w:hanging="0"/>
              <w:jc w:val="left"/>
              <w:rPr/>
            </w:pPr>
            <w:r>
              <w:rPr/>
              <w:t xml:space="preserve">  </w:t>
            </w:r>
          </w:p>
        </w:tc>
      </w:tr>
      <w:tr>
        <w:trPr/>
        <w:tc>
          <w:tcPr>
            <w:tcW w:w="4665"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Forfeited prior to vesting </w:t>
            </w:r>
          </w:p>
        </w:tc>
        <w:tc>
          <w:tcPr>
            <w:tcW w:w="137" w:type="dxa"/>
            <w:tcBorders/>
            <w:shd w:fill="CCEEFF" w:val="clear"/>
            <w:vAlign w:val="bottom"/>
          </w:tcPr>
          <w:p>
            <w:pPr>
              <w:pStyle w:val="TableContents"/>
              <w:pBdr/>
              <w:bidi w:val="0"/>
              <w:spacing w:before="0" w:after="0"/>
              <w:ind w:left="0" w:right="0" w:hanging="0"/>
              <w:jc w:val="left"/>
              <w:rPr/>
            </w:pPr>
            <w:r>
              <w:rPr/>
              <w:t xml:space="preserve">  </w:t>
            </w:r>
          </w:p>
        </w:tc>
        <w:tc>
          <w:tcPr>
            <w:tcW w:w="280" w:type="dxa"/>
            <w:tcBorders/>
            <w:shd w:fill="CCEEFF" w:val="clear"/>
            <w:vAlign w:val="bottom"/>
          </w:tcPr>
          <w:p>
            <w:pPr>
              <w:pStyle w:val="TableContents"/>
              <w:bidi w:val="0"/>
              <w:spacing w:before="0" w:after="0"/>
              <w:ind w:left="0" w:right="0" w:hanging="0"/>
              <w:jc w:val="left"/>
              <w:rPr/>
            </w:pPr>
            <w:r>
              <w:rPr/>
              <w:t xml:space="preserve">  </w:t>
            </w:r>
          </w:p>
        </w:tc>
        <w:tc>
          <w:tcPr>
            <w:tcW w:w="1482" w:type="dxa"/>
            <w:tcBorders/>
            <w:shd w:fill="CCEEFF" w:val="clear"/>
            <w:vAlign w:val="bottom"/>
          </w:tcPr>
          <w:p>
            <w:pPr>
              <w:pStyle w:val="TableContents"/>
              <w:pBdr/>
              <w:bidi w:val="0"/>
              <w:spacing w:before="0" w:after="0"/>
              <w:ind w:left="0" w:right="0" w:hanging="0"/>
              <w:jc w:val="right"/>
              <w:rPr/>
            </w:pPr>
            <w:r>
              <w:rPr/>
              <w:t>—</w:t>
            </w:r>
          </w:p>
        </w:tc>
        <w:tc>
          <w:tcPr>
            <w:tcW w:w="137" w:type="dxa"/>
            <w:tcBorders/>
            <w:shd w:fill="CCEEFF" w:val="clear"/>
            <w:vAlign w:val="bottom"/>
          </w:tcPr>
          <w:p>
            <w:pPr>
              <w:pStyle w:val="TableContents"/>
              <w:bidi w:val="0"/>
              <w:spacing w:before="0" w:after="283"/>
              <w:ind w:left="0" w:right="0" w:hanging="0"/>
              <w:jc w:val="left"/>
              <w:rPr>
                <w:sz w:val="4"/>
                <w:szCs w:val="4"/>
              </w:rPr>
            </w:pPr>
            <w:r>
              <w:rPr>
                <w:sz w:val="4"/>
                <w:szCs w:val="4"/>
              </w:rPr>
            </w:r>
          </w:p>
        </w:tc>
        <w:tc>
          <w:tcPr>
            <w:tcW w:w="136" w:type="dxa"/>
            <w:tcBorders/>
            <w:shd w:fill="CCEEFF" w:val="clear"/>
            <w:vAlign w:val="bottom"/>
          </w:tcPr>
          <w:p>
            <w:pPr>
              <w:pStyle w:val="TableContents"/>
              <w:pBdr/>
              <w:bidi w:val="0"/>
              <w:spacing w:before="0" w:after="0"/>
              <w:ind w:left="0" w:right="0" w:hanging="0"/>
              <w:jc w:val="left"/>
              <w:rPr/>
            </w:pPr>
            <w:r>
              <w:rPr/>
              <w:t xml:space="preserve">  </w:t>
            </w:r>
          </w:p>
        </w:tc>
        <w:tc>
          <w:tcPr>
            <w:tcW w:w="639" w:type="dxa"/>
            <w:tcBorders/>
            <w:shd w:fill="CCEEFF" w:val="clear"/>
            <w:vAlign w:val="bottom"/>
          </w:tcPr>
          <w:p>
            <w:pPr>
              <w:pStyle w:val="TableContents"/>
              <w:pBdr/>
              <w:bidi w:val="0"/>
              <w:spacing w:before="0" w:after="0"/>
              <w:ind w:left="0" w:right="0" w:hanging="0"/>
              <w:jc w:val="left"/>
              <w:rPr/>
            </w:pPr>
            <w:r>
              <w:rPr/>
              <w:t xml:space="preserve">  </w:t>
            </w:r>
          </w:p>
        </w:tc>
        <w:tc>
          <w:tcPr>
            <w:tcW w:w="2575" w:type="dxa"/>
            <w:tcBorders/>
            <w:shd w:fill="CCEEFF" w:val="clear"/>
            <w:vAlign w:val="bottom"/>
          </w:tcPr>
          <w:p>
            <w:pPr>
              <w:pStyle w:val="TableContents"/>
              <w:pBdr/>
              <w:bidi w:val="0"/>
              <w:spacing w:before="0" w:after="0"/>
              <w:ind w:left="0" w:right="0" w:hanging="0"/>
              <w:jc w:val="right"/>
              <w:rPr/>
            </w:pPr>
            <w:r>
              <w:rPr/>
              <w:t xml:space="preserve">— </w:t>
            </w:r>
          </w:p>
        </w:tc>
        <w:tc>
          <w:tcPr>
            <w:tcW w:w="154" w:type="dxa"/>
            <w:tcBorders/>
            <w:shd w:fill="CCEEFF" w:val="clear"/>
            <w:vAlign w:val="bottom"/>
          </w:tcPr>
          <w:p>
            <w:pPr>
              <w:pStyle w:val="TableContents"/>
              <w:pBdr/>
              <w:bidi w:val="0"/>
              <w:spacing w:before="0" w:after="0"/>
              <w:ind w:left="0" w:right="0" w:hanging="0"/>
              <w:jc w:val="left"/>
              <w:rPr/>
            </w:pPr>
            <w:r>
              <w:rPr/>
              <w:t xml:space="preserve">  </w:t>
            </w:r>
          </w:p>
        </w:tc>
      </w:tr>
      <w:tr>
        <w:trPr/>
        <w:tc>
          <w:tcPr>
            <w:tcW w:w="4665"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Canceled or expired </w:t>
            </w:r>
          </w:p>
        </w:tc>
        <w:tc>
          <w:tcPr>
            <w:tcW w:w="137" w:type="dxa"/>
            <w:tcBorders/>
            <w:vAlign w:val="bottom"/>
          </w:tcPr>
          <w:p>
            <w:pPr>
              <w:pStyle w:val="TableContents"/>
              <w:pBdr/>
              <w:bidi w:val="0"/>
              <w:spacing w:before="0" w:after="0"/>
              <w:ind w:left="0" w:right="0" w:hanging="0"/>
              <w:jc w:val="left"/>
              <w:rPr/>
            </w:pPr>
            <w:r>
              <w:rPr/>
              <w:t xml:space="preserve">  </w:t>
            </w:r>
          </w:p>
        </w:tc>
        <w:tc>
          <w:tcPr>
            <w:tcW w:w="280" w:type="dxa"/>
            <w:tcBorders/>
            <w:vAlign w:val="bottom"/>
          </w:tcPr>
          <w:p>
            <w:pPr>
              <w:pStyle w:val="TableContents"/>
              <w:bidi w:val="0"/>
              <w:spacing w:before="0" w:after="0"/>
              <w:ind w:left="0" w:right="0" w:hanging="0"/>
              <w:jc w:val="left"/>
              <w:rPr/>
            </w:pPr>
            <w:r>
              <w:rPr/>
              <w:t xml:space="preserve">  </w:t>
            </w:r>
          </w:p>
        </w:tc>
        <w:tc>
          <w:tcPr>
            <w:tcW w:w="1482"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(1,946</w:t>
            </w:r>
          </w:p>
        </w:tc>
        <w:tc>
          <w:tcPr>
            <w:tcW w:w="137" w:type="dxa"/>
            <w:tcBorders/>
            <w:vAlign w:val="bottom"/>
          </w:tcPr>
          <w:p>
            <w:pPr>
              <w:pStyle w:val="TableContents"/>
              <w:bidi w:val="0"/>
              <w:spacing w:before="0" w:after="0"/>
              <w:ind w:left="0" w:right="0" w:hanging="0"/>
              <w:jc w:val="left"/>
              <w:rPr/>
            </w:pPr>
            <w:r>
              <w:rPr/>
              <w:t>)</w:t>
            </w:r>
          </w:p>
        </w:tc>
        <w:tc>
          <w:tcPr>
            <w:tcW w:w="136" w:type="dxa"/>
            <w:tcBorders/>
            <w:vAlign w:val="bottom"/>
          </w:tcPr>
          <w:p>
            <w:pPr>
              <w:pStyle w:val="TableContents"/>
              <w:pBdr/>
              <w:bidi w:val="0"/>
              <w:spacing w:before="0" w:after="0"/>
              <w:ind w:left="0" w:right="0" w:hanging="0"/>
              <w:jc w:val="left"/>
              <w:rPr/>
            </w:pPr>
            <w:r>
              <w:rPr/>
              <w:t xml:space="preserve">  </w:t>
            </w:r>
          </w:p>
        </w:tc>
        <w:tc>
          <w:tcPr>
            <w:tcW w:w="639" w:type="dxa"/>
            <w:tcBorders/>
            <w:vAlign w:val="bottom"/>
          </w:tcPr>
          <w:p>
            <w:pPr>
              <w:pStyle w:val="TableContents"/>
              <w:pBdr/>
              <w:bidi w:val="0"/>
              <w:spacing w:before="0" w:after="0"/>
              <w:ind w:left="0" w:right="0" w:hanging="0"/>
              <w:jc w:val="left"/>
              <w:rPr/>
            </w:pPr>
            <w:r>
              <w:rPr/>
              <w:t xml:space="preserve">  </w:t>
            </w:r>
          </w:p>
        </w:tc>
        <w:tc>
          <w:tcPr>
            <w:tcW w:w="2575"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192.73 </w:t>
            </w:r>
          </w:p>
        </w:tc>
        <w:tc>
          <w:tcPr>
            <w:tcW w:w="154" w:type="dxa"/>
            <w:tcBorders/>
            <w:vAlign w:val="bottom"/>
          </w:tcPr>
          <w:p>
            <w:pPr>
              <w:pStyle w:val="TableContents"/>
              <w:pBdr/>
              <w:bidi w:val="0"/>
              <w:spacing w:before="0" w:after="0"/>
              <w:ind w:left="0" w:right="0" w:hanging="0"/>
              <w:jc w:val="left"/>
              <w:rPr/>
            </w:pPr>
            <w:r>
              <w:rPr/>
              <w:t xml:space="preserve">  </w:t>
            </w:r>
          </w:p>
        </w:tc>
      </w:tr>
      <w:tr>
        <w:trPr/>
        <w:tc>
          <w:tcPr>
            <w:tcW w:w="4665" w:type="dxa"/>
            <w:tcBorders/>
            <w:shd w:fill="CCEEFF" w:val="clear"/>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Options outstanding at </w:t>
            </w:r>
            <w:bookmarkStart w:id="281" w:name="fs_IAE5M66CHS00000000000000000000FM"/>
            <w:bookmarkEnd w:id="281"/>
            <w:r>
              <w:rPr>
                <w:rFonts w:ascii="Times New Roman" w:hAnsi="Times New Roman"/>
                <w:b/>
                <w:sz w:val="20"/>
              </w:rPr>
              <w:t xml:space="preserve">September 30, 2025 </w:t>
            </w:r>
          </w:p>
        </w:tc>
        <w:tc>
          <w:tcPr>
            <w:tcW w:w="137" w:type="dxa"/>
            <w:tcBorders/>
            <w:shd w:fill="CCEEFF" w:val="clear"/>
            <w:vAlign w:val="bottom"/>
          </w:tcPr>
          <w:p>
            <w:pPr>
              <w:pStyle w:val="TableContents"/>
              <w:pBdr/>
              <w:bidi w:val="0"/>
              <w:spacing w:before="0" w:after="0"/>
              <w:ind w:left="0" w:right="0" w:hanging="0"/>
              <w:jc w:val="left"/>
              <w:rPr/>
            </w:pPr>
            <w:r>
              <w:rPr/>
              <w:t xml:space="preserve">  </w:t>
            </w:r>
          </w:p>
        </w:tc>
        <w:tc>
          <w:tcPr>
            <w:tcW w:w="280" w:type="dxa"/>
            <w:tcBorders/>
            <w:shd w:fill="CCEEFF" w:val="clear"/>
            <w:vAlign w:val="bottom"/>
          </w:tcPr>
          <w:p>
            <w:pPr>
              <w:pStyle w:val="TableContents"/>
              <w:bidi w:val="0"/>
              <w:spacing w:before="0" w:after="0"/>
              <w:ind w:left="0" w:right="0" w:hanging="0"/>
              <w:jc w:val="left"/>
              <w:rPr/>
            </w:pPr>
            <w:r>
              <w:rPr/>
              <w:t xml:space="preserve">  </w:t>
            </w:r>
          </w:p>
        </w:tc>
        <w:tc>
          <w:tcPr>
            <w:tcW w:w="1482"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36,010 </w:t>
            </w:r>
          </w:p>
        </w:tc>
        <w:tc>
          <w:tcPr>
            <w:tcW w:w="137" w:type="dxa"/>
            <w:tcBorders/>
            <w:shd w:fill="CCEEFF" w:val="clear"/>
            <w:vAlign w:val="bottom"/>
          </w:tcPr>
          <w:p>
            <w:pPr>
              <w:pStyle w:val="TableContents"/>
              <w:pBdr/>
              <w:bidi w:val="0"/>
              <w:spacing w:before="0" w:after="0"/>
              <w:ind w:left="0" w:right="0" w:hanging="0"/>
              <w:jc w:val="left"/>
              <w:rPr/>
            </w:pPr>
            <w:r>
              <w:rPr/>
              <w:t xml:space="preserve">  </w:t>
            </w:r>
          </w:p>
        </w:tc>
        <w:tc>
          <w:tcPr>
            <w:tcW w:w="136" w:type="dxa"/>
            <w:tcBorders/>
            <w:shd w:fill="CCEEFF" w:val="clear"/>
            <w:vAlign w:val="bottom"/>
          </w:tcPr>
          <w:p>
            <w:pPr>
              <w:pStyle w:val="TableContents"/>
              <w:pBdr/>
              <w:bidi w:val="0"/>
              <w:spacing w:before="0" w:after="0"/>
              <w:ind w:left="0" w:right="0" w:hanging="0"/>
              <w:jc w:val="left"/>
              <w:rPr/>
            </w:pPr>
            <w:r>
              <w:rPr/>
              <w:t xml:space="preserve">  </w:t>
            </w:r>
          </w:p>
        </w:tc>
        <w:tc>
          <w:tcPr>
            <w:tcW w:w="639" w:type="dxa"/>
            <w:tcBorders/>
            <w:shd w:fill="CCEEFF" w:val="clear"/>
            <w:vAlign w:val="bottom"/>
          </w:tcPr>
          <w:p>
            <w:pPr>
              <w:pStyle w:val="TableContents"/>
              <w:pBdr/>
              <w:bidi w:val="0"/>
              <w:spacing w:before="0" w:after="0"/>
              <w:ind w:left="0" w:right="0" w:hanging="0"/>
              <w:jc w:val="left"/>
              <w:rPr/>
            </w:pPr>
            <w:r>
              <w:rPr/>
              <w:t xml:space="preserve">  </w:t>
            </w:r>
          </w:p>
        </w:tc>
        <w:tc>
          <w:tcPr>
            <w:tcW w:w="2575"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42.03 </w:t>
            </w:r>
          </w:p>
        </w:tc>
        <w:tc>
          <w:tcPr>
            <w:tcW w:w="154" w:type="dxa"/>
            <w:tcBorders/>
            <w:shd w:fill="CCEEFF" w:val="clear"/>
            <w:vAlign w:val="bottom"/>
          </w:tcPr>
          <w:p>
            <w:pPr>
              <w:pStyle w:val="TableContents"/>
              <w:pBdr/>
              <w:bidi w:val="0"/>
              <w:spacing w:before="0" w:after="0"/>
              <w:ind w:left="0" w:right="0" w:hanging="0"/>
              <w:jc w:val="left"/>
              <w:rPr/>
            </w:pPr>
            <w:r>
              <w:rPr/>
              <w:t xml:space="preserve">  </w:t>
            </w:r>
          </w:p>
        </w:tc>
      </w:tr>
      <w:tr>
        <w:trPr/>
        <w:tc>
          <w:tcPr>
            <w:tcW w:w="4665"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Options exercisable at end of </w:t>
            </w:r>
            <w:bookmarkStart w:id="282" w:name="fs_KP15R479VK00000000000000000000FM"/>
            <w:bookmarkEnd w:id="282"/>
            <w:r>
              <w:rPr>
                <w:rFonts w:ascii="Times New Roman" w:hAnsi="Times New Roman"/>
                <w:sz w:val="20"/>
              </w:rPr>
              <w:t xml:space="preserve">September 30, 2025 </w:t>
            </w:r>
          </w:p>
        </w:tc>
        <w:tc>
          <w:tcPr>
            <w:tcW w:w="137" w:type="dxa"/>
            <w:tcBorders/>
            <w:vAlign w:val="bottom"/>
          </w:tcPr>
          <w:p>
            <w:pPr>
              <w:pStyle w:val="TableContents"/>
              <w:pBdr/>
              <w:bidi w:val="0"/>
              <w:spacing w:before="0" w:after="0"/>
              <w:ind w:left="0" w:right="0" w:hanging="0"/>
              <w:jc w:val="left"/>
              <w:rPr/>
            </w:pPr>
            <w:r>
              <w:rPr/>
              <w:t xml:space="preserve">  </w:t>
            </w:r>
          </w:p>
        </w:tc>
        <w:tc>
          <w:tcPr>
            <w:tcW w:w="280" w:type="dxa"/>
            <w:tcBorders/>
            <w:vAlign w:val="bottom"/>
          </w:tcPr>
          <w:p>
            <w:pPr>
              <w:pStyle w:val="TableContents"/>
              <w:bidi w:val="0"/>
              <w:spacing w:before="0" w:after="0"/>
              <w:ind w:left="0" w:right="0" w:hanging="0"/>
              <w:jc w:val="left"/>
              <w:rPr/>
            </w:pPr>
            <w:r>
              <w:rPr/>
              <w:t xml:space="preserve">  </w:t>
            </w:r>
          </w:p>
        </w:tc>
        <w:tc>
          <w:tcPr>
            <w:tcW w:w="1482"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22,213</w:t>
            </w:r>
          </w:p>
        </w:tc>
        <w:tc>
          <w:tcPr>
            <w:tcW w:w="137" w:type="dxa"/>
            <w:tcBorders/>
            <w:vAlign w:val="bottom"/>
          </w:tcPr>
          <w:p>
            <w:pPr>
              <w:pStyle w:val="TableContents"/>
              <w:bidi w:val="0"/>
              <w:spacing w:before="0" w:after="283"/>
              <w:ind w:left="0" w:right="0" w:hanging="0"/>
              <w:jc w:val="left"/>
              <w:rPr>
                <w:sz w:val="4"/>
                <w:szCs w:val="4"/>
              </w:rPr>
            </w:pPr>
            <w:r>
              <w:rPr>
                <w:sz w:val="4"/>
                <w:szCs w:val="4"/>
              </w:rPr>
            </w:r>
          </w:p>
        </w:tc>
        <w:tc>
          <w:tcPr>
            <w:tcW w:w="136" w:type="dxa"/>
            <w:tcBorders/>
            <w:vAlign w:val="bottom"/>
          </w:tcPr>
          <w:p>
            <w:pPr>
              <w:pStyle w:val="TableContents"/>
              <w:pBdr/>
              <w:bidi w:val="0"/>
              <w:spacing w:before="0" w:after="0"/>
              <w:ind w:left="0" w:right="0" w:hanging="0"/>
              <w:jc w:val="left"/>
              <w:rPr/>
            </w:pPr>
            <w:r>
              <w:rPr/>
              <w:t xml:space="preserve">  </w:t>
            </w:r>
          </w:p>
        </w:tc>
        <w:tc>
          <w:tcPr>
            <w:tcW w:w="639" w:type="dxa"/>
            <w:tcBorders/>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2575"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62.48 </w:t>
            </w:r>
          </w:p>
        </w:tc>
        <w:tc>
          <w:tcPr>
            <w:tcW w:w="154" w:type="dxa"/>
            <w:tcBorders/>
            <w:vAlign w:val="bottom"/>
          </w:tcPr>
          <w:p>
            <w:pPr>
              <w:pStyle w:val="TableContents"/>
              <w:pBdr/>
              <w:bidi w:val="0"/>
              <w:spacing w:before="0" w:after="0"/>
              <w:ind w:left="0" w:right="0" w:hanging="0"/>
              <w:jc w:val="left"/>
              <w:rPr/>
            </w:pPr>
            <w:r>
              <w:rPr/>
              <w:t xml:space="preserve">  </w:t>
            </w:r>
          </w:p>
        </w:tc>
      </w:tr>
    </w:tbl>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As of </w:t>
      </w:r>
      <w:bookmarkStart w:id="283" w:name="fs_WFRRH67BLC00000000000000000000FM"/>
      <w:bookmarkEnd w:id="283"/>
      <w:r>
        <w:rPr>
          <w:rFonts w:ascii="times new roman;times" w:hAnsi="times new roman;times"/>
          <w:sz w:val="20"/>
        </w:rPr>
        <w:t xml:space="preserve">September 30, 2025, </w:t>
      </w:r>
      <w:r>
        <w:rPr>
          <w:rFonts w:ascii="Times New Roman" w:hAnsi="Times New Roman"/>
          <w:sz w:val="20"/>
        </w:rPr>
        <w:t>the total remaining unrecognized compensation cost related to non-vested stock options, net of forfeitures, was approximately $44, which will be recognized over a weighted average period of 1.22 years.</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Share based compensation expense has been recorded as follows: </w:t>
      </w:r>
    </w:p>
    <w:p>
      <w:pPr>
        <w:pStyle w:val="TextBody"/>
        <w:bidi w:val="0"/>
        <w:spacing w:lineRule="auto" w:line="288"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079"/>
        <w:gridCol w:w="126"/>
        <w:gridCol w:w="456"/>
        <w:gridCol w:w="859"/>
        <w:gridCol w:w="322"/>
        <w:gridCol w:w="322"/>
        <w:gridCol w:w="456"/>
        <w:gridCol w:w="739"/>
        <w:gridCol w:w="125"/>
        <w:gridCol w:w="24"/>
        <w:gridCol w:w="557"/>
        <w:gridCol w:w="1165"/>
        <w:gridCol w:w="102"/>
        <w:gridCol w:w="101"/>
        <w:gridCol w:w="557"/>
        <w:gridCol w:w="1175"/>
        <w:gridCol w:w="40"/>
      </w:tblGrid>
      <w:tr>
        <w:trPr/>
        <w:tc>
          <w:tcPr>
            <w:tcW w:w="3079" w:type="dxa"/>
            <w:tcBorders/>
            <w:vAlign w:val="bottom"/>
          </w:tcPr>
          <w:p>
            <w:pPr>
              <w:pStyle w:val="TableContents"/>
              <w:pBdr/>
              <w:bidi w:val="0"/>
              <w:spacing w:before="0" w:after="0"/>
              <w:ind w:left="0" w:right="0" w:hanging="0"/>
              <w:jc w:val="left"/>
              <w:rPr/>
            </w:pPr>
            <w:r>
              <w:rPr/>
              <w:t xml:space="preserve">  </w:t>
            </w:r>
          </w:p>
        </w:tc>
        <w:tc>
          <w:tcPr>
            <w:tcW w:w="126" w:type="dxa"/>
            <w:tcBorders/>
            <w:vAlign w:val="bottom"/>
          </w:tcPr>
          <w:p>
            <w:pPr>
              <w:pStyle w:val="TableContents"/>
              <w:pBdr/>
              <w:bidi w:val="0"/>
              <w:spacing w:before="0" w:after="0"/>
              <w:ind w:left="0" w:right="0" w:hanging="0"/>
              <w:jc w:val="left"/>
              <w:rPr/>
            </w:pPr>
            <w:r>
              <w:rPr/>
              <w:t xml:space="preserve">  </w:t>
            </w:r>
          </w:p>
        </w:tc>
        <w:tc>
          <w:tcPr>
            <w:tcW w:w="3154" w:type="dxa"/>
            <w:gridSpan w:val="6"/>
            <w:tcBorders/>
            <w:vAlign w:val="bottom"/>
          </w:tcPr>
          <w:p>
            <w:pPr>
              <w:pStyle w:val="TableContents"/>
              <w:pBdr/>
              <w:bidi w:val="0"/>
              <w:spacing w:before="0" w:after="0"/>
              <w:ind w:left="0" w:right="0" w:hanging="0"/>
              <w:jc w:val="center"/>
              <w:rPr>
                <w:rFonts w:ascii="Times New Roman" w:hAnsi="Times New Roman"/>
                <w:b/>
                <w:sz w:val="20"/>
              </w:rPr>
            </w:pPr>
            <w:bookmarkStart w:id="284" w:name="fs_TFYKBO3QIO00000000000000000000FM"/>
            <w:bookmarkEnd w:id="284"/>
            <w:r>
              <w:rPr>
                <w:rFonts w:ascii="Times New Roman" w:hAnsi="Times New Roman"/>
                <w:b/>
                <w:sz w:val="20"/>
              </w:rPr>
              <w:t xml:space="preserve">Three months ended September 30, </w:t>
            </w:r>
          </w:p>
        </w:tc>
        <w:tc>
          <w:tcPr>
            <w:tcW w:w="125" w:type="dxa"/>
            <w:tcBorders/>
            <w:vAlign w:val="bottom"/>
          </w:tcPr>
          <w:p>
            <w:pPr>
              <w:pStyle w:val="TableContents"/>
              <w:pBdr/>
              <w:bidi w:val="0"/>
              <w:spacing w:before="0" w:after="0"/>
              <w:ind w:left="0" w:right="0" w:hanging="0"/>
              <w:jc w:val="left"/>
              <w:rPr/>
            </w:pPr>
            <w:r>
              <w:rPr/>
              <w:t xml:space="preserve">  </w:t>
            </w:r>
          </w:p>
        </w:tc>
        <w:tc>
          <w:tcPr>
            <w:tcW w:w="24" w:type="dxa"/>
            <w:tcBorders/>
            <w:vAlign w:val="center"/>
          </w:tcPr>
          <w:p>
            <w:pPr>
              <w:pStyle w:val="TableContents"/>
              <w:bidi w:val="0"/>
              <w:spacing w:before="0" w:after="283"/>
              <w:ind w:left="0" w:right="0" w:hanging="0"/>
              <w:jc w:val="left"/>
              <w:rPr/>
            </w:pPr>
            <w:r>
              <w:rPr/>
            </w:r>
          </w:p>
        </w:tc>
        <w:tc>
          <w:tcPr>
            <w:tcW w:w="3657" w:type="dxa"/>
            <w:gridSpan w:val="6"/>
            <w:tcBorders/>
            <w:vAlign w:val="center"/>
          </w:tcPr>
          <w:p>
            <w:pPr>
              <w:pStyle w:val="TableContents"/>
              <w:bidi w:val="0"/>
              <w:spacing w:before="0" w:after="0"/>
              <w:ind w:left="0" w:right="0" w:hanging="0"/>
              <w:jc w:val="center"/>
              <w:rPr>
                <w:b/>
              </w:rPr>
            </w:pPr>
            <w:bookmarkStart w:id="285" w:name="fs_PK0BUVYLKG00000000000000000000FM"/>
            <w:bookmarkEnd w:id="285"/>
            <w:r>
              <w:rPr>
                <w:b/>
              </w:rPr>
              <w:t>Nine months ended September 30,</w:t>
            </w:r>
          </w:p>
        </w:tc>
        <w:tc>
          <w:tcPr>
            <w:tcW w:w="40" w:type="dxa"/>
            <w:tcBorders/>
            <w:vAlign w:val="center"/>
          </w:tcPr>
          <w:p>
            <w:pPr>
              <w:pStyle w:val="TableContents"/>
              <w:bidi w:val="0"/>
              <w:spacing w:before="0" w:after="283"/>
              <w:ind w:left="0" w:right="0" w:hanging="0"/>
              <w:jc w:val="left"/>
              <w:rPr/>
            </w:pPr>
            <w:r>
              <w:rPr/>
            </w:r>
          </w:p>
        </w:tc>
      </w:tr>
      <w:tr>
        <w:trPr/>
        <w:tc>
          <w:tcPr>
            <w:tcW w:w="3079" w:type="dxa"/>
            <w:tcBorders/>
            <w:vAlign w:val="bottom"/>
          </w:tcPr>
          <w:p>
            <w:pPr>
              <w:pStyle w:val="TableContents"/>
              <w:pBdr/>
              <w:bidi w:val="0"/>
              <w:spacing w:before="0" w:after="0"/>
              <w:ind w:left="0" w:right="0" w:hanging="0"/>
              <w:jc w:val="left"/>
              <w:rPr/>
            </w:pPr>
            <w:r>
              <w:rPr/>
              <w:t xml:space="preserve">  </w:t>
            </w:r>
          </w:p>
        </w:tc>
        <w:tc>
          <w:tcPr>
            <w:tcW w:w="126" w:type="dxa"/>
            <w:tcBorders/>
            <w:vAlign w:val="bottom"/>
          </w:tcPr>
          <w:p>
            <w:pPr>
              <w:pStyle w:val="TableContents"/>
              <w:pBdr/>
              <w:bidi w:val="0"/>
              <w:spacing w:before="0" w:after="0"/>
              <w:ind w:left="0" w:right="0" w:hanging="0"/>
              <w:jc w:val="left"/>
              <w:rPr/>
            </w:pPr>
            <w:r>
              <w:rPr/>
              <w:t xml:space="preserve">  </w:t>
            </w:r>
          </w:p>
        </w:tc>
        <w:tc>
          <w:tcPr>
            <w:tcW w:w="1315" w:type="dxa"/>
            <w:gridSpan w:val="2"/>
            <w:tcBorders/>
            <w:vAlign w:val="bottom"/>
          </w:tcPr>
          <w:p>
            <w:pPr>
              <w:pStyle w:val="TableContents"/>
              <w:pBdr/>
              <w:bidi w:val="0"/>
              <w:spacing w:before="0" w:after="0"/>
              <w:ind w:left="0" w:right="0" w:hanging="0"/>
              <w:jc w:val="center"/>
              <w:rPr>
                <w:rFonts w:ascii="Times New Roman" w:hAnsi="Times New Roman"/>
                <w:b/>
                <w:sz w:val="20"/>
              </w:rPr>
            </w:pPr>
            <w:bookmarkStart w:id="286" w:name="fs_VKWCKGDRKW00000000000000000000fs"/>
            <w:bookmarkEnd w:id="286"/>
            <w:r>
              <w:rPr>
                <w:rFonts w:ascii="Times New Roman" w:hAnsi="Times New Roman"/>
                <w:b/>
                <w:sz w:val="20"/>
              </w:rPr>
              <w:t xml:space="preserve">2025 </w:t>
            </w:r>
          </w:p>
        </w:tc>
        <w:tc>
          <w:tcPr>
            <w:tcW w:w="322" w:type="dxa"/>
            <w:tcBorders/>
            <w:vAlign w:val="bottom"/>
          </w:tcPr>
          <w:p>
            <w:pPr>
              <w:pStyle w:val="TableContents"/>
              <w:pBdr/>
              <w:bidi w:val="0"/>
              <w:spacing w:before="0" w:after="0"/>
              <w:ind w:left="0" w:right="0" w:hanging="0"/>
              <w:jc w:val="left"/>
              <w:rPr/>
            </w:pPr>
            <w:r>
              <w:rPr/>
              <w:t xml:space="preserve">  </w:t>
            </w:r>
          </w:p>
        </w:tc>
        <w:tc>
          <w:tcPr>
            <w:tcW w:w="322" w:type="dxa"/>
            <w:tcBorders/>
            <w:vAlign w:val="bottom"/>
          </w:tcPr>
          <w:p>
            <w:pPr>
              <w:pStyle w:val="TableContents"/>
              <w:pBdr/>
              <w:bidi w:val="0"/>
              <w:spacing w:before="0" w:after="0"/>
              <w:ind w:left="0" w:right="0" w:hanging="0"/>
              <w:jc w:val="left"/>
              <w:rPr/>
            </w:pPr>
            <w:r>
              <w:rPr/>
              <w:t xml:space="preserve">  </w:t>
            </w:r>
          </w:p>
        </w:tc>
        <w:tc>
          <w:tcPr>
            <w:tcW w:w="1195" w:type="dxa"/>
            <w:gridSpan w:val="2"/>
            <w:tcBorders/>
            <w:vAlign w:val="bottom"/>
          </w:tcPr>
          <w:p>
            <w:pPr>
              <w:pStyle w:val="TableContents"/>
              <w:pBdr/>
              <w:bidi w:val="0"/>
              <w:spacing w:before="0" w:after="0"/>
              <w:ind w:left="0" w:right="0" w:hanging="0"/>
              <w:jc w:val="center"/>
              <w:rPr>
                <w:rFonts w:ascii="Times New Roman" w:hAnsi="Times New Roman"/>
                <w:b/>
                <w:sz w:val="20"/>
              </w:rPr>
            </w:pPr>
            <w:bookmarkStart w:id="287" w:name="fs_V6FSZIKM0G00000000000000000000fs"/>
            <w:bookmarkEnd w:id="287"/>
            <w:r>
              <w:rPr>
                <w:rFonts w:ascii="Times New Roman" w:hAnsi="Times New Roman"/>
                <w:b/>
                <w:sz w:val="20"/>
              </w:rPr>
              <w:t xml:space="preserve">2024 </w:t>
            </w:r>
          </w:p>
        </w:tc>
        <w:tc>
          <w:tcPr>
            <w:tcW w:w="125" w:type="dxa"/>
            <w:tcBorders/>
            <w:vAlign w:val="bottom"/>
          </w:tcPr>
          <w:p>
            <w:pPr>
              <w:pStyle w:val="TableContents"/>
              <w:pBdr/>
              <w:bidi w:val="0"/>
              <w:spacing w:before="0" w:after="0"/>
              <w:ind w:left="0" w:right="0" w:hanging="0"/>
              <w:jc w:val="left"/>
              <w:rPr/>
            </w:pPr>
            <w:r>
              <w:rPr/>
              <w:t xml:space="preserve">  </w:t>
            </w:r>
          </w:p>
        </w:tc>
        <w:tc>
          <w:tcPr>
            <w:tcW w:w="24" w:type="dxa"/>
            <w:tcBorders/>
            <w:vAlign w:val="center"/>
          </w:tcPr>
          <w:p>
            <w:pPr>
              <w:pStyle w:val="TableContents"/>
              <w:bidi w:val="0"/>
              <w:spacing w:before="0" w:after="283"/>
              <w:ind w:left="0" w:right="0" w:hanging="0"/>
              <w:jc w:val="left"/>
              <w:rPr/>
            </w:pPr>
            <w:r>
              <w:rPr/>
            </w:r>
          </w:p>
        </w:tc>
        <w:tc>
          <w:tcPr>
            <w:tcW w:w="1722" w:type="dxa"/>
            <w:gridSpan w:val="2"/>
            <w:tcBorders/>
            <w:vAlign w:val="center"/>
          </w:tcPr>
          <w:p>
            <w:pPr>
              <w:pStyle w:val="TableContents"/>
              <w:bidi w:val="0"/>
              <w:spacing w:before="0" w:after="0"/>
              <w:ind w:left="0" w:right="0" w:hanging="0"/>
              <w:jc w:val="center"/>
              <w:rPr>
                <w:b/>
              </w:rPr>
            </w:pPr>
            <w:bookmarkStart w:id="288" w:name="fs_BGDWG48JO000000000000000000000fs"/>
            <w:bookmarkEnd w:id="288"/>
            <w:r>
              <w:rPr>
                <w:b/>
              </w:rPr>
              <w:t>2025</w:t>
            </w:r>
          </w:p>
        </w:tc>
        <w:tc>
          <w:tcPr>
            <w:tcW w:w="102" w:type="dxa"/>
            <w:tcBorders/>
            <w:vAlign w:val="center"/>
          </w:tcPr>
          <w:p>
            <w:pPr>
              <w:pStyle w:val="TableContents"/>
              <w:bidi w:val="0"/>
              <w:spacing w:before="0" w:after="283"/>
              <w:ind w:left="0" w:right="0" w:hanging="0"/>
              <w:jc w:val="left"/>
              <w:rPr/>
            </w:pPr>
            <w:r>
              <w:rPr/>
            </w:r>
          </w:p>
        </w:tc>
        <w:tc>
          <w:tcPr>
            <w:tcW w:w="101" w:type="dxa"/>
            <w:tcBorders/>
            <w:vAlign w:val="center"/>
          </w:tcPr>
          <w:p>
            <w:pPr>
              <w:pStyle w:val="TableContents"/>
              <w:bidi w:val="0"/>
              <w:spacing w:before="0" w:after="283"/>
              <w:ind w:left="0" w:right="0" w:hanging="0"/>
              <w:jc w:val="left"/>
              <w:rPr/>
            </w:pPr>
            <w:r>
              <w:rPr/>
            </w:r>
          </w:p>
        </w:tc>
        <w:tc>
          <w:tcPr>
            <w:tcW w:w="1732" w:type="dxa"/>
            <w:gridSpan w:val="2"/>
            <w:tcBorders/>
            <w:vAlign w:val="center"/>
          </w:tcPr>
          <w:p>
            <w:pPr>
              <w:pStyle w:val="TableContents"/>
              <w:bidi w:val="0"/>
              <w:spacing w:before="0" w:after="0"/>
              <w:ind w:left="0" w:right="0" w:hanging="0"/>
              <w:jc w:val="center"/>
              <w:rPr>
                <w:b/>
              </w:rPr>
            </w:pPr>
            <w:bookmarkStart w:id="289" w:name="fs_DI2GSB9GSG00000000000000000000fs"/>
            <w:bookmarkEnd w:id="289"/>
            <w:r>
              <w:rPr>
                <w:b/>
              </w:rPr>
              <w:t>2024</w:t>
            </w:r>
          </w:p>
        </w:tc>
        <w:tc>
          <w:tcPr>
            <w:tcW w:w="40" w:type="dxa"/>
            <w:tcBorders/>
            <w:vAlign w:val="center"/>
          </w:tcPr>
          <w:p>
            <w:pPr>
              <w:pStyle w:val="TableContents"/>
              <w:bidi w:val="0"/>
              <w:spacing w:before="0" w:after="283"/>
              <w:jc w:val="left"/>
              <w:rPr/>
            </w:pPr>
            <w:r>
              <w:rPr/>
            </w:r>
          </w:p>
        </w:tc>
      </w:tr>
      <w:tr>
        <w:trPr/>
        <w:tc>
          <w:tcPr>
            <w:tcW w:w="3079" w:type="dxa"/>
            <w:tcBorders/>
            <w:shd w:fill="CCEEFF" w:val="clear"/>
            <w:vAlign w:val="bottom"/>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 xml:space="preserve">Cost of goods sold </w:t>
            </w:r>
          </w:p>
        </w:tc>
        <w:tc>
          <w:tcPr>
            <w:tcW w:w="126" w:type="dxa"/>
            <w:tcBorders/>
            <w:shd w:fill="CCEEFF" w:val="clear"/>
            <w:vAlign w:val="bottom"/>
          </w:tcPr>
          <w:p>
            <w:pPr>
              <w:pStyle w:val="TableContents"/>
              <w:pBdr/>
              <w:bidi w:val="0"/>
              <w:spacing w:before="0" w:after="0"/>
              <w:ind w:left="0" w:right="0" w:hanging="0"/>
              <w:jc w:val="left"/>
              <w:rPr/>
            </w:pPr>
            <w:r>
              <w:rPr/>
              <w:t xml:space="preserve">  </w:t>
            </w:r>
          </w:p>
        </w:tc>
        <w:tc>
          <w:tcPr>
            <w:tcW w:w="456"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859" w:type="dxa"/>
            <w:tcBorders/>
            <w:shd w:fill="CCEEFF" w:val="clear"/>
            <w:vAlign w:val="bottom"/>
          </w:tcPr>
          <w:p>
            <w:pPr>
              <w:pStyle w:val="TableContents"/>
              <w:pBdr/>
              <w:bidi w:val="0"/>
              <w:spacing w:before="0" w:after="0"/>
              <w:ind w:left="0" w:right="0" w:hanging="0"/>
              <w:jc w:val="right"/>
              <w:rPr/>
            </w:pPr>
            <w:r>
              <w:rPr/>
              <w:t xml:space="preserve">— </w:t>
            </w:r>
          </w:p>
        </w:tc>
        <w:tc>
          <w:tcPr>
            <w:tcW w:w="322" w:type="dxa"/>
            <w:tcBorders/>
            <w:shd w:fill="CCEEFF" w:val="clear"/>
            <w:vAlign w:val="bottom"/>
          </w:tcPr>
          <w:p>
            <w:pPr>
              <w:pStyle w:val="TableContents"/>
              <w:pBdr/>
              <w:bidi w:val="0"/>
              <w:spacing w:before="0" w:after="0"/>
              <w:ind w:left="0" w:right="0" w:hanging="0"/>
              <w:jc w:val="left"/>
              <w:rPr/>
            </w:pPr>
            <w:r>
              <w:rPr/>
              <w:t xml:space="preserve">  </w:t>
            </w:r>
          </w:p>
        </w:tc>
        <w:tc>
          <w:tcPr>
            <w:tcW w:w="322" w:type="dxa"/>
            <w:tcBorders/>
            <w:shd w:fill="CCEEFF" w:val="clear"/>
            <w:vAlign w:val="bottom"/>
          </w:tcPr>
          <w:p>
            <w:pPr>
              <w:pStyle w:val="TableContents"/>
              <w:pBdr/>
              <w:bidi w:val="0"/>
              <w:spacing w:before="0" w:after="0"/>
              <w:ind w:left="0" w:right="0" w:hanging="0"/>
              <w:jc w:val="left"/>
              <w:rPr/>
            </w:pPr>
            <w:r>
              <w:rPr/>
              <w:t xml:space="preserve">  </w:t>
            </w:r>
          </w:p>
        </w:tc>
        <w:tc>
          <w:tcPr>
            <w:tcW w:w="456"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739"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2 </w:t>
            </w:r>
          </w:p>
        </w:tc>
        <w:tc>
          <w:tcPr>
            <w:tcW w:w="125" w:type="dxa"/>
            <w:tcBorders/>
            <w:shd w:fill="CCEEFF" w:val="clear"/>
            <w:vAlign w:val="bottom"/>
          </w:tcPr>
          <w:p>
            <w:pPr>
              <w:pStyle w:val="TableContents"/>
              <w:pBdr/>
              <w:bidi w:val="0"/>
              <w:spacing w:before="0" w:after="0"/>
              <w:ind w:left="0" w:right="0" w:hanging="0"/>
              <w:jc w:val="left"/>
              <w:rPr/>
            </w:pPr>
            <w:r>
              <w:rPr/>
              <w:t xml:space="preserve">  </w:t>
            </w:r>
          </w:p>
        </w:tc>
        <w:tc>
          <w:tcPr>
            <w:tcW w:w="24" w:type="dxa"/>
            <w:tcBorders/>
            <w:shd w:fill="CCEEFF" w:val="clear"/>
            <w:vAlign w:val="center"/>
          </w:tcPr>
          <w:p>
            <w:pPr>
              <w:pStyle w:val="TableContents"/>
              <w:bidi w:val="0"/>
              <w:spacing w:before="0" w:after="283"/>
              <w:ind w:left="0" w:right="0" w:hanging="0"/>
              <w:jc w:val="left"/>
              <w:rPr/>
            </w:pPr>
            <w:r>
              <w:rPr/>
            </w:r>
          </w:p>
        </w:tc>
        <w:tc>
          <w:tcPr>
            <w:tcW w:w="557" w:type="dxa"/>
            <w:tcBorders/>
            <w:shd w:fill="CCEEFF" w:val="clear"/>
            <w:vAlign w:val="center"/>
          </w:tcPr>
          <w:p>
            <w:pPr>
              <w:pStyle w:val="TableContents"/>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165" w:type="dxa"/>
            <w:tcBorders/>
            <w:shd w:fill="CCEEFF" w:val="clear"/>
            <w:vAlign w:val="center"/>
          </w:tcPr>
          <w:p>
            <w:pPr>
              <w:pStyle w:val="TableContents"/>
              <w:bidi w:val="0"/>
              <w:spacing w:before="0" w:after="0"/>
              <w:ind w:left="0" w:right="0" w:hanging="0"/>
              <w:jc w:val="right"/>
              <w:rPr/>
            </w:pPr>
            <w:r>
              <w:rPr/>
              <w:t>1</w:t>
            </w:r>
          </w:p>
        </w:tc>
        <w:tc>
          <w:tcPr>
            <w:tcW w:w="102" w:type="dxa"/>
            <w:tcBorders/>
            <w:shd w:fill="CCEEFF" w:val="clear"/>
            <w:vAlign w:val="center"/>
          </w:tcPr>
          <w:p>
            <w:pPr>
              <w:pStyle w:val="TableContents"/>
              <w:bidi w:val="0"/>
              <w:spacing w:before="0" w:after="283"/>
              <w:ind w:left="0" w:right="0" w:hanging="0"/>
              <w:jc w:val="left"/>
              <w:rPr/>
            </w:pPr>
            <w:r>
              <w:rPr/>
            </w:r>
          </w:p>
        </w:tc>
        <w:tc>
          <w:tcPr>
            <w:tcW w:w="101" w:type="dxa"/>
            <w:tcBorders/>
            <w:shd w:fill="CCEEFF" w:val="clear"/>
            <w:vAlign w:val="center"/>
          </w:tcPr>
          <w:p>
            <w:pPr>
              <w:pStyle w:val="TableContents"/>
              <w:bidi w:val="0"/>
              <w:spacing w:before="0" w:after="283"/>
              <w:ind w:left="0" w:right="0" w:hanging="0"/>
              <w:jc w:val="left"/>
              <w:rPr/>
            </w:pPr>
            <w:r>
              <w:rPr/>
            </w:r>
          </w:p>
        </w:tc>
        <w:tc>
          <w:tcPr>
            <w:tcW w:w="557" w:type="dxa"/>
            <w:tcBorders/>
            <w:shd w:fill="CCEEFF" w:val="clear"/>
            <w:vAlign w:val="center"/>
          </w:tcPr>
          <w:p>
            <w:pPr>
              <w:pStyle w:val="TableContents"/>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175" w:type="dxa"/>
            <w:tcBorders/>
            <w:shd w:fill="CCEEFF" w:val="clear"/>
            <w:vAlign w:val="center"/>
          </w:tcPr>
          <w:p>
            <w:pPr>
              <w:pStyle w:val="TableContents"/>
              <w:bidi w:val="0"/>
              <w:spacing w:before="0" w:after="0"/>
              <w:ind w:left="0" w:right="0" w:hanging="0"/>
              <w:jc w:val="right"/>
              <w:rPr/>
            </w:pPr>
            <w:r>
              <w:rPr/>
              <w:t>6</w:t>
            </w:r>
          </w:p>
        </w:tc>
        <w:tc>
          <w:tcPr>
            <w:tcW w:w="40" w:type="dxa"/>
            <w:tcBorders/>
            <w:shd w:fill="CCEEFF" w:val="clear"/>
            <w:vAlign w:val="center"/>
          </w:tcPr>
          <w:p>
            <w:pPr>
              <w:pStyle w:val="TableContents"/>
              <w:bidi w:val="0"/>
              <w:spacing w:before="0" w:after="283"/>
              <w:ind w:left="0" w:right="0" w:hanging="0"/>
              <w:jc w:val="left"/>
              <w:rPr/>
            </w:pPr>
            <w:r>
              <w:rPr/>
            </w:r>
          </w:p>
        </w:tc>
      </w:tr>
      <w:tr>
        <w:trPr/>
        <w:tc>
          <w:tcPr>
            <w:tcW w:w="3079" w:type="dxa"/>
            <w:tcBorders/>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Sales and marketing </w:t>
            </w:r>
          </w:p>
        </w:tc>
        <w:tc>
          <w:tcPr>
            <w:tcW w:w="126" w:type="dxa"/>
            <w:tcBorders/>
            <w:vAlign w:val="bottom"/>
          </w:tcPr>
          <w:p>
            <w:pPr>
              <w:pStyle w:val="TableContents"/>
              <w:pBdr/>
              <w:bidi w:val="0"/>
              <w:spacing w:before="0" w:after="0"/>
              <w:ind w:left="0" w:right="0" w:hanging="0"/>
              <w:jc w:val="left"/>
              <w:rPr/>
            </w:pPr>
            <w:r>
              <w:rPr/>
              <w:t xml:space="preserve">  </w:t>
            </w:r>
          </w:p>
        </w:tc>
        <w:tc>
          <w:tcPr>
            <w:tcW w:w="456" w:type="dxa"/>
            <w:tcBorders/>
            <w:vAlign w:val="bottom"/>
          </w:tcPr>
          <w:p>
            <w:pPr>
              <w:pStyle w:val="TableContents"/>
              <w:pBdr/>
              <w:bidi w:val="0"/>
              <w:spacing w:before="0" w:after="0"/>
              <w:ind w:left="0" w:right="0" w:hanging="0"/>
              <w:jc w:val="left"/>
              <w:rPr/>
            </w:pPr>
            <w:r>
              <w:rPr/>
              <w:t xml:space="preserve">  </w:t>
            </w:r>
          </w:p>
        </w:tc>
        <w:tc>
          <w:tcPr>
            <w:tcW w:w="859"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w:t>
            </w:r>
          </w:p>
        </w:tc>
        <w:tc>
          <w:tcPr>
            <w:tcW w:w="322" w:type="dxa"/>
            <w:tcBorders/>
            <w:vAlign w:val="bottom"/>
          </w:tcPr>
          <w:p>
            <w:pPr>
              <w:pStyle w:val="TableContents"/>
              <w:bidi w:val="0"/>
              <w:spacing w:before="0" w:after="283"/>
              <w:ind w:left="0" w:right="0" w:hanging="0"/>
              <w:jc w:val="left"/>
              <w:rPr>
                <w:sz w:val="4"/>
                <w:szCs w:val="4"/>
              </w:rPr>
            </w:pPr>
            <w:r>
              <w:rPr>
                <w:sz w:val="4"/>
                <w:szCs w:val="4"/>
              </w:rPr>
            </w:r>
          </w:p>
        </w:tc>
        <w:tc>
          <w:tcPr>
            <w:tcW w:w="322" w:type="dxa"/>
            <w:tcBorders/>
            <w:vAlign w:val="bottom"/>
          </w:tcPr>
          <w:p>
            <w:pPr>
              <w:pStyle w:val="TableContents"/>
              <w:pBdr/>
              <w:bidi w:val="0"/>
              <w:spacing w:before="0" w:after="0"/>
              <w:ind w:left="0" w:right="0" w:hanging="0"/>
              <w:jc w:val="left"/>
              <w:rPr/>
            </w:pPr>
            <w:r>
              <w:rPr/>
              <w:t xml:space="preserve">  </w:t>
            </w:r>
          </w:p>
        </w:tc>
        <w:tc>
          <w:tcPr>
            <w:tcW w:w="456" w:type="dxa"/>
            <w:tcBorders/>
            <w:vAlign w:val="bottom"/>
          </w:tcPr>
          <w:p>
            <w:pPr>
              <w:pStyle w:val="TableContents"/>
              <w:pBdr/>
              <w:bidi w:val="0"/>
              <w:spacing w:before="0" w:after="0"/>
              <w:ind w:left="0" w:right="0" w:hanging="0"/>
              <w:jc w:val="left"/>
              <w:rPr/>
            </w:pPr>
            <w:r>
              <w:rPr/>
              <w:t xml:space="preserve">  </w:t>
            </w:r>
          </w:p>
        </w:tc>
        <w:tc>
          <w:tcPr>
            <w:tcW w:w="739"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2 </w:t>
            </w:r>
          </w:p>
        </w:tc>
        <w:tc>
          <w:tcPr>
            <w:tcW w:w="125" w:type="dxa"/>
            <w:tcBorders/>
            <w:vAlign w:val="bottom"/>
          </w:tcPr>
          <w:p>
            <w:pPr>
              <w:pStyle w:val="TableContents"/>
              <w:pBdr/>
              <w:bidi w:val="0"/>
              <w:spacing w:before="0" w:after="0"/>
              <w:ind w:left="0" w:right="0" w:hanging="0"/>
              <w:jc w:val="left"/>
              <w:rPr/>
            </w:pPr>
            <w:r>
              <w:rPr/>
              <w:t xml:space="preserve">  </w:t>
            </w:r>
          </w:p>
        </w:tc>
        <w:tc>
          <w:tcPr>
            <w:tcW w:w="24" w:type="dxa"/>
            <w:tcBorders/>
            <w:vAlign w:val="center"/>
          </w:tcPr>
          <w:p>
            <w:pPr>
              <w:pStyle w:val="TableContents"/>
              <w:bidi w:val="0"/>
              <w:spacing w:before="0" w:after="283"/>
              <w:ind w:left="0" w:right="0" w:hanging="0"/>
              <w:jc w:val="left"/>
              <w:rPr/>
            </w:pPr>
            <w:r>
              <w:rPr/>
            </w:r>
          </w:p>
        </w:tc>
        <w:tc>
          <w:tcPr>
            <w:tcW w:w="557" w:type="dxa"/>
            <w:tcBorders/>
            <w:vAlign w:val="center"/>
          </w:tcPr>
          <w:p>
            <w:pPr>
              <w:pStyle w:val="TableContents"/>
              <w:bidi w:val="0"/>
              <w:spacing w:before="0" w:after="283"/>
              <w:ind w:left="0" w:right="0" w:hanging="0"/>
              <w:jc w:val="left"/>
              <w:rPr/>
            </w:pPr>
            <w:r>
              <w:rPr/>
            </w:r>
          </w:p>
        </w:tc>
        <w:tc>
          <w:tcPr>
            <w:tcW w:w="1165" w:type="dxa"/>
            <w:tcBorders/>
            <w:vAlign w:val="center"/>
          </w:tcPr>
          <w:p>
            <w:pPr>
              <w:pStyle w:val="TableContents"/>
              <w:bidi w:val="0"/>
              <w:spacing w:before="0" w:after="0"/>
              <w:ind w:left="0" w:right="0" w:hanging="0"/>
              <w:jc w:val="right"/>
              <w:rPr/>
            </w:pPr>
            <w:r>
              <w:rPr/>
              <w:t>17</w:t>
            </w:r>
          </w:p>
        </w:tc>
        <w:tc>
          <w:tcPr>
            <w:tcW w:w="102" w:type="dxa"/>
            <w:tcBorders/>
            <w:vAlign w:val="center"/>
          </w:tcPr>
          <w:p>
            <w:pPr>
              <w:pStyle w:val="TableContents"/>
              <w:bidi w:val="0"/>
              <w:spacing w:before="0" w:after="283"/>
              <w:ind w:left="0" w:right="0" w:hanging="0"/>
              <w:jc w:val="left"/>
              <w:rPr/>
            </w:pPr>
            <w:r>
              <w:rPr/>
            </w:r>
          </w:p>
        </w:tc>
        <w:tc>
          <w:tcPr>
            <w:tcW w:w="101" w:type="dxa"/>
            <w:tcBorders/>
            <w:vAlign w:val="center"/>
          </w:tcPr>
          <w:p>
            <w:pPr>
              <w:pStyle w:val="TableContents"/>
              <w:bidi w:val="0"/>
              <w:spacing w:before="0" w:after="283"/>
              <w:ind w:left="0" w:right="0" w:hanging="0"/>
              <w:jc w:val="left"/>
              <w:rPr/>
            </w:pPr>
            <w:r>
              <w:rPr/>
            </w:r>
          </w:p>
        </w:tc>
        <w:tc>
          <w:tcPr>
            <w:tcW w:w="557" w:type="dxa"/>
            <w:tcBorders/>
            <w:vAlign w:val="center"/>
          </w:tcPr>
          <w:p>
            <w:pPr>
              <w:pStyle w:val="TableContents"/>
              <w:bidi w:val="0"/>
              <w:spacing w:before="0" w:after="283"/>
              <w:ind w:left="0" w:right="0" w:hanging="0"/>
              <w:jc w:val="left"/>
              <w:rPr/>
            </w:pPr>
            <w:r>
              <w:rPr/>
            </w:r>
          </w:p>
        </w:tc>
        <w:tc>
          <w:tcPr>
            <w:tcW w:w="1175" w:type="dxa"/>
            <w:tcBorders/>
            <w:vAlign w:val="center"/>
          </w:tcPr>
          <w:p>
            <w:pPr>
              <w:pStyle w:val="TableContents"/>
              <w:bidi w:val="0"/>
              <w:spacing w:before="0" w:after="0"/>
              <w:ind w:left="0" w:right="0" w:hanging="0"/>
              <w:jc w:val="right"/>
              <w:rPr/>
            </w:pPr>
            <w:r>
              <w:rPr/>
              <w:t>9</w:t>
            </w:r>
          </w:p>
        </w:tc>
        <w:tc>
          <w:tcPr>
            <w:tcW w:w="40" w:type="dxa"/>
            <w:tcBorders/>
            <w:vAlign w:val="center"/>
          </w:tcPr>
          <w:p>
            <w:pPr>
              <w:pStyle w:val="TableContents"/>
              <w:bidi w:val="0"/>
              <w:spacing w:before="0" w:after="283"/>
              <w:ind w:left="0" w:right="0" w:hanging="0"/>
              <w:jc w:val="left"/>
              <w:rPr/>
            </w:pPr>
            <w:r>
              <w:rPr/>
            </w:r>
          </w:p>
        </w:tc>
      </w:tr>
      <w:tr>
        <w:trPr/>
        <w:tc>
          <w:tcPr>
            <w:tcW w:w="3079"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Research and product development </w:t>
            </w:r>
          </w:p>
        </w:tc>
        <w:tc>
          <w:tcPr>
            <w:tcW w:w="126" w:type="dxa"/>
            <w:tcBorders/>
            <w:shd w:fill="CCEEFF" w:val="clear"/>
            <w:vAlign w:val="bottom"/>
          </w:tcPr>
          <w:p>
            <w:pPr>
              <w:pStyle w:val="TableContents"/>
              <w:pBdr/>
              <w:bidi w:val="0"/>
              <w:spacing w:before="0" w:after="0"/>
              <w:ind w:left="0" w:right="0" w:hanging="0"/>
              <w:jc w:val="left"/>
              <w:rPr/>
            </w:pPr>
            <w:r>
              <w:rPr/>
              <w:t xml:space="preserve">  </w:t>
            </w:r>
          </w:p>
        </w:tc>
        <w:tc>
          <w:tcPr>
            <w:tcW w:w="456" w:type="dxa"/>
            <w:tcBorders/>
            <w:shd w:fill="CCEEFF" w:val="clear"/>
            <w:vAlign w:val="bottom"/>
          </w:tcPr>
          <w:p>
            <w:pPr>
              <w:pStyle w:val="TableContents"/>
              <w:pBdr/>
              <w:bidi w:val="0"/>
              <w:spacing w:before="0" w:after="0"/>
              <w:ind w:left="0" w:right="0" w:hanging="0"/>
              <w:jc w:val="left"/>
              <w:rPr/>
            </w:pPr>
            <w:r>
              <w:rPr/>
              <w:t xml:space="preserve">  </w:t>
            </w:r>
          </w:p>
        </w:tc>
        <w:tc>
          <w:tcPr>
            <w:tcW w:w="859"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1 </w:t>
            </w:r>
          </w:p>
        </w:tc>
        <w:tc>
          <w:tcPr>
            <w:tcW w:w="322" w:type="dxa"/>
            <w:tcBorders/>
            <w:shd w:fill="CCEEFF" w:val="clear"/>
            <w:vAlign w:val="bottom"/>
          </w:tcPr>
          <w:p>
            <w:pPr>
              <w:pStyle w:val="TableContents"/>
              <w:pBdr/>
              <w:bidi w:val="0"/>
              <w:spacing w:before="0" w:after="0"/>
              <w:ind w:left="0" w:right="0" w:hanging="0"/>
              <w:jc w:val="left"/>
              <w:rPr/>
            </w:pPr>
            <w:r>
              <w:rPr/>
              <w:t xml:space="preserve">  </w:t>
            </w:r>
          </w:p>
        </w:tc>
        <w:tc>
          <w:tcPr>
            <w:tcW w:w="322" w:type="dxa"/>
            <w:tcBorders/>
            <w:shd w:fill="CCEEFF" w:val="clear"/>
            <w:vAlign w:val="bottom"/>
          </w:tcPr>
          <w:p>
            <w:pPr>
              <w:pStyle w:val="TableContents"/>
              <w:pBdr/>
              <w:bidi w:val="0"/>
              <w:spacing w:before="0" w:after="0"/>
              <w:ind w:left="0" w:right="0" w:hanging="0"/>
              <w:jc w:val="left"/>
              <w:rPr/>
            </w:pPr>
            <w:r>
              <w:rPr/>
              <w:t xml:space="preserve">  </w:t>
            </w:r>
          </w:p>
        </w:tc>
        <w:tc>
          <w:tcPr>
            <w:tcW w:w="456" w:type="dxa"/>
            <w:tcBorders/>
            <w:shd w:fill="CCEEFF" w:val="clear"/>
            <w:vAlign w:val="bottom"/>
          </w:tcPr>
          <w:p>
            <w:pPr>
              <w:pStyle w:val="TableContents"/>
              <w:pBdr/>
              <w:bidi w:val="0"/>
              <w:spacing w:before="0" w:after="0"/>
              <w:ind w:left="0" w:right="0" w:hanging="0"/>
              <w:jc w:val="left"/>
              <w:rPr/>
            </w:pPr>
            <w:r>
              <w:rPr/>
              <w:t xml:space="preserve">  </w:t>
            </w:r>
          </w:p>
        </w:tc>
        <w:tc>
          <w:tcPr>
            <w:tcW w:w="739"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14 </w:t>
            </w:r>
          </w:p>
        </w:tc>
        <w:tc>
          <w:tcPr>
            <w:tcW w:w="125" w:type="dxa"/>
            <w:tcBorders/>
            <w:shd w:fill="CCEEFF" w:val="clear"/>
            <w:vAlign w:val="bottom"/>
          </w:tcPr>
          <w:p>
            <w:pPr>
              <w:pStyle w:val="TableContents"/>
              <w:pBdr/>
              <w:bidi w:val="0"/>
              <w:spacing w:before="0" w:after="0"/>
              <w:ind w:left="0" w:right="0" w:hanging="0"/>
              <w:jc w:val="left"/>
              <w:rPr/>
            </w:pPr>
            <w:r>
              <w:rPr/>
              <w:t xml:space="preserve">  </w:t>
            </w:r>
          </w:p>
        </w:tc>
        <w:tc>
          <w:tcPr>
            <w:tcW w:w="24" w:type="dxa"/>
            <w:tcBorders/>
            <w:shd w:fill="CCEEFF" w:val="clear"/>
            <w:vAlign w:val="center"/>
          </w:tcPr>
          <w:p>
            <w:pPr>
              <w:pStyle w:val="TableContents"/>
              <w:bidi w:val="0"/>
              <w:spacing w:before="0" w:after="283"/>
              <w:ind w:left="0" w:right="0" w:hanging="0"/>
              <w:jc w:val="left"/>
              <w:rPr/>
            </w:pPr>
            <w:r>
              <w:rPr/>
            </w:r>
          </w:p>
        </w:tc>
        <w:tc>
          <w:tcPr>
            <w:tcW w:w="557" w:type="dxa"/>
            <w:tcBorders/>
            <w:shd w:fill="CCEEFF" w:val="clear"/>
            <w:vAlign w:val="center"/>
          </w:tcPr>
          <w:p>
            <w:pPr>
              <w:pStyle w:val="TableContents"/>
              <w:bidi w:val="0"/>
              <w:spacing w:before="0" w:after="283"/>
              <w:ind w:left="0" w:right="0" w:hanging="0"/>
              <w:jc w:val="left"/>
              <w:rPr/>
            </w:pPr>
            <w:r>
              <w:rPr/>
            </w:r>
          </w:p>
        </w:tc>
        <w:tc>
          <w:tcPr>
            <w:tcW w:w="1165" w:type="dxa"/>
            <w:tcBorders/>
            <w:shd w:fill="CCEEFF" w:val="clear"/>
            <w:vAlign w:val="center"/>
          </w:tcPr>
          <w:p>
            <w:pPr>
              <w:pStyle w:val="TableContents"/>
              <w:bidi w:val="0"/>
              <w:spacing w:before="0" w:after="0"/>
              <w:ind w:left="0" w:right="0" w:hanging="0"/>
              <w:jc w:val="right"/>
              <w:rPr/>
            </w:pPr>
            <w:r>
              <w:rPr/>
              <w:t>3</w:t>
            </w:r>
          </w:p>
        </w:tc>
        <w:tc>
          <w:tcPr>
            <w:tcW w:w="102" w:type="dxa"/>
            <w:tcBorders/>
            <w:shd w:fill="CCEEFF" w:val="clear"/>
            <w:vAlign w:val="center"/>
          </w:tcPr>
          <w:p>
            <w:pPr>
              <w:pStyle w:val="TableContents"/>
              <w:bidi w:val="0"/>
              <w:spacing w:before="0" w:after="283"/>
              <w:ind w:left="0" w:right="0" w:hanging="0"/>
              <w:jc w:val="left"/>
              <w:rPr/>
            </w:pPr>
            <w:r>
              <w:rPr/>
            </w:r>
          </w:p>
        </w:tc>
        <w:tc>
          <w:tcPr>
            <w:tcW w:w="101" w:type="dxa"/>
            <w:tcBorders/>
            <w:shd w:fill="CCEEFF" w:val="clear"/>
            <w:vAlign w:val="center"/>
          </w:tcPr>
          <w:p>
            <w:pPr>
              <w:pStyle w:val="TableContents"/>
              <w:bidi w:val="0"/>
              <w:spacing w:before="0" w:after="283"/>
              <w:ind w:left="0" w:right="0" w:hanging="0"/>
              <w:jc w:val="left"/>
              <w:rPr/>
            </w:pPr>
            <w:r>
              <w:rPr/>
            </w:r>
          </w:p>
        </w:tc>
        <w:tc>
          <w:tcPr>
            <w:tcW w:w="557" w:type="dxa"/>
            <w:tcBorders/>
            <w:shd w:fill="CCEEFF" w:val="clear"/>
            <w:vAlign w:val="center"/>
          </w:tcPr>
          <w:p>
            <w:pPr>
              <w:pStyle w:val="TableContents"/>
              <w:bidi w:val="0"/>
              <w:spacing w:before="0" w:after="283"/>
              <w:ind w:left="0" w:right="0" w:hanging="0"/>
              <w:jc w:val="left"/>
              <w:rPr/>
            </w:pPr>
            <w:r>
              <w:rPr/>
            </w:r>
          </w:p>
        </w:tc>
        <w:tc>
          <w:tcPr>
            <w:tcW w:w="1175" w:type="dxa"/>
            <w:tcBorders/>
            <w:shd w:fill="CCEEFF" w:val="clear"/>
            <w:vAlign w:val="center"/>
          </w:tcPr>
          <w:p>
            <w:pPr>
              <w:pStyle w:val="TableContents"/>
              <w:bidi w:val="0"/>
              <w:spacing w:before="0" w:after="0"/>
              <w:ind w:left="0" w:right="0" w:hanging="0"/>
              <w:jc w:val="right"/>
              <w:rPr/>
            </w:pPr>
            <w:r>
              <w:rPr/>
              <w:t>38</w:t>
            </w:r>
          </w:p>
        </w:tc>
        <w:tc>
          <w:tcPr>
            <w:tcW w:w="40" w:type="dxa"/>
            <w:tcBorders/>
            <w:shd w:fill="CCEEFF" w:val="clear"/>
            <w:vAlign w:val="center"/>
          </w:tcPr>
          <w:p>
            <w:pPr>
              <w:pStyle w:val="TableContents"/>
              <w:bidi w:val="0"/>
              <w:spacing w:before="0" w:after="283"/>
              <w:ind w:left="0" w:right="0" w:hanging="0"/>
              <w:jc w:val="left"/>
              <w:rPr/>
            </w:pPr>
            <w:r>
              <w:rPr/>
            </w:r>
          </w:p>
        </w:tc>
      </w:tr>
      <w:tr>
        <w:trPr/>
        <w:tc>
          <w:tcPr>
            <w:tcW w:w="3079" w:type="dxa"/>
            <w:tcBorders/>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General and administrative </w:t>
            </w:r>
          </w:p>
        </w:tc>
        <w:tc>
          <w:tcPr>
            <w:tcW w:w="126" w:type="dxa"/>
            <w:tcBorders/>
            <w:vAlign w:val="bottom"/>
          </w:tcPr>
          <w:p>
            <w:pPr>
              <w:pStyle w:val="TableContents"/>
              <w:pBdr/>
              <w:bidi w:val="0"/>
              <w:spacing w:before="0" w:after="0"/>
              <w:ind w:left="0" w:right="0" w:hanging="0"/>
              <w:jc w:val="left"/>
              <w:rPr/>
            </w:pPr>
            <w:r>
              <w:rPr/>
              <w:t xml:space="preserve">  </w:t>
            </w:r>
          </w:p>
        </w:tc>
        <w:tc>
          <w:tcPr>
            <w:tcW w:w="456" w:type="dxa"/>
            <w:tcBorders/>
            <w:vAlign w:val="bottom"/>
          </w:tcPr>
          <w:p>
            <w:pPr>
              <w:pStyle w:val="TableContents"/>
              <w:pBdr/>
              <w:bidi w:val="0"/>
              <w:spacing w:before="0" w:after="0"/>
              <w:ind w:left="0" w:right="0" w:hanging="0"/>
              <w:jc w:val="left"/>
              <w:rPr/>
            </w:pPr>
            <w:r>
              <w:rPr/>
              <w:t xml:space="preserve">  </w:t>
            </w:r>
          </w:p>
        </w:tc>
        <w:tc>
          <w:tcPr>
            <w:tcW w:w="859"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18 </w:t>
            </w:r>
          </w:p>
        </w:tc>
        <w:tc>
          <w:tcPr>
            <w:tcW w:w="322" w:type="dxa"/>
            <w:tcBorders/>
            <w:vAlign w:val="bottom"/>
          </w:tcPr>
          <w:p>
            <w:pPr>
              <w:pStyle w:val="TableContents"/>
              <w:pBdr/>
              <w:bidi w:val="0"/>
              <w:spacing w:before="0" w:after="0"/>
              <w:ind w:left="0" w:right="0" w:hanging="0"/>
              <w:jc w:val="left"/>
              <w:rPr/>
            </w:pPr>
            <w:r>
              <w:rPr/>
              <w:t xml:space="preserve">  </w:t>
            </w:r>
          </w:p>
        </w:tc>
        <w:tc>
          <w:tcPr>
            <w:tcW w:w="322" w:type="dxa"/>
            <w:tcBorders/>
            <w:vAlign w:val="bottom"/>
          </w:tcPr>
          <w:p>
            <w:pPr>
              <w:pStyle w:val="TableContents"/>
              <w:pBdr/>
              <w:bidi w:val="0"/>
              <w:spacing w:before="0" w:after="0"/>
              <w:ind w:left="0" w:right="0" w:hanging="0"/>
              <w:jc w:val="left"/>
              <w:rPr/>
            </w:pPr>
            <w:r>
              <w:rPr/>
              <w:t xml:space="preserve">  </w:t>
            </w:r>
          </w:p>
        </w:tc>
        <w:tc>
          <w:tcPr>
            <w:tcW w:w="456" w:type="dxa"/>
            <w:tcBorders/>
            <w:vAlign w:val="bottom"/>
          </w:tcPr>
          <w:p>
            <w:pPr>
              <w:pStyle w:val="TableContents"/>
              <w:pBdr/>
              <w:bidi w:val="0"/>
              <w:spacing w:before="0" w:after="0"/>
              <w:ind w:left="0" w:right="0" w:hanging="0"/>
              <w:jc w:val="left"/>
              <w:rPr/>
            </w:pPr>
            <w:r>
              <w:rPr/>
              <w:t xml:space="preserve">  </w:t>
            </w:r>
          </w:p>
        </w:tc>
        <w:tc>
          <w:tcPr>
            <w:tcW w:w="739"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3 </w:t>
            </w:r>
          </w:p>
        </w:tc>
        <w:tc>
          <w:tcPr>
            <w:tcW w:w="125" w:type="dxa"/>
            <w:tcBorders/>
            <w:vAlign w:val="bottom"/>
          </w:tcPr>
          <w:p>
            <w:pPr>
              <w:pStyle w:val="TableContents"/>
              <w:pBdr/>
              <w:bidi w:val="0"/>
              <w:spacing w:before="0" w:after="0"/>
              <w:ind w:left="0" w:right="0" w:hanging="0"/>
              <w:jc w:val="left"/>
              <w:rPr/>
            </w:pPr>
            <w:r>
              <w:rPr/>
              <w:t xml:space="preserve">  </w:t>
            </w:r>
          </w:p>
        </w:tc>
        <w:tc>
          <w:tcPr>
            <w:tcW w:w="24" w:type="dxa"/>
            <w:tcBorders/>
            <w:vAlign w:val="center"/>
          </w:tcPr>
          <w:p>
            <w:pPr>
              <w:pStyle w:val="TableContents"/>
              <w:bidi w:val="0"/>
              <w:spacing w:before="0" w:after="283"/>
              <w:ind w:left="0" w:right="0" w:hanging="0"/>
              <w:jc w:val="left"/>
              <w:rPr/>
            </w:pPr>
            <w:r>
              <w:rPr/>
            </w:r>
          </w:p>
        </w:tc>
        <w:tc>
          <w:tcPr>
            <w:tcW w:w="557" w:type="dxa"/>
            <w:tcBorders/>
            <w:vAlign w:val="center"/>
          </w:tcPr>
          <w:p>
            <w:pPr>
              <w:pStyle w:val="TableContents"/>
              <w:bidi w:val="0"/>
              <w:spacing w:before="0" w:after="283"/>
              <w:ind w:left="0" w:right="0" w:hanging="0"/>
              <w:jc w:val="left"/>
              <w:rPr/>
            </w:pPr>
            <w:r>
              <w:rPr/>
            </w:r>
          </w:p>
        </w:tc>
        <w:tc>
          <w:tcPr>
            <w:tcW w:w="1165" w:type="dxa"/>
            <w:tcBorders/>
            <w:vAlign w:val="center"/>
          </w:tcPr>
          <w:p>
            <w:pPr>
              <w:pStyle w:val="TableContents"/>
              <w:bidi w:val="0"/>
              <w:spacing w:before="0" w:after="0"/>
              <w:ind w:left="0" w:right="0" w:hanging="0"/>
              <w:jc w:val="right"/>
              <w:rPr/>
            </w:pPr>
            <w:r>
              <w:rPr/>
              <w:t>45</w:t>
            </w:r>
          </w:p>
        </w:tc>
        <w:tc>
          <w:tcPr>
            <w:tcW w:w="102" w:type="dxa"/>
            <w:tcBorders/>
            <w:vAlign w:val="center"/>
          </w:tcPr>
          <w:p>
            <w:pPr>
              <w:pStyle w:val="TableContents"/>
              <w:bidi w:val="0"/>
              <w:spacing w:before="0" w:after="283"/>
              <w:ind w:left="0" w:right="0" w:hanging="0"/>
              <w:jc w:val="left"/>
              <w:rPr/>
            </w:pPr>
            <w:r>
              <w:rPr/>
            </w:r>
          </w:p>
        </w:tc>
        <w:tc>
          <w:tcPr>
            <w:tcW w:w="101" w:type="dxa"/>
            <w:tcBorders/>
            <w:vAlign w:val="center"/>
          </w:tcPr>
          <w:p>
            <w:pPr>
              <w:pStyle w:val="TableContents"/>
              <w:bidi w:val="0"/>
              <w:spacing w:before="0" w:after="283"/>
              <w:ind w:left="0" w:right="0" w:hanging="0"/>
              <w:jc w:val="left"/>
              <w:rPr/>
            </w:pPr>
            <w:r>
              <w:rPr/>
            </w:r>
          </w:p>
        </w:tc>
        <w:tc>
          <w:tcPr>
            <w:tcW w:w="557" w:type="dxa"/>
            <w:tcBorders/>
            <w:vAlign w:val="center"/>
          </w:tcPr>
          <w:p>
            <w:pPr>
              <w:pStyle w:val="TableContents"/>
              <w:bidi w:val="0"/>
              <w:spacing w:before="0" w:after="283"/>
              <w:ind w:left="0" w:right="0" w:hanging="0"/>
              <w:jc w:val="left"/>
              <w:rPr/>
            </w:pPr>
            <w:r>
              <w:rPr/>
            </w:r>
          </w:p>
        </w:tc>
        <w:tc>
          <w:tcPr>
            <w:tcW w:w="1175" w:type="dxa"/>
            <w:tcBorders/>
            <w:vAlign w:val="center"/>
          </w:tcPr>
          <w:p>
            <w:pPr>
              <w:pStyle w:val="TableContents"/>
              <w:bidi w:val="0"/>
              <w:spacing w:before="0" w:after="0"/>
              <w:ind w:left="0" w:right="0" w:hanging="0"/>
              <w:jc w:val="right"/>
              <w:rPr/>
            </w:pPr>
            <w:r>
              <w:rPr/>
              <w:t>20</w:t>
            </w:r>
          </w:p>
        </w:tc>
        <w:tc>
          <w:tcPr>
            <w:tcW w:w="40" w:type="dxa"/>
            <w:tcBorders/>
            <w:vAlign w:val="center"/>
          </w:tcPr>
          <w:p>
            <w:pPr>
              <w:pStyle w:val="TableContents"/>
              <w:bidi w:val="0"/>
              <w:spacing w:before="0" w:after="283"/>
              <w:ind w:left="0" w:right="0" w:hanging="0"/>
              <w:jc w:val="left"/>
              <w:rPr/>
            </w:pPr>
            <w:r>
              <w:rPr/>
            </w:r>
          </w:p>
        </w:tc>
      </w:tr>
      <w:tr>
        <w:trPr/>
        <w:tc>
          <w:tcPr>
            <w:tcW w:w="3079" w:type="dxa"/>
            <w:tcBorders/>
            <w:shd w:fill="CCEEFF" w:val="clear"/>
            <w:vAlign w:val="bottom"/>
          </w:tcPr>
          <w:p>
            <w:pPr>
              <w:pStyle w:val="TableContents"/>
              <w:pBdr/>
              <w:bidi w:val="0"/>
              <w:spacing w:before="0" w:after="0"/>
              <w:ind w:left="0" w:right="0" w:hanging="0"/>
              <w:jc w:val="left"/>
              <w:rPr/>
            </w:pPr>
            <w:r>
              <w:rPr/>
              <w:t xml:space="preserve">  </w:t>
            </w:r>
          </w:p>
        </w:tc>
        <w:tc>
          <w:tcPr>
            <w:tcW w:w="126" w:type="dxa"/>
            <w:tcBorders/>
            <w:shd w:fill="CCEEFF" w:val="clear"/>
            <w:vAlign w:val="bottom"/>
          </w:tcPr>
          <w:p>
            <w:pPr>
              <w:pStyle w:val="TableContents"/>
              <w:pBdr/>
              <w:bidi w:val="0"/>
              <w:spacing w:before="0" w:after="0"/>
              <w:ind w:left="0" w:right="0" w:hanging="0"/>
              <w:jc w:val="left"/>
              <w:rPr/>
            </w:pPr>
            <w:r>
              <w:rPr/>
              <w:t xml:space="preserve">  </w:t>
            </w:r>
          </w:p>
        </w:tc>
        <w:tc>
          <w:tcPr>
            <w:tcW w:w="456"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859"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22 </w:t>
            </w:r>
          </w:p>
        </w:tc>
        <w:tc>
          <w:tcPr>
            <w:tcW w:w="322" w:type="dxa"/>
            <w:tcBorders/>
            <w:shd w:fill="CCEEFF" w:val="clear"/>
            <w:vAlign w:val="bottom"/>
          </w:tcPr>
          <w:p>
            <w:pPr>
              <w:pStyle w:val="TableContents"/>
              <w:pBdr/>
              <w:bidi w:val="0"/>
              <w:spacing w:before="0" w:after="0"/>
              <w:ind w:left="0" w:right="0" w:hanging="0"/>
              <w:jc w:val="left"/>
              <w:rPr/>
            </w:pPr>
            <w:r>
              <w:rPr/>
              <w:t xml:space="preserve">  </w:t>
            </w:r>
          </w:p>
        </w:tc>
        <w:tc>
          <w:tcPr>
            <w:tcW w:w="322" w:type="dxa"/>
            <w:tcBorders/>
            <w:shd w:fill="CCEEFF" w:val="clear"/>
            <w:vAlign w:val="bottom"/>
          </w:tcPr>
          <w:p>
            <w:pPr>
              <w:pStyle w:val="TableContents"/>
              <w:pBdr/>
              <w:bidi w:val="0"/>
              <w:spacing w:before="0" w:after="0"/>
              <w:ind w:left="0" w:right="0" w:hanging="0"/>
              <w:jc w:val="left"/>
              <w:rPr/>
            </w:pPr>
            <w:r>
              <w:rPr/>
              <w:t xml:space="preserve">  </w:t>
            </w:r>
          </w:p>
        </w:tc>
        <w:tc>
          <w:tcPr>
            <w:tcW w:w="456"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739"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21 </w:t>
            </w:r>
          </w:p>
        </w:tc>
        <w:tc>
          <w:tcPr>
            <w:tcW w:w="125" w:type="dxa"/>
            <w:tcBorders/>
            <w:shd w:fill="CCEEFF" w:val="clear"/>
            <w:vAlign w:val="bottom"/>
          </w:tcPr>
          <w:p>
            <w:pPr>
              <w:pStyle w:val="TableContents"/>
              <w:pBdr/>
              <w:bidi w:val="0"/>
              <w:spacing w:before="0" w:after="0"/>
              <w:ind w:left="0" w:right="0" w:hanging="0"/>
              <w:jc w:val="left"/>
              <w:rPr/>
            </w:pPr>
            <w:r>
              <w:rPr/>
              <w:t xml:space="preserve">  </w:t>
            </w:r>
          </w:p>
        </w:tc>
        <w:tc>
          <w:tcPr>
            <w:tcW w:w="24" w:type="dxa"/>
            <w:tcBorders/>
            <w:shd w:fill="CCEEFF" w:val="clear"/>
            <w:vAlign w:val="center"/>
          </w:tcPr>
          <w:p>
            <w:pPr>
              <w:pStyle w:val="TableContents"/>
              <w:bidi w:val="0"/>
              <w:spacing w:before="0" w:after="283"/>
              <w:ind w:left="0" w:right="0" w:hanging="0"/>
              <w:jc w:val="left"/>
              <w:rPr/>
            </w:pPr>
            <w:r>
              <w:rPr/>
            </w:r>
          </w:p>
        </w:tc>
        <w:tc>
          <w:tcPr>
            <w:tcW w:w="557" w:type="dxa"/>
            <w:tcBorders>
              <w:bottom w:val="double" w:sz="7" w:space="0" w:color="000000"/>
            </w:tcBorders>
            <w:shd w:fill="CCEEFF" w:val="clear"/>
            <w:tcMar>
              <w:bottom w:w="28" w:type="dxa"/>
            </w:tcMar>
            <w:vAlign w:val="center"/>
          </w:tcPr>
          <w:p>
            <w:pPr>
              <w:pStyle w:val="TableContents"/>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165" w:type="dxa"/>
            <w:tcBorders>
              <w:bottom w:val="double" w:sz="7" w:space="0" w:color="000000"/>
            </w:tcBorders>
            <w:shd w:fill="CCEEFF" w:val="clear"/>
            <w:tcMar>
              <w:bottom w:w="28" w:type="dxa"/>
            </w:tcMar>
            <w:vAlign w:val="center"/>
          </w:tcPr>
          <w:p>
            <w:pPr>
              <w:pStyle w:val="TableContents"/>
              <w:bidi w:val="0"/>
              <w:spacing w:before="0" w:after="0"/>
              <w:ind w:left="0" w:right="0" w:hanging="0"/>
              <w:jc w:val="right"/>
              <w:rPr/>
            </w:pPr>
            <w:r>
              <w:rPr/>
              <w:t>66</w:t>
            </w:r>
          </w:p>
        </w:tc>
        <w:tc>
          <w:tcPr>
            <w:tcW w:w="102" w:type="dxa"/>
            <w:tcBorders/>
            <w:shd w:fill="CCEEFF" w:val="clear"/>
            <w:vAlign w:val="center"/>
          </w:tcPr>
          <w:p>
            <w:pPr>
              <w:pStyle w:val="TableContents"/>
              <w:bidi w:val="0"/>
              <w:spacing w:before="0" w:after="283"/>
              <w:ind w:left="0" w:right="0" w:hanging="0"/>
              <w:jc w:val="left"/>
              <w:rPr/>
            </w:pPr>
            <w:r>
              <w:rPr/>
            </w:r>
          </w:p>
        </w:tc>
        <w:tc>
          <w:tcPr>
            <w:tcW w:w="101" w:type="dxa"/>
            <w:tcBorders/>
            <w:shd w:fill="CCEEFF" w:val="clear"/>
            <w:vAlign w:val="center"/>
          </w:tcPr>
          <w:p>
            <w:pPr>
              <w:pStyle w:val="TableContents"/>
              <w:bidi w:val="0"/>
              <w:spacing w:before="0" w:after="283"/>
              <w:ind w:left="0" w:right="0" w:hanging="0"/>
              <w:jc w:val="left"/>
              <w:rPr/>
            </w:pPr>
            <w:r>
              <w:rPr/>
            </w:r>
          </w:p>
        </w:tc>
        <w:tc>
          <w:tcPr>
            <w:tcW w:w="557" w:type="dxa"/>
            <w:tcBorders>
              <w:bottom w:val="double" w:sz="7" w:space="0" w:color="000000"/>
            </w:tcBorders>
            <w:shd w:fill="CCEEFF" w:val="clear"/>
            <w:tcMar>
              <w:bottom w:w="28" w:type="dxa"/>
            </w:tcMar>
            <w:vAlign w:val="center"/>
          </w:tcPr>
          <w:p>
            <w:pPr>
              <w:pStyle w:val="TableContents"/>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175" w:type="dxa"/>
            <w:tcBorders>
              <w:bottom w:val="double" w:sz="7" w:space="0" w:color="000000"/>
            </w:tcBorders>
            <w:shd w:fill="CCEEFF" w:val="clear"/>
            <w:tcMar>
              <w:bottom w:w="28" w:type="dxa"/>
            </w:tcMar>
            <w:vAlign w:val="center"/>
          </w:tcPr>
          <w:p>
            <w:pPr>
              <w:pStyle w:val="TableContents"/>
              <w:bidi w:val="0"/>
              <w:spacing w:before="0" w:after="0"/>
              <w:ind w:left="0" w:right="0" w:hanging="0"/>
              <w:jc w:val="right"/>
              <w:rPr/>
            </w:pPr>
            <w:r>
              <w:rPr/>
              <w:t>73</w:t>
            </w:r>
          </w:p>
        </w:tc>
        <w:tc>
          <w:tcPr>
            <w:tcW w:w="40" w:type="dxa"/>
            <w:tcBorders/>
            <w:shd w:fill="CCEEFF" w:val="clear"/>
            <w:vAlign w:val="center"/>
          </w:tcPr>
          <w:p>
            <w:pPr>
              <w:pStyle w:val="TableContents"/>
              <w:bidi w:val="0"/>
              <w:spacing w:before="0" w:after="283"/>
              <w:jc w:val="left"/>
              <w:rPr/>
            </w:pPr>
            <w:r>
              <w:rPr/>
            </w:r>
          </w:p>
        </w:tc>
      </w:tr>
    </w:tbl>
    <w:p>
      <w:pPr>
        <w:pStyle w:val="TextBody"/>
        <w:bidi w:val="0"/>
        <w:spacing w:lineRule="auto" w:line="288" w:before="0" w:after="0"/>
        <w:ind w:left="0" w:right="0" w:hanging="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bookmarkStart w:id="290" w:name="PageBreakNo19"/>
            <w:bookmarkEnd w:id="290"/>
            <w:r>
              <w:rPr>
                <w:sz w:val="20"/>
              </w:rPr>
              <w:t>19</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sz w:val="20"/>
          </w:rPr>
          <w:t>Table of Contents</w:t>
        </w:r>
      </w:hyperlink>
    </w:p>
    <w:p>
      <w:pPr>
        <w:pStyle w:val="TextBody"/>
        <w:bidi w:val="0"/>
        <w:spacing w:lineRule="auto" w:line="288" w:before="0" w:after="0"/>
        <w:ind w:left="0" w:right="0" w:hanging="0"/>
        <w:jc w:val="both"/>
        <w:rPr/>
      </w:pPr>
      <w:r>
        <w:rPr/>
      </w:r>
    </w:p>
    <w:p>
      <w:pPr>
        <w:pStyle w:val="TextBody"/>
        <w:widowControl/>
        <w:bidi w:val="0"/>
        <w:spacing w:lineRule="auto" w:line="288" w:before="0" w:after="0"/>
        <w:ind w:left="0" w:right="0" w:hanging="0"/>
        <w:jc w:val="center"/>
        <w:rPr>
          <w:rFonts w:ascii="Times New Roman" w:hAnsi="Times New Roman"/>
          <w:b/>
          <w:sz w:val="20"/>
        </w:rPr>
      </w:pPr>
      <w:r>
        <w:rPr>
          <w:rFonts w:ascii="Times New Roman" w:hAnsi="Times New Roman"/>
          <w:b/>
          <w:i w:val="false"/>
          <w:caps w:val="false"/>
          <w:smallCaps w:val="false"/>
          <w:color w:val="000000"/>
          <w:spacing w:val="0"/>
          <w:sz w:val="20"/>
        </w:rPr>
        <w:t>UNAUDITED </w:t>
      </w:r>
      <w:r>
        <w:rPr>
          <w:rFonts w:ascii="Times New Roman" w:hAnsi="Times New Roman"/>
          <w:b/>
          <w:sz w:val="20"/>
        </w:rPr>
        <w:t>NOTES TO CONDENSED CONSOLIDATED FINANCIAL STATEMENTS</w:t>
      </w:r>
    </w:p>
    <w:p>
      <w:pPr>
        <w:pStyle w:val="TextBody"/>
        <w:bidi w:val="0"/>
        <w:spacing w:lineRule="auto" w:line="288" w:before="0" w:after="0"/>
        <w:ind w:left="0" w:right="0" w:hanging="0"/>
        <w:jc w:val="center"/>
        <w:rPr>
          <w:rFonts w:ascii="Times New Roman" w:hAnsi="Times New Roman"/>
          <w:sz w:val="20"/>
        </w:rPr>
      </w:pPr>
      <w:r>
        <w:rPr>
          <w:rFonts w:ascii="Times New Roman" w:hAnsi="Times New Roman"/>
          <w:sz w:val="20"/>
        </w:rPr>
        <w:t>(Dollars in thousands, except per share amounts)</w:t>
      </w:r>
    </w:p>
    <w:p>
      <w:pPr>
        <w:pStyle w:val="TextBody"/>
        <w:bidi w:val="0"/>
        <w:spacing w:lineRule="auto" w:line="288" w:before="0" w:after="0"/>
        <w:ind w:left="0" w:right="0" w:hanging="0"/>
        <w:jc w:val="both"/>
        <w:rPr>
          <w:rFonts w:ascii="times new roman;times" w:hAnsi="times new roman;times"/>
          <w:b/>
          <w:sz w:val="20"/>
        </w:rPr>
      </w:pPr>
      <w:r>
        <w:rPr>
          <w:rFonts w:ascii="times new roman;times" w:hAnsi="times new roman;times"/>
          <w:b/>
          <w:sz w:val="20"/>
        </w:rPr>
      </w:r>
    </w:p>
    <w:p>
      <w:pPr>
        <w:pStyle w:val="TextBody"/>
        <w:bidi w:val="0"/>
        <w:spacing w:lineRule="auto" w:line="288" w:before="0" w:after="0"/>
        <w:ind w:left="0" w:right="0" w:hanging="0"/>
        <w:jc w:val="both"/>
        <w:rPr>
          <w:rFonts w:ascii="times new roman;times" w:hAnsi="times new roman;times"/>
          <w:b/>
          <w:sz w:val="20"/>
        </w:rPr>
      </w:pPr>
      <w:r>
        <w:rPr>
          <w:rFonts w:ascii="times new roman;times" w:hAnsi="times new roman;times"/>
          <w:b/>
          <w:sz w:val="20"/>
        </w:rPr>
        <w:t>14. Income Taxes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The Company recorded a full valuation allowance against U.S Federal and State deferred tax assets, which results in no income tax benefit for losses in these jurisdictions. The full domestic valuation allowance was recorded as management concluded that it is more likely than not that these deferred tax assets are not realizable due to the Company's recent pre-tax losses and other sources of negative evidence. Provision for income taxes for the </w:t>
      </w:r>
      <w:bookmarkStart w:id="291" w:name="fs_IR5KPDJQMO00000000000000000000FM"/>
      <w:bookmarkEnd w:id="291"/>
      <w:r>
        <w:rPr>
          <w:rFonts w:ascii="times new roman;times" w:hAnsi="times new roman;times"/>
          <w:sz w:val="20"/>
        </w:rPr>
        <w:t>nine months ended September 30, 2025 mostly represents income tax expense (benefit) recorded for jurisdictions outside the United States.</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The Company had approximately $969 of uncertain tax positions as of </w:t>
      </w:r>
      <w:bookmarkStart w:id="292" w:name="fs_TJENIDYOB400000000000000000000FM"/>
      <w:bookmarkEnd w:id="292"/>
      <w:r>
        <w:rPr>
          <w:rFonts w:ascii="times new roman;times" w:hAnsi="times new roman;times"/>
          <w:sz w:val="20"/>
        </w:rPr>
        <w:t>September 30, 2025. Due to the inherent uncertainty of the underlying tax positions, it is not possible to forecast the payment of this liability for any particular year, therefore, it is reflected in other long-term liabilities.</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t>15. </w:t>
      </w:r>
      <w:r>
        <w:rPr>
          <w:rFonts w:ascii="Times New Roman;serif" w:hAnsi="Times New Roman;serif"/>
          <w:b/>
          <w:sz w:val="20"/>
        </w:rPr>
        <w:t>Operating Segment</w:t>
      </w:r>
      <w:r>
        <w:rPr>
          <w:rFonts w:ascii="times new roman;times" w:hAnsi="times new roman;times"/>
          <w:b/>
          <w:sz w:val="20"/>
        </w:rPr>
        <w:t xml:space="preserve"> </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Company operates as one operating segment. Operating segments are defined as components of an entity for which separate financial information is regularly evaluated by the chief operating decision maker ("CODM"), which is the Company's Chief Executive Officer, in deciding how to allocate resources and assess performance. The Company's CODM evaluates financial information and resources and assesses the performance of these resources on a consolidated basis. There is no expense or asset information that is supplemental to information disclosed within the consolidated financial statements, that is regularly provided to the CODM. The allocation of resources and assessment of performance of the operating segment is based on consolidated net loss and functional expenses as reported on our consolidated statements of operations and comprehensive loss. Because the Company operates as one operating segment, financial segment information, including expense and asset information, can be found in the consolidated financial statements.</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both"/>
        <w:rPr>
          <w:rFonts w:ascii="times new roman;times" w:hAnsi="times new roman;times"/>
          <w:b/>
          <w:sz w:val="20"/>
        </w:rPr>
      </w:pPr>
      <w:r>
        <w:rPr>
          <w:rFonts w:ascii="times new roman;times" w:hAnsi="times new roman;times"/>
          <w:b/>
          <w:sz w:val="20"/>
        </w:rPr>
        <w:t>16. Subsequent Events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serif" w:hAnsi="Times New Roman;serif"/>
          <w:sz w:val="20"/>
        </w:rPr>
      </w:pPr>
      <w:r>
        <w:rPr>
          <w:rFonts w:ascii="Times New Roman;serif" w:hAnsi="Times New Roman;serif"/>
          <w:sz w:val="20"/>
        </w:rPr>
        <w:t>On October 24, 2025, the Company completed the sale of a significant portion of its intellectual property and certain inventories to Biamp Systems, LLC for $3,000. There were no escrows or holdbacks. The Company estimates $100 of transaction costs. The Company will continue to provide product support and warranty services while it pursues a Strategic Transaction in the fourth quarter of 2025 as further described in Note 1. Any difference between the carrying amount at September 30, 2025 and the final closing amounts will be recognized in the fourth quarter of 2025.</w:t>
      </w:r>
    </w:p>
    <w:p>
      <w:pPr>
        <w:pStyle w:val="TextBody"/>
        <w:bidi w:val="0"/>
        <w:spacing w:lineRule="auto" w:line="288"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bookmarkStart w:id="293" w:name="PageBreakNo20"/>
            <w:bookmarkEnd w:id="293"/>
            <w:r>
              <w:rPr>
                <w:sz w:val="20"/>
              </w:rPr>
              <w:t>20</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 w:hAnsi="times new roman;times"/>
            <w:sz w:val="20"/>
          </w:rPr>
          <w:t>Table of Contents</w:t>
        </w:r>
      </w:hyperlink>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pPr>
      <w:hyperlink r:id="rId10">
        <w:bookmarkStart w:id="294" w:name="BG_ZROYRYR1OG00000000000000000000"/>
        <w:bookmarkEnd w:id="294"/>
        <w:r>
          <w:rPr>
            <w:rStyle w:val="InternetLink"/>
            <w:rFonts w:ascii="Times New Roman" w:hAnsi="Times New Roman"/>
            <w:b/>
            <w:strike w:val="false"/>
            <w:dstrike w:val="false"/>
            <w:color w:val="000000"/>
            <w:sz w:val="20"/>
            <w:u w:val="none"/>
            <w:effect w:val="none"/>
          </w:rPr>
          <w:t xml:space="preserve">Item </w:t>
        </w:r>
      </w:hyperlink>
      <w:hyperlink r:id="rId11">
        <w:bookmarkStart w:id="295" w:name="fs_BMFT3MDC7400000000000000000000fs"/>
        <w:bookmarkEnd w:id="295"/>
        <w:r>
          <w:rPr>
            <w:rStyle w:val="InternetLink"/>
            <w:rFonts w:ascii="Times New Roman" w:hAnsi="Times New Roman"/>
            <w:b/>
            <w:strike w:val="false"/>
            <w:dstrike w:val="false"/>
            <w:color w:val="000000"/>
            <w:sz w:val="20"/>
            <w:u w:val="none"/>
            <w:effect w:val="none"/>
          </w:rPr>
          <w:t>2</w:t>
        </w:r>
      </w:hyperlink>
      <w:hyperlink r:id="rId12">
        <w:r>
          <w:rPr>
            <w:rStyle w:val="InternetLink"/>
            <w:rFonts w:ascii="Times New Roman" w:hAnsi="Times New Roman"/>
            <w:b/>
            <w:strike w:val="false"/>
            <w:dstrike w:val="false"/>
            <w:color w:val="000000"/>
            <w:sz w:val="20"/>
            <w:u w:val="none"/>
            <w:effect w:val="none"/>
          </w:rPr>
          <w:t>. MANAGEMENT’S DISCUSSION AND ANALYSIS OF FINANCIAL CONDITION AND RESULTS OF OPERATIONS</w:t>
        </w:r>
      </w:hyperlink>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 xml:space="preserve">This report on Form 10-Q includes “forward-looking statements” within the meaning of Section </w:t>
      </w:r>
      <w:bookmarkStart w:id="296" w:name="fs_T1E5U0S62O00000000000000000000fs"/>
      <w:bookmarkEnd w:id="296"/>
      <w:r>
        <w:rPr>
          <w:rFonts w:ascii="Times New Roman" w:hAnsi="Times New Roman"/>
          <w:sz w:val="20"/>
        </w:rPr>
        <w:t xml:space="preserve">27A of the Securities Act of </w:t>
      </w:r>
      <w:bookmarkStart w:id="297" w:name="fs_2I8WWHBTC000000000000000000000fs"/>
      <w:bookmarkEnd w:id="297"/>
      <w:r>
        <w:rPr>
          <w:rFonts w:ascii="Times New Roman" w:hAnsi="Times New Roman"/>
          <w:sz w:val="20"/>
        </w:rPr>
        <w:t xml:space="preserve">1933, as amended, and Section </w:t>
      </w:r>
      <w:bookmarkStart w:id="298" w:name="fs_DBYV08CI4G00000000000000000000fs"/>
      <w:bookmarkEnd w:id="298"/>
      <w:r>
        <w:rPr>
          <w:rFonts w:ascii="Times New Roman" w:hAnsi="Times New Roman"/>
          <w:sz w:val="20"/>
        </w:rPr>
        <w:t xml:space="preserve">21E of the Securities Exchange Act of </w:t>
      </w:r>
      <w:bookmarkStart w:id="299" w:name="fs_CAZN3LFYTC00000000000000000000fs"/>
      <w:bookmarkEnd w:id="299"/>
      <w:r>
        <w:rPr>
          <w:rFonts w:ascii="Times New Roman" w:hAnsi="Times New Roman"/>
          <w:sz w:val="20"/>
        </w:rPr>
        <w:t>1934, as amended (the “Exchange Act”). All statements in this report, other than statements of historical fact, are forward-looking statements for purposes of these provisions, including any projections of earnings, revenues or other financial items, any statements of the plans and objectives of management for future operations, any statements concerning proposed new products or services, any statements regarding future economic conditions or performance, and any statements of assumptions underlying any of the foregoing. All forward-looking statements included in this report are made as of the date hereof and are based on information available to</w:t>
      </w:r>
      <w:r>
        <w:rPr>
          <w:rFonts w:ascii="times new roman;times" w:hAnsi="times new roman;times"/>
          <w:sz w:val="20"/>
        </w:rPr>
        <w:t> </w:t>
      </w:r>
      <w:r>
        <w:rPr>
          <w:rFonts w:ascii="Times New Roman" w:hAnsi="Times New Roman"/>
          <w:sz w:val="20"/>
        </w:rPr>
        <w:t xml:space="preserve">us as of such date. We assume no obligation to update any forward-looking statement. In some cases, forward-looking statements can be identified by the use of terminology such as “may,” “will,” “expects,” “plans,” “anticipates,” “intends,” “believes,” “estimates,” “potential,” or “continue,” or the negative thereof or other comparable terminology. Although we believe that the expectations reflected in the forward-looking statements contained herein are based upon reasonable assumptions at the time made, there can be no assurance that any such expectations or any forward-looking statement will prove to be correct. Our actual results will vary, and may vary materially, from those projected or assumed in the forward-looking statements. Future financial condition and results of operations, as well as any forward-looking statements, are subject to inherent risks and uncertainties, many of which we cannot predict with accuracy and some of which we might not anticipate, including, without limitation, descriptions of our review of strategic alternatives and the timing and impact of any potential strategic transactions, the proposed development, manufacturing, and sale of our products; statements that describe expectations regarding pricing trends, the markets for our products, our anticipated capital expenditures, our cost reduction and operational restructuring initiatives, and future impact of regulatory developments; statements with regard to the nature and extent of competition we may face in the future; statements with respect to the anticipated sources of and need for future financing; and statements with respect to future strategic plans, goals, and objectives and forecasts of future growth and value; and other factors referred to in our reports filed with the SEC, including our Annual Report on Form 10-K for the year ended </w:t>
      </w:r>
      <w:bookmarkStart w:id="300" w:name="fs_5PSKX0SG2800000000000000000000FM"/>
      <w:bookmarkEnd w:id="300"/>
      <w:r>
        <w:rPr>
          <w:rFonts w:ascii="Times New Roman" w:hAnsi="Times New Roman"/>
          <w:sz w:val="20"/>
        </w:rPr>
        <w:t xml:space="preserve">December 31, 2024. All subsequent forward-looking statements attributable to us or persons acting on our behalf are expressly qualified in their entirety by these cautionary statements. Additional factors that may have a direct bearing on our operating results are discussed in Part I, Item </w:t>
      </w:r>
      <w:bookmarkStart w:id="301" w:name="fs_A5SL3SWBPC00000000000000000000fs"/>
      <w:bookmarkEnd w:id="301"/>
      <w:r>
        <w:rPr>
          <w:rFonts w:ascii="Times New Roman" w:hAnsi="Times New Roman"/>
          <w:sz w:val="20"/>
        </w:rPr>
        <w:t>1A “Risk Factors” in our Annual Report on Form 10-K for the year ended </w:t>
      </w:r>
      <w:bookmarkStart w:id="302" w:name="fs_J8RK2ZXTOW00000000000000000000FM"/>
      <w:bookmarkEnd w:id="302"/>
      <w:r>
        <w:rPr>
          <w:rFonts w:ascii="Times New Roman" w:hAnsi="Times New Roman"/>
          <w:sz w:val="20"/>
        </w:rPr>
        <w:t>December 31, 2024. </w:t>
      </w:r>
      <w:r>
        <w:rPr>
          <w:rFonts w:ascii="Times New Roman;serif" w:hAnsi="Times New Roman;serif"/>
          <w:sz w:val="20"/>
        </w:rPr>
        <w:t>On </w:t>
      </w:r>
      <w:bookmarkStart w:id="303" w:name="fs_J17JZ9EWOW00000000000000000000FM"/>
      <w:bookmarkEnd w:id="303"/>
      <w:r>
        <w:rPr>
          <w:rFonts w:ascii="Times New Roman;serif" w:hAnsi="Times New Roman;serif"/>
          <w:sz w:val="20"/>
        </w:rPr>
        <w:t xml:space="preserve">September 30, 2025, we classified substantially all operating assets related to our product business as held for sale and began presenting the results of that component as discontinued operations. Accordingly, the discussion below focuses on continuing operations unless otherwise indicated. See Note </w:t>
      </w:r>
      <w:bookmarkStart w:id="304" w:name="fs_3ZG1ZS3VGG00000000000000000000fs"/>
      <w:bookmarkEnd w:id="304"/>
      <w:r>
        <w:rPr>
          <w:rFonts w:ascii="Times New Roman;serif" w:hAnsi="Times New Roman;serif"/>
          <w:sz w:val="20"/>
        </w:rPr>
        <w:t>2.</w:t>
      </w:r>
      <w:r>
        <w:rPr>
          <w:rFonts w:ascii="Times New Roman" w:hAnsi="Times New Roman"/>
          <w:sz w:val="20"/>
        </w:rPr>
        <w:t xml:space="preserve"> </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BUSINESS OVERVIEW</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ClearOne is a global Company that designs, develops and sells conferencing, collaboration, and AV networking solutions for voice and visual communications. The performance and simplicity of our advanced, comprehensive solutions offer a high</w:t>
      </w:r>
      <w:r>
        <w:rPr>
          <w:rFonts w:ascii="times new roman;times" w:hAnsi="times new roman;times"/>
          <w:sz w:val="20"/>
        </w:rPr>
        <w:t> </w:t>
      </w:r>
      <w:r>
        <w:rPr>
          <w:rFonts w:ascii="Times New Roman" w:hAnsi="Times New Roman"/>
          <w:sz w:val="20"/>
        </w:rPr>
        <w:t>level</w:t>
      </w:r>
      <w:r>
        <w:rPr>
          <w:rFonts w:ascii="times new roman;times" w:hAnsi="times new roman;times"/>
          <w:sz w:val="20"/>
        </w:rPr>
        <w:t> </w:t>
      </w:r>
      <w:r>
        <w:rPr>
          <w:rFonts w:ascii="Times New Roman" w:hAnsi="Times New Roman"/>
          <w:sz w:val="20"/>
        </w:rPr>
        <w:t>of functionality, reliability and scalability. We derive a major portion of our revenue from audio conferencing products and microphones by promoting our products in the professional audio-visual channel. We have extended our total addressable market from the installed audio conferencing market to adjacent complementary markets – microphones, video collaboration and AV networking. We have achieved this through strategic technological acquisitions as well as by internal product development. </w:t>
      </w:r>
    </w:p>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bookmarkStart w:id="305" w:name="PageBreakNo21"/>
            <w:bookmarkEnd w:id="305"/>
            <w:r>
              <w:rPr>
                <w:sz w:val="20"/>
              </w:rPr>
              <w:t>21</w:t>
            </w:r>
          </w:p>
        </w:tc>
      </w:tr>
    </w:tbl>
    <w:p>
      <w:pPr>
        <w:pStyle w:val="HorizontalLine"/>
        <w:bidi w:val="0"/>
        <w:spacing w:lineRule="auto" w:line="288" w:before="0" w:after="0"/>
        <w:jc w:val="left"/>
        <w:rPr/>
      </w:pPr>
      <w:r>
        <w:rPr/>
      </w:r>
    </w:p>
    <w:p>
      <w:pPr>
        <w:pStyle w:val="TextBody"/>
        <w:bidi w:val="0"/>
        <w:spacing w:lineRule="auto" w:line="288" w:before="0" w:after="0"/>
        <w:jc w:val="left"/>
        <w:rPr/>
      </w:pPr>
      <w:hyperlink w:anchor="TOC">
        <w:r>
          <w:rPr>
            <w:rStyle w:val="InternetLink"/>
            <w:rFonts w:ascii="times new roman;times" w:hAnsi="times new roman;times"/>
            <w:sz w:val="20"/>
          </w:rPr>
          <w:t>Table of Contents</w:t>
        </w:r>
      </w:hyperlink>
    </w:p>
    <w:p>
      <w:pPr>
        <w:pStyle w:val="TextBody"/>
        <w:bidi w:val="0"/>
        <w:spacing w:lineRule="auto" w:line="288" w:before="0" w:after="0"/>
        <w:ind w:left="0" w:right="0" w:hanging="0"/>
        <w:jc w:val="both"/>
        <w:rPr/>
      </w:pPr>
      <w:r>
        <w:rPr/>
        <w:t> </w:t>
      </w:r>
    </w:p>
    <w:p>
      <w:pPr>
        <w:pStyle w:val="TextBody"/>
        <w:bidi w:val="0"/>
        <w:spacing w:lineRule="auto" w:line="288" w:before="0" w:after="200"/>
        <w:ind w:left="0" w:right="0" w:hanging="0"/>
        <w:jc w:val="both"/>
        <w:rPr>
          <w:rFonts w:ascii="Times New Roman" w:hAnsi="Times New Roman"/>
          <w:b/>
          <w:sz w:val="20"/>
        </w:rPr>
      </w:pPr>
      <w:r>
        <w:rPr>
          <w:rFonts w:ascii="Times New Roman" w:hAnsi="Times New Roman"/>
          <w:b/>
          <w:sz w:val="20"/>
        </w:rPr>
        <w:t>MANAGEMENT’S DISCUSSION AND ANALYSIS OF FINANCIAL CONDITION AND RESULTS OF OPERATIONS</w:t>
      </w:r>
    </w:p>
    <w:p>
      <w:pPr>
        <w:pStyle w:val="TextBody"/>
        <w:bidi w:val="0"/>
        <w:spacing w:lineRule="auto" w:line="288" w:before="0" w:after="200"/>
        <w:ind w:left="0" w:right="0" w:hanging="0"/>
        <w:jc w:val="both"/>
        <w:rPr>
          <w:rFonts w:ascii="Times New Roman;serif" w:hAnsi="Times New Roman;serif"/>
          <w:sz w:val="20"/>
        </w:rPr>
      </w:pPr>
      <w:r>
        <w:rPr>
          <w:rFonts w:ascii="Times New Roman;serif" w:hAnsi="Times New Roman;serif"/>
          <w:sz w:val="20"/>
        </w:rPr>
        <w:t xml:space="preserve">In September 2025, the Company’s Board of Directors approved a plan (the “Strategic Plan”) to seek the sale of a significant portion of the Company’s operating assets related to its product business, reduce the Company’s continuing operations to warranty and product support, and position the Company as a reverse merger vehicle for a possible strategic transaction (a “Strategic Transaction”). Accordingly, as of </w:t>
      </w:r>
      <w:bookmarkStart w:id="306" w:name="fs_HLSARE6JKG00000000000000000000FM"/>
      <w:bookmarkEnd w:id="306"/>
      <w:r>
        <w:rPr>
          <w:rFonts w:ascii="Times New Roman;serif" w:hAnsi="Times New Roman;serif"/>
          <w:sz w:val="20"/>
        </w:rPr>
        <w:t xml:space="preserve">September 30, 2025, and we classified the related disposal group of assets as held for sale and measured it at the lower of carrying amount or fair value less costs to sell (see Note </w:t>
      </w:r>
      <w:bookmarkStart w:id="307" w:name="fs_LGQD4TXCM800000000000000000000fs"/>
      <w:bookmarkEnd w:id="307"/>
      <w:r>
        <w:rPr>
          <w:rFonts w:ascii="Times New Roman;serif" w:hAnsi="Times New Roman;serif"/>
          <w:sz w:val="20"/>
        </w:rPr>
        <w:t>2 — Discontinued Operations and Assets Held for Sale). Because the planned disposal represents a strategic shift that will have a significant effect on our operations and financial results, we present the results of that component as discontinued operations for all periods shown. Accordingly, this MD&amp;A discusses continuing operations separately from discontinued operations where relevant.</w:t>
      </w:r>
    </w:p>
    <w:p>
      <w:pPr>
        <w:pStyle w:val="TextBody"/>
        <w:bidi w:val="0"/>
        <w:spacing w:lineRule="auto" w:line="288" w:before="0" w:after="200"/>
        <w:ind w:left="0" w:right="0" w:hanging="0"/>
        <w:jc w:val="both"/>
        <w:rPr>
          <w:rFonts w:ascii="Times New Roman;serif" w:hAnsi="Times New Roman;serif"/>
          <w:sz w:val="20"/>
        </w:rPr>
      </w:pPr>
      <w:r>
        <w:rPr>
          <w:rFonts w:ascii="Times New Roman;serif" w:hAnsi="Times New Roman;serif"/>
          <w:sz w:val="20"/>
        </w:rPr>
        <w:t xml:space="preserve">Strategic actions during </w:t>
      </w:r>
      <w:bookmarkStart w:id="308" w:name="fs_GWT0LAIZWW00000000000000000000fs"/>
      <w:bookmarkEnd w:id="308"/>
      <w:r>
        <w:rPr>
          <w:rFonts w:ascii="Times New Roman;serif" w:hAnsi="Times New Roman;serif"/>
          <w:sz w:val="20"/>
        </w:rPr>
        <w:t>2025</w:t>
      </w:r>
    </w:p>
    <w:p>
      <w:pPr>
        <w:pStyle w:val="TextBody"/>
        <w:numPr>
          <w:ilvl w:val="0"/>
          <w:numId w:val="7"/>
        </w:numPr>
        <w:tabs>
          <w:tab w:val="clear" w:pos="1134"/>
          <w:tab w:val="left" w:pos="709" w:leader="none"/>
        </w:tabs>
        <w:bidi w:val="0"/>
        <w:spacing w:lineRule="atLeast" w:line="240" w:before="0" w:after="200"/>
        <w:ind w:left="709" w:hanging="283"/>
        <w:jc w:val="both"/>
        <w:rPr>
          <w:sz w:val="20"/>
        </w:rPr>
      </w:pPr>
      <w:r>
        <w:rPr>
          <w:sz w:val="20"/>
        </w:rPr>
        <w:t xml:space="preserve">Special stock dividend — Class A Redeemable Preferred Stock. In July 2025, we issued Class A Redeemable Preferred Stock via a </w:t>
      </w:r>
      <w:bookmarkStart w:id="309" w:name="fs_L9IQJP12FK00000000000000000000fs"/>
      <w:bookmarkEnd w:id="309"/>
      <w:r>
        <w:rPr>
          <w:sz w:val="20"/>
        </w:rPr>
        <w:t xml:space="preserve">one-time special stock dividend designed to distribute </w:t>
      </w:r>
      <w:bookmarkStart w:id="310" w:name="fs_PX3N5GSFBK00000000000000000000fs"/>
      <w:bookmarkEnd w:id="310"/>
      <w:r>
        <w:rPr>
          <w:sz w:val="20"/>
        </w:rPr>
        <w:t xml:space="preserve">100% of the net proceeds from an asset sale to holders upon redemption (see Note </w:t>
      </w:r>
      <w:bookmarkStart w:id="311" w:name="fs_O9TOBCMP6O00000000000000000000fs"/>
      <w:bookmarkEnd w:id="311"/>
      <w:r>
        <w:rPr>
          <w:sz w:val="20"/>
        </w:rPr>
        <w:t xml:space="preserve">3 — Class A Redeemable Preferred (Temporary Equity)). Class A is presented in temporary equity on the balance sheet. </w:t>
      </w:r>
    </w:p>
    <w:p>
      <w:pPr>
        <w:pStyle w:val="TextBody"/>
        <w:numPr>
          <w:ilvl w:val="0"/>
          <w:numId w:val="7"/>
        </w:numPr>
        <w:tabs>
          <w:tab w:val="clear" w:pos="1134"/>
          <w:tab w:val="left" w:pos="709" w:leader="none"/>
        </w:tabs>
        <w:bidi w:val="0"/>
        <w:spacing w:lineRule="atLeast" w:line="240" w:before="0" w:after="200"/>
        <w:ind w:left="709" w:hanging="283"/>
        <w:jc w:val="both"/>
        <w:rPr>
          <w:sz w:val="20"/>
        </w:rPr>
      </w:pPr>
      <w:r>
        <w:rPr>
          <w:sz w:val="20"/>
        </w:rPr>
        <w:t xml:space="preserve">In July 2025, our convertible note automatically converted into shares of Class B Convertible Preferred Stock pursuant to its original terms (see Note </w:t>
      </w:r>
      <w:bookmarkStart w:id="312" w:name="fs_TXZAV7WELC00000000000000000000fs"/>
      <w:bookmarkEnd w:id="312"/>
      <w:r>
        <w:rPr>
          <w:sz w:val="20"/>
        </w:rPr>
        <w:t xml:space="preserve">4). </w:t>
      </w:r>
    </w:p>
    <w:p>
      <w:pPr>
        <w:pStyle w:val="TextBody"/>
        <w:numPr>
          <w:ilvl w:val="0"/>
          <w:numId w:val="7"/>
        </w:numPr>
        <w:tabs>
          <w:tab w:val="clear" w:pos="1134"/>
          <w:tab w:val="left" w:pos="709" w:leader="none"/>
        </w:tabs>
        <w:bidi w:val="0"/>
        <w:spacing w:lineRule="atLeast" w:line="240" w:before="0" w:after="200"/>
        <w:ind w:left="709" w:hanging="283"/>
        <w:jc w:val="both"/>
        <w:rPr>
          <w:sz w:val="20"/>
        </w:rPr>
      </w:pPr>
      <w:r>
        <w:rPr>
          <w:sz w:val="20"/>
        </w:rPr>
        <w:t xml:space="preserve">In September 2025, we repurchased and cancelled certain outstanding warrants, including </w:t>
      </w:r>
      <w:bookmarkStart w:id="313" w:name="fs_0I8YGXSN1S00000000000000000000fs"/>
      <w:bookmarkEnd w:id="313"/>
      <w:r>
        <w:rPr>
          <w:sz w:val="20"/>
        </w:rPr>
        <w:t xml:space="preserve">one related-party transaction approved by our Board (see Note </w:t>
      </w:r>
      <w:bookmarkStart w:id="314" w:name="fs_LQQT4S4HFK00000000000000000000fs"/>
      <w:bookmarkEnd w:id="314"/>
      <w:r>
        <w:rPr>
          <w:sz w:val="20"/>
        </w:rPr>
        <w:t xml:space="preserve">5). </w:t>
      </w:r>
    </w:p>
    <w:p>
      <w:pPr>
        <w:pStyle w:val="TextBody"/>
        <w:numPr>
          <w:ilvl w:val="0"/>
          <w:numId w:val="7"/>
        </w:numPr>
        <w:tabs>
          <w:tab w:val="clear" w:pos="1134"/>
          <w:tab w:val="left" w:pos="709" w:leader="none"/>
        </w:tabs>
        <w:bidi w:val="0"/>
        <w:spacing w:lineRule="atLeast" w:line="240" w:before="0" w:after="200"/>
        <w:ind w:left="709" w:hanging="283"/>
        <w:jc w:val="both"/>
        <w:rPr>
          <w:sz w:val="20"/>
        </w:rPr>
      </w:pPr>
      <w:r>
        <w:rPr>
          <w:sz w:val="20"/>
        </w:rPr>
        <w:t xml:space="preserve">Disposition status (subsequent event). On October 24, 2025, after quarter-end, we closed the sale of intellectual property and certain inventories to an industry buyer for cash consideration (see Subsequent Events). Any differences between the carrying amounts at </w:t>
      </w:r>
      <w:bookmarkStart w:id="315" w:name="fs_FQT6BDULZ400000000000000000000FM"/>
      <w:bookmarkEnd w:id="315"/>
      <w:r>
        <w:rPr>
          <w:sz w:val="20"/>
        </w:rPr>
        <w:t xml:space="preserve">September 30, 2025 and final closing amounts will be recognized in the subsequent period. </w:t>
      </w:r>
    </w:p>
    <w:p>
      <w:pPr>
        <w:pStyle w:val="TextBody"/>
        <w:bidi w:val="0"/>
        <w:spacing w:lineRule="auto" w:line="288" w:before="0" w:after="200"/>
        <w:ind w:left="0" w:right="0" w:hanging="0"/>
        <w:jc w:val="both"/>
        <w:rPr>
          <w:rFonts w:ascii="Times New Roman;serif" w:hAnsi="Times New Roman;serif"/>
          <w:sz w:val="20"/>
        </w:rPr>
      </w:pPr>
      <w:r>
        <w:rPr>
          <w:rFonts w:ascii="Times New Roman;serif" w:hAnsi="Times New Roman;serif"/>
          <w:sz w:val="20"/>
        </w:rPr>
        <w:t xml:space="preserve">Beginning in the third quarter of </w:t>
      </w:r>
      <w:bookmarkStart w:id="316" w:name="fs_GWD55Z9JWG00000000000000000000fs"/>
      <w:bookmarkEnd w:id="316"/>
      <w:r>
        <w:rPr>
          <w:rFonts w:ascii="Times New Roman;serif" w:hAnsi="Times New Roman;serif"/>
          <w:sz w:val="20"/>
        </w:rPr>
        <w:t>2025:</w:t>
      </w:r>
    </w:p>
    <w:p>
      <w:pPr>
        <w:pStyle w:val="TextBody"/>
        <w:numPr>
          <w:ilvl w:val="0"/>
          <w:numId w:val="8"/>
        </w:numPr>
        <w:tabs>
          <w:tab w:val="clear" w:pos="1134"/>
          <w:tab w:val="left" w:pos="709" w:leader="none"/>
        </w:tabs>
        <w:bidi w:val="0"/>
        <w:spacing w:lineRule="atLeast" w:line="240" w:before="0" w:after="200"/>
        <w:ind w:left="709" w:hanging="283"/>
        <w:jc w:val="both"/>
        <w:rPr>
          <w:sz w:val="20"/>
        </w:rPr>
      </w:pPr>
      <w:r>
        <w:rPr>
          <w:sz w:val="20"/>
        </w:rPr>
        <w:t xml:space="preserve">The disposal group of assets is presented as assets held for sale (and liabilities held for sale, if any) on the balance sheet. </w:t>
      </w:r>
    </w:p>
    <w:p>
      <w:pPr>
        <w:pStyle w:val="TextBody"/>
        <w:numPr>
          <w:ilvl w:val="0"/>
          <w:numId w:val="8"/>
        </w:numPr>
        <w:tabs>
          <w:tab w:val="clear" w:pos="1134"/>
          <w:tab w:val="left" w:pos="709" w:leader="none"/>
        </w:tabs>
        <w:bidi w:val="0"/>
        <w:spacing w:lineRule="atLeast" w:line="240" w:before="0" w:after="200"/>
        <w:ind w:left="709" w:hanging="283"/>
        <w:jc w:val="both"/>
        <w:rPr>
          <w:sz w:val="20"/>
        </w:rPr>
      </w:pPr>
      <w:r>
        <w:rPr>
          <w:sz w:val="20"/>
        </w:rPr>
        <w:t xml:space="preserve">The statement of operations includes (loss) income from discontinued operations, net of tax below (loss) from continuing operations; basic and diluted loss per share are presented for continuing operations, discontinued operations, and total (see Note </w:t>
      </w:r>
      <w:bookmarkStart w:id="317" w:name="fs_78G1G6K02800000000000000000000fs"/>
      <w:bookmarkEnd w:id="317"/>
      <w:r>
        <w:rPr>
          <w:sz w:val="20"/>
        </w:rPr>
        <w:t xml:space="preserve">7 — Loss Per Share). </w:t>
      </w:r>
    </w:p>
    <w:p>
      <w:pPr>
        <w:pStyle w:val="TextBody"/>
        <w:numPr>
          <w:ilvl w:val="0"/>
          <w:numId w:val="8"/>
        </w:numPr>
        <w:tabs>
          <w:tab w:val="clear" w:pos="1134"/>
          <w:tab w:val="left" w:pos="709" w:leader="none"/>
        </w:tabs>
        <w:bidi w:val="0"/>
        <w:spacing w:lineRule="atLeast" w:line="240" w:before="0" w:after="200"/>
        <w:ind w:left="709" w:hanging="283"/>
        <w:jc w:val="both"/>
        <w:rPr>
          <w:sz w:val="20"/>
        </w:rPr>
      </w:pPr>
      <w:r>
        <w:rPr>
          <w:sz w:val="20"/>
        </w:rPr>
        <w:t xml:space="preserve">The statement of cash flows remains consolidated, with supplemental cash-flow information for the discontinued operations disclosed in Note </w:t>
      </w:r>
      <w:bookmarkStart w:id="318" w:name="fs_8TPFVUTH3400000000000000000000fs"/>
      <w:bookmarkEnd w:id="318"/>
      <w:r>
        <w:rPr>
          <w:sz w:val="20"/>
        </w:rPr>
        <w:t xml:space="preserve">2. </w:t>
      </w:r>
    </w:p>
    <w:p>
      <w:pPr>
        <w:pStyle w:val="TextBody"/>
        <w:bidi w:val="0"/>
        <w:spacing w:lineRule="auto" w:line="288" w:before="0" w:after="200"/>
        <w:ind w:left="0" w:right="0" w:hanging="0"/>
        <w:jc w:val="both"/>
        <w:rPr>
          <w:i/>
          <w:sz w:val="20"/>
        </w:rPr>
      </w:pPr>
      <w:r>
        <w:rPr>
          <w:i/>
          <w:sz w:val="20"/>
        </w:rPr>
        <w:t>Operating context</w:t>
      </w:r>
    </w:p>
    <w:p>
      <w:pPr>
        <w:pStyle w:val="TextBody"/>
        <w:bidi w:val="0"/>
        <w:spacing w:lineRule="auto" w:line="288" w:before="0" w:after="200"/>
        <w:ind w:left="0" w:right="0" w:hanging="0"/>
        <w:jc w:val="both"/>
        <w:rPr>
          <w:sz w:val="20"/>
        </w:rPr>
      </w:pPr>
      <w:r>
        <w:rPr>
          <w:sz w:val="20"/>
        </w:rPr>
        <w:t xml:space="preserve">During </w:t>
      </w:r>
      <w:bookmarkStart w:id="319" w:name="fs_QZRJMF1EZK00000000000000000000fs"/>
      <w:bookmarkEnd w:id="319"/>
      <w:r>
        <w:rPr>
          <w:sz w:val="20"/>
        </w:rPr>
        <w:t>2025, our operating results were impacted by constrained liquidity, intermittent supply chain availability, and reduced channel demand relative to the prior year. Management’s primary focus through and after quarter-end has been executing the asset sale, aligning our cost structure with the go-forward profile of the business, and preserving liquidity while we evaluate additional strategic alternatives.</w:t>
      </w:r>
    </w:p>
    <w:p>
      <w:pPr>
        <w:pStyle w:val="TextBody"/>
        <w:bidi w:val="0"/>
        <w:spacing w:lineRule="auto" w:line="288" w:before="0" w:after="200"/>
        <w:ind w:left="0" w:right="0" w:hanging="0"/>
        <w:jc w:val="both"/>
        <w:rPr>
          <w:rFonts w:ascii="Times New Roman;serif" w:hAnsi="Times New Roman;serif"/>
          <w:i/>
          <w:sz w:val="20"/>
        </w:rPr>
      </w:pPr>
      <w:r>
        <w:rPr>
          <w:rFonts w:ascii="Times New Roman;serif" w:hAnsi="Times New Roman;serif"/>
          <w:i/>
          <w:sz w:val="20"/>
        </w:rPr>
        <w:t>Continuing operations and post-disposition plan</w:t>
      </w:r>
    </w:p>
    <w:p>
      <w:pPr>
        <w:pStyle w:val="TextBody"/>
        <w:bidi w:val="0"/>
        <w:spacing w:lineRule="auto" w:line="288" w:before="0" w:after="200"/>
        <w:ind w:left="0" w:right="0" w:hanging="0"/>
        <w:jc w:val="both"/>
        <w:rPr>
          <w:rFonts w:ascii="Times New Roman;serif" w:hAnsi="Times New Roman;serif"/>
          <w:sz w:val="20"/>
        </w:rPr>
      </w:pPr>
      <w:r>
        <w:rPr>
          <w:rFonts w:ascii="Times New Roman;serif" w:hAnsi="Times New Roman;serif"/>
          <w:sz w:val="20"/>
        </w:rPr>
        <w:t xml:space="preserve">Following the classification of our product business as held for sale at </w:t>
      </w:r>
      <w:bookmarkStart w:id="320" w:name="fs_TYFYF52K8W00000000000000000000FM"/>
      <w:bookmarkEnd w:id="320"/>
      <w:r>
        <w:rPr>
          <w:rFonts w:ascii="Times New Roman;serif" w:hAnsi="Times New Roman;serif"/>
          <w:sz w:val="20"/>
        </w:rPr>
        <w:t xml:space="preserve">September 30, 2025, and the subsequent closing of the asset sale after quarter-end (see Note </w:t>
      </w:r>
      <w:bookmarkStart w:id="321" w:name="fs_OGK0DU0O5S00000000000000000000fs"/>
      <w:bookmarkEnd w:id="321"/>
      <w:r>
        <w:rPr>
          <w:rFonts w:ascii="Times New Roman;serif" w:hAnsi="Times New Roman;serif"/>
          <w:sz w:val="20"/>
        </w:rPr>
        <w:t>2 — Discontinued Operations and Assets Held for Sale and Subsequent Events), our continuing operations consist of: (i) executing a restructuring in furtherance of the Asset Disposition to Biamp and a possible Strategic Transaction, including monetization of residual assets not included in the sale (e.g., fixed assets, leaseholds) and collection of accounts receivable and prepaids; (b) maintaining a lean corporate infrastructure to satisfy reporting and governance requirements; (c) providing product support and warranty services with a small service inventory and technical support team; (d) managing and, where feasible, terminating or assigning facility leases to reduce ongoing cash burn; (e) completing the redemption of our Class A Redeemable Preferred Stock in accordance with its terms; and (f) evaluating additional financing or strategic alternatives as necessary to satisfy obligations as they come due.</w:t>
      </w:r>
    </w:p>
    <w:p>
      <w:pPr>
        <w:pStyle w:val="TextBody"/>
        <w:bidi w:val="0"/>
        <w:spacing w:lineRule="auto" w:line="288" w:before="0" w:after="0"/>
        <w:ind w:left="0" w:right="0" w:hanging="0"/>
        <w:jc w:val="both"/>
        <w:rPr>
          <w:rFonts w:ascii="Times New Roman;serif" w:hAnsi="Times New Roman;serif"/>
          <w:i/>
          <w:sz w:val="20"/>
        </w:rPr>
      </w:pPr>
      <w:r>
        <w:rPr>
          <w:rFonts w:ascii="Times New Roman;serif" w:hAnsi="Times New Roman;serif"/>
          <w:i/>
          <w:sz w:val="20"/>
        </w:rPr>
        <w:t>Warranty support activities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serif" w:hAnsi="Times New Roman;serif"/>
          <w:sz w:val="20"/>
        </w:rPr>
      </w:pPr>
      <w:r>
        <w:rPr>
          <w:rFonts w:ascii="Times New Roman;serif" w:hAnsi="Times New Roman;serif"/>
          <w:sz w:val="20"/>
        </w:rPr>
        <w:t>We retained responsibility for legacy product support and warranty obligations; the buyer did not assume these liabilities. As a result, continuing operations will maintain a small technical support function and service inventory (e.g., spare parts and repair units) to honor  product support and warranty terms. We do not expect to manufacture new product or pursue new product sales, but we will pursue sale of remaining inventories and any other assets as part of eliminating all assets for cash. Any immaterial service or parts revenue, if recognized, will be reported within continuing operations. We will evaluate our service inventory and warranty accruals each period and adjust estimates based on observed claim rates and resolution costs.</w:t>
      </w:r>
    </w:p>
    <w:p>
      <w:pPr>
        <w:pStyle w:val="TextBody"/>
        <w:bidi w:val="0"/>
        <w:spacing w:lineRule="auto" w:line="288" w:before="0" w:after="0"/>
        <w:ind w:left="0" w:right="0" w:hanging="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bookmarkStart w:id="322" w:name="PageBreakNo22"/>
            <w:bookmarkEnd w:id="322"/>
            <w:r>
              <w:rPr>
                <w:sz w:val="20"/>
              </w:rPr>
              <w:t>22</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before="0" w:after="0"/>
        <w:jc w:val="left"/>
        <w:rPr/>
      </w:pPr>
      <w:r>
        <w:rPr/>
      </w:r>
    </w:p>
    <w:p>
      <w:pPr>
        <w:pStyle w:val="TextBody"/>
        <w:bidi w:val="0"/>
        <w:spacing w:lineRule="auto" w:line="288" w:before="0" w:after="0"/>
        <w:jc w:val="left"/>
        <w:rPr/>
      </w:pPr>
      <w:hyperlink w:anchor="TOC">
        <w:r>
          <w:rPr>
            <w:rStyle w:val="InternetLink"/>
            <w:sz w:val="20"/>
          </w:rPr>
          <w:t>Table of Contents</w:t>
        </w:r>
      </w:hyperlink>
    </w:p>
    <w:p>
      <w:pPr>
        <w:pStyle w:val="TextBody"/>
        <w:bidi w:val="0"/>
        <w:spacing w:lineRule="auto" w:line="288" w:before="0" w:after="0"/>
        <w:ind w:left="0" w:right="0" w:hanging="0"/>
        <w:jc w:val="both"/>
        <w:rPr/>
      </w:pPr>
      <w:r>
        <w:rPr/>
        <w:t> </w:t>
      </w:r>
    </w:p>
    <w:p>
      <w:pPr>
        <w:pStyle w:val="TextBody"/>
        <w:bidi w:val="0"/>
        <w:spacing w:lineRule="auto" w:line="288" w:before="0" w:after="200"/>
        <w:ind w:left="0" w:right="0" w:hanging="0"/>
        <w:jc w:val="both"/>
        <w:rPr>
          <w:rFonts w:ascii="Times New Roman;serif" w:hAnsi="Times New Roman;serif"/>
          <w:i/>
          <w:sz w:val="20"/>
        </w:rPr>
      </w:pPr>
      <w:r>
        <w:rPr>
          <w:rFonts w:ascii="Times New Roman;serif" w:hAnsi="Times New Roman;serif"/>
          <w:i/>
          <w:sz w:val="20"/>
        </w:rPr>
        <w:t>Corporate infrastructure and compliance</w:t>
      </w:r>
    </w:p>
    <w:p>
      <w:pPr>
        <w:pStyle w:val="TextBody"/>
        <w:bidi w:val="0"/>
        <w:spacing w:lineRule="auto" w:line="288" w:before="0" w:after="0"/>
        <w:ind w:left="0" w:right="0" w:hanging="0"/>
        <w:jc w:val="both"/>
        <w:rPr>
          <w:rFonts w:ascii="Times New Roman;serif" w:hAnsi="Times New Roman;serif"/>
          <w:sz w:val="20"/>
        </w:rPr>
      </w:pPr>
      <w:r>
        <w:rPr>
          <w:rFonts w:ascii="Times New Roman;serif" w:hAnsi="Times New Roman;serif"/>
          <w:sz w:val="20"/>
        </w:rPr>
        <w:t>To support reporting, governance, and restructuring activities, we expect to maintain a lean corporate staff, including accounting/finance, IT, and senior management (CEO/CFO). Ongoing costs will include audit and tax services, legal and advisory fees, SEC reporting, D&amp;O insurance, IT/licensing, and Board and compliance expenses.</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serif" w:hAnsi="Times New Roman;serif"/>
          <w:i/>
          <w:sz w:val="20"/>
        </w:rPr>
      </w:pPr>
      <w:r>
        <w:rPr>
          <w:rFonts w:ascii="Times New Roman;serif" w:hAnsi="Times New Roman;serif"/>
          <w:i/>
          <w:sz w:val="20"/>
        </w:rPr>
        <w:t>Monetization of residual assets and settlement of obligations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serif" w:hAnsi="Times New Roman;serif"/>
          <w:sz w:val="20"/>
        </w:rPr>
      </w:pPr>
      <w:r>
        <w:rPr>
          <w:rFonts w:ascii="Times New Roman;serif" w:hAnsi="Times New Roman;serif"/>
          <w:sz w:val="20"/>
        </w:rPr>
        <w:t>Management’s near-term priorities include:</w:t>
      </w:r>
    </w:p>
    <w:p>
      <w:pPr>
        <w:pStyle w:val="TextBody"/>
        <w:widowControl/>
        <w:numPr>
          <w:ilvl w:val="0"/>
          <w:numId w:val="9"/>
        </w:numPr>
        <w:tabs>
          <w:tab w:val="clear" w:pos="1134"/>
          <w:tab w:val="left" w:pos="709" w:leader="none"/>
        </w:tabs>
        <w:bidi w:val="0"/>
        <w:spacing w:lineRule="atLeast" w:line="240" w:before="0" w:after="283"/>
        <w:ind w:left="709" w:right="0" w:hanging="283"/>
        <w:jc w:val="both"/>
        <w:rPr>
          <w:sz w:val="20"/>
        </w:rPr>
      </w:pPr>
      <w:r>
        <w:rPr>
          <w:sz w:val="20"/>
        </w:rPr>
        <w:t>Monetizing remaining assets not included in the sale, including fixed assets, and leaseholds/fixtures (through sale or lease termination/assignment)</w:t>
      </w:r>
      <w:r>
        <w:rPr>
          <w:rFonts w:ascii="Times New Roman" w:hAnsi="Times New Roman"/>
          <w:b w:val="false"/>
          <w:i w:val="false"/>
          <w:caps w:val="false"/>
          <w:smallCaps w:val="false"/>
          <w:color w:val="000000"/>
          <w:spacing w:val="0"/>
          <w:sz w:val="20"/>
        </w:rPr>
        <w:t>;</w:t>
      </w:r>
      <w:r>
        <w:rPr>
          <w:sz w:val="20"/>
        </w:rPr>
        <w:t xml:space="preserve"> </w:t>
      </w:r>
    </w:p>
    <w:p>
      <w:pPr>
        <w:pStyle w:val="TextBody"/>
        <w:widowControl/>
        <w:numPr>
          <w:ilvl w:val="0"/>
          <w:numId w:val="9"/>
        </w:numPr>
        <w:tabs>
          <w:tab w:val="clear" w:pos="1134"/>
          <w:tab w:val="left" w:pos="709" w:leader="none"/>
        </w:tabs>
        <w:bidi w:val="0"/>
        <w:spacing w:lineRule="atLeast" w:line="240" w:before="0" w:after="283"/>
        <w:ind w:left="709" w:right="0" w:hanging="283"/>
        <w:jc w:val="both"/>
        <w:rPr>
          <w:sz w:val="20"/>
        </w:rPr>
      </w:pPr>
      <w:r>
        <w:rPr>
          <w:sz w:val="20"/>
        </w:rPr>
        <w:t>Collecting outstanding accounts receivable and realizing prepaid balances and deposits where recoverable</w:t>
      </w:r>
      <w:r>
        <w:rPr>
          <w:rFonts w:ascii="Times New Roman" w:hAnsi="Times New Roman"/>
          <w:b w:val="false"/>
          <w:i w:val="false"/>
          <w:caps w:val="false"/>
          <w:smallCaps w:val="false"/>
          <w:color w:val="000000"/>
          <w:spacing w:val="0"/>
          <w:sz w:val="20"/>
        </w:rPr>
        <w:t>;</w:t>
      </w:r>
      <w:r>
        <w:rPr>
          <w:sz w:val="20"/>
        </w:rPr>
        <w:t xml:space="preserve"> </w:t>
      </w:r>
    </w:p>
    <w:p>
      <w:pPr>
        <w:pStyle w:val="TextBody"/>
        <w:widowControl/>
        <w:numPr>
          <w:ilvl w:val="0"/>
          <w:numId w:val="9"/>
        </w:numPr>
        <w:tabs>
          <w:tab w:val="clear" w:pos="1134"/>
          <w:tab w:val="left" w:pos="709" w:leader="none"/>
        </w:tabs>
        <w:bidi w:val="0"/>
        <w:spacing w:lineRule="atLeast" w:line="240" w:before="0" w:after="283"/>
        <w:ind w:left="709" w:right="0" w:hanging="283"/>
        <w:jc w:val="both"/>
        <w:rPr>
          <w:sz w:val="20"/>
        </w:rPr>
      </w:pPr>
      <w:r>
        <w:rPr>
          <w:sz w:val="20"/>
        </w:rPr>
        <w:t>Settling outstanding trade payables, accrued expenses, warranty obligations, and other liabilities retained at closing</w:t>
      </w:r>
      <w:r>
        <w:rPr>
          <w:rFonts w:ascii="Times New Roman" w:hAnsi="Times New Roman"/>
          <w:b w:val="false"/>
          <w:i w:val="false"/>
          <w:caps w:val="false"/>
          <w:smallCaps w:val="false"/>
          <w:color w:val="000000"/>
          <w:spacing w:val="0"/>
          <w:sz w:val="20"/>
        </w:rPr>
        <w:t>;</w:t>
      </w:r>
      <w:r>
        <w:rPr>
          <w:sz w:val="20"/>
        </w:rPr>
        <w:t xml:space="preserve"> </w:t>
      </w:r>
    </w:p>
    <w:p>
      <w:pPr>
        <w:pStyle w:val="TextBody"/>
        <w:widowControl/>
        <w:numPr>
          <w:ilvl w:val="0"/>
          <w:numId w:val="9"/>
        </w:numPr>
        <w:tabs>
          <w:tab w:val="clear" w:pos="1134"/>
          <w:tab w:val="left" w:pos="709" w:leader="none"/>
        </w:tabs>
        <w:bidi w:val="0"/>
        <w:spacing w:lineRule="atLeast" w:line="240" w:before="0" w:after="283"/>
        <w:ind w:left="709" w:right="0" w:hanging="283"/>
        <w:jc w:val="both"/>
        <w:rPr>
          <w:sz w:val="20"/>
        </w:rPr>
      </w:pPr>
      <w:r>
        <w:rPr>
          <w:sz w:val="20"/>
        </w:rPr>
        <w:t>Managing leases, including negotiated terminations or assignments to reduce ongoing occupancy costs</w:t>
      </w:r>
      <w:r>
        <w:rPr>
          <w:rFonts w:ascii="Times New Roman" w:hAnsi="Times New Roman"/>
          <w:b w:val="false"/>
          <w:i w:val="false"/>
          <w:caps w:val="false"/>
          <w:smallCaps w:val="false"/>
          <w:color w:val="000000"/>
          <w:spacing w:val="0"/>
          <w:sz w:val="20"/>
        </w:rPr>
        <w:t>;</w:t>
      </w:r>
      <w:r>
        <w:rPr>
          <w:sz w:val="20"/>
        </w:rPr>
        <w:t xml:space="preserve"> </w:t>
      </w:r>
    </w:p>
    <w:p>
      <w:pPr>
        <w:pStyle w:val="TextBody"/>
        <w:numPr>
          <w:ilvl w:val="0"/>
          <w:numId w:val="9"/>
        </w:numPr>
        <w:tabs>
          <w:tab w:val="clear" w:pos="1134"/>
          <w:tab w:val="left" w:pos="709" w:leader="none"/>
        </w:tabs>
        <w:bidi w:val="0"/>
        <w:spacing w:lineRule="atLeast" w:line="240" w:before="0" w:after="283"/>
        <w:ind w:left="709" w:hanging="283"/>
        <w:jc w:val="both"/>
        <w:rPr>
          <w:sz w:val="20"/>
        </w:rPr>
      </w:pPr>
      <w:r>
        <w:rPr>
          <w:sz w:val="20"/>
        </w:rPr>
        <w:t xml:space="preserve">Completing a restructuring and identifying a Strategic Transaction partner in the fourth quarter of </w:t>
      </w:r>
      <w:bookmarkStart w:id="323" w:name="fs_LCBLD2U18G00000000000000000000fs"/>
      <w:bookmarkEnd w:id="323"/>
      <w:r>
        <w:rPr>
          <w:sz w:val="20"/>
        </w:rPr>
        <w:t xml:space="preserve">2025; </w:t>
      </w:r>
    </w:p>
    <w:p>
      <w:pPr>
        <w:pStyle w:val="TextBody"/>
        <w:numPr>
          <w:ilvl w:val="0"/>
          <w:numId w:val="9"/>
        </w:numPr>
        <w:tabs>
          <w:tab w:val="clear" w:pos="1134"/>
          <w:tab w:val="left" w:pos="709" w:leader="none"/>
        </w:tabs>
        <w:bidi w:val="0"/>
        <w:spacing w:lineRule="atLeast" w:line="240" w:before="0" w:after="283"/>
        <w:ind w:left="709" w:hanging="283"/>
        <w:jc w:val="both"/>
        <w:rPr>
          <w:sz w:val="20"/>
        </w:rPr>
      </w:pPr>
      <w:r>
        <w:rPr>
          <w:sz w:val="20"/>
        </w:rPr>
        <w:t xml:space="preserve">Overseeing redemption mechanics for the Class A Redeemable Preferred Stock, which is designed to receive </w:t>
      </w:r>
      <w:bookmarkStart w:id="324" w:name="fs_KIAEIP3W3K00000000000000000000fs"/>
      <w:bookmarkEnd w:id="324"/>
      <w:r>
        <w:rPr>
          <w:sz w:val="20"/>
        </w:rPr>
        <w:t xml:space="preserve">100% of the net proceeds from the asset sale upon redemption (see Note </w:t>
      </w:r>
      <w:bookmarkStart w:id="325" w:name="fs_CRS9B4SAQ800000000000000000000fs"/>
      <w:bookmarkEnd w:id="325"/>
      <w:r>
        <w:rPr>
          <w:sz w:val="20"/>
        </w:rPr>
        <w:t xml:space="preserve">3 — Class A Redeemable Preferred (Temporary Equity))  </w:t>
      </w:r>
    </w:p>
    <w:p>
      <w:pPr>
        <w:pStyle w:val="TextBody"/>
        <w:bidi w:val="0"/>
        <w:spacing w:lineRule="auto" w:line="288" w:before="0" w:after="0"/>
        <w:ind w:left="0" w:right="0" w:hanging="0"/>
        <w:jc w:val="both"/>
        <w:rPr>
          <w:rFonts w:ascii="Times New Roman;serif" w:hAnsi="Times New Roman;serif"/>
          <w:i/>
          <w:sz w:val="20"/>
        </w:rPr>
      </w:pPr>
      <w:r>
        <w:rPr>
          <w:rFonts w:ascii="Times New Roman;serif" w:hAnsi="Times New Roman;serif"/>
          <w:i/>
          <w:sz w:val="20"/>
        </w:rPr>
        <w:t>Presentation and comparability</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serif" w:hAnsi="Times New Roman;serif"/>
          <w:sz w:val="20"/>
        </w:rPr>
      </w:pPr>
      <w:r>
        <w:rPr>
          <w:rFonts w:ascii="Times New Roman;serif" w:hAnsi="Times New Roman;serif"/>
          <w:sz w:val="20"/>
        </w:rPr>
        <w:t>Beginning in the third q</w:t>
      </w:r>
      <w:r>
        <w:rPr>
          <w:rFonts w:ascii="times new roman;times" w:hAnsi="times new roman;times"/>
          <w:sz w:val="20"/>
        </w:rPr>
        <w:t xml:space="preserve">uarter of </w:t>
      </w:r>
      <w:bookmarkStart w:id="326" w:name="fs_D29WAESQ9S00000000000000000000fs"/>
      <w:bookmarkEnd w:id="326"/>
      <w:r>
        <w:rPr>
          <w:rFonts w:ascii="times new roman;times" w:hAnsi="times new roman;times"/>
          <w:sz w:val="20"/>
        </w:rPr>
        <w:t>2025</w:t>
      </w:r>
      <w:r>
        <w:rPr>
          <w:rFonts w:ascii="times new roman;times" w:hAnsi="times new roman;times"/>
          <w:sz w:val="20"/>
        </w:rPr>
        <w:t xml:space="preserve">, results of the disposed product business are presented as discontinued operations for all periods shown. Continuing operations primarily comprise warranty support, corporate and restructuring costs. The balance sheet reflects assets held for sale (and liabilities held for sale, if any) as of </w:t>
      </w:r>
      <w:bookmarkStart w:id="327" w:name="fs_5DBSS39BCG00000000000000000000FM"/>
      <w:bookmarkEnd w:id="327"/>
      <w:r>
        <w:rPr>
          <w:rFonts w:ascii="times new roman;times" w:hAnsi="times new roman;times"/>
          <w:sz w:val="20"/>
        </w:rPr>
        <w:t xml:space="preserve">September 30, 2025. The statement of operations presents (loss) from continuing operations separately from (loss) from discontinued operations, net of tax, and basic/diluted loss per share is shown for continuing operations, discontinued operations, and total (see Note </w:t>
      </w:r>
      <w:bookmarkStart w:id="328" w:name="fs_86XRE2IRM800000000000000000000fs"/>
      <w:bookmarkEnd w:id="328"/>
      <w:r>
        <w:rPr>
          <w:rFonts w:ascii="times new roman;times" w:hAnsi="times new roman;times"/>
          <w:sz w:val="20"/>
        </w:rPr>
        <w:t>7</w:t>
      </w:r>
      <w:r>
        <w:rPr>
          <w:rFonts w:ascii="times new roman;times" w:hAnsi="times new roman;times"/>
          <w:sz w:val="20"/>
        </w:rPr>
        <w:t xml:space="preserve"> — Loss Per Share).</w:t>
      </w:r>
    </w:p>
    <w:p>
      <w:pPr>
        <w:pStyle w:val="TextBody"/>
        <w:bidi w:val="0"/>
        <w:spacing w:lineRule="auto" w:line="288" w:before="0" w:after="0"/>
        <w:ind w:left="0" w:right="0" w:hanging="0"/>
        <w:jc w:val="both"/>
        <w:rPr/>
      </w:pPr>
      <w:r>
        <w:rPr/>
      </w:r>
    </w:p>
    <w:p>
      <w:pPr>
        <w:pStyle w:val="TextBody"/>
        <w:bidi w:val="0"/>
        <w:spacing w:lineRule="auto" w:line="288" w:before="0" w:after="200"/>
        <w:ind w:left="0" w:right="0" w:hanging="0"/>
        <w:jc w:val="both"/>
        <w:rPr>
          <w:rFonts w:ascii="times new roman;times" w:hAnsi="times new roman;times"/>
          <w:i/>
          <w:sz w:val="20"/>
        </w:rPr>
      </w:pPr>
      <w:r>
        <w:rPr>
          <w:rFonts w:ascii="times new roman;times" w:hAnsi="times new roman;times"/>
          <w:i/>
          <w:sz w:val="20"/>
        </w:rPr>
        <w:t>Critical accounting estimates</w:t>
      </w:r>
    </w:p>
    <w:p>
      <w:pPr>
        <w:pStyle w:val="TextBody"/>
        <w:bidi w:val="0"/>
        <w:spacing w:lineRule="auto" w:line="288" w:before="0" w:after="0"/>
        <w:ind w:left="0" w:right="0" w:hanging="0"/>
        <w:jc w:val="both"/>
        <w:rPr>
          <w:rFonts w:ascii="Times New Roman;serif" w:hAnsi="Times New Roman;serif"/>
          <w:sz w:val="20"/>
        </w:rPr>
      </w:pPr>
      <w:r>
        <w:rPr>
          <w:rFonts w:ascii="Times New Roman;serif" w:hAnsi="Times New Roman;serif"/>
          <w:sz w:val="20"/>
        </w:rPr>
        <w:t xml:space="preserve">The classification of the disposal group of assets as held for sale and presentation as discontinued operations required management to make significant estimates, including the measurement of fair value less costs to selloff the disposal group of assets (ASC </w:t>
      </w:r>
      <w:bookmarkStart w:id="329" w:name="fs_AYUC7M1XZ400000000000000000000fs"/>
      <w:bookmarkEnd w:id="329"/>
      <w:r>
        <w:rPr>
          <w:rFonts w:ascii="Times New Roman;serif" w:hAnsi="Times New Roman;serif"/>
          <w:sz w:val="20"/>
        </w:rPr>
        <w:t xml:space="preserve">360) and the warranty obligation retained by the Company (ASC </w:t>
      </w:r>
      <w:bookmarkStart w:id="330" w:name="fs_XWFHEWX3RK00000000000000000000fs"/>
      <w:bookmarkEnd w:id="330"/>
      <w:r>
        <w:rPr>
          <w:rFonts w:ascii="Times New Roman;serif" w:hAnsi="Times New Roman;serif"/>
          <w:sz w:val="20"/>
        </w:rPr>
        <w:t>460). These estimates use assumptions regarding market participant pricing, transaction costs, expected claim rates and unit repair costs. Actual results could differ materially from these estimates.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serif" w:hAnsi="Times New Roman;serif"/>
          <w:i/>
          <w:sz w:val="20"/>
        </w:rPr>
      </w:pPr>
      <w:r>
        <w:rPr>
          <w:rFonts w:ascii="Times New Roman;serif" w:hAnsi="Times New Roman;serif"/>
          <w:i/>
          <w:sz w:val="20"/>
        </w:rPr>
        <w:t>Liquidity and going-concern considerations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serif" w:hAnsi="Times New Roman;serif"/>
          <w:sz w:val="20"/>
        </w:rPr>
      </w:pPr>
      <w:r>
        <w:rPr>
          <w:rFonts w:ascii="Times New Roman;serif" w:hAnsi="Times New Roman;serif"/>
          <w:sz w:val="20"/>
        </w:rPr>
        <w:t xml:space="preserve">We have incurred net losses and used cash in operations for the periods presented. Our ability to meet obligations as they come due depends on the timing and magnitude of cash available after the asset sale (net of costs), collections of receivables and other assets, management of restructuring costs, and access to additional financing or further strategic transactions, if required. These conditions raise substantial doubt about our ability to continue as a going concern within </w:t>
      </w:r>
      <w:bookmarkStart w:id="331" w:name="fs_UC5PFVMOVK00000000000000000000fs"/>
      <w:bookmarkEnd w:id="331"/>
      <w:r>
        <w:rPr>
          <w:rFonts w:ascii="Times New Roman;serif" w:hAnsi="Times New Roman;serif"/>
          <w:sz w:val="20"/>
        </w:rPr>
        <w:t xml:space="preserve">one year after the issuance of these financial statements. Management’s plans include executing its restructuring and a Strategic Transaction efficiently, managing warranty exposure, monetizing residual assets, and prioritizing liquidity while completing the Class A redemption process. See Note </w:t>
      </w:r>
      <w:bookmarkStart w:id="332" w:name="fs_TWYM6117A800000000000000000000fs"/>
      <w:bookmarkEnd w:id="332"/>
      <w:r>
        <w:rPr>
          <w:rFonts w:ascii="Times New Roman;serif" w:hAnsi="Times New Roman;serif"/>
          <w:sz w:val="20"/>
        </w:rPr>
        <w:t xml:space="preserve">1 — Basis of Presentation, Note </w:t>
      </w:r>
      <w:bookmarkStart w:id="333" w:name="fs_0GBSP2Z0F400000000000000000000fs"/>
      <w:bookmarkEnd w:id="333"/>
      <w:r>
        <w:rPr>
          <w:rFonts w:ascii="Times New Roman;serif" w:hAnsi="Times New Roman;serif"/>
          <w:sz w:val="20"/>
        </w:rPr>
        <w:t xml:space="preserve">2, Note </w:t>
      </w:r>
      <w:bookmarkStart w:id="334" w:name="fs_QU38GYM0R400000000000000000000fs"/>
      <w:bookmarkEnd w:id="334"/>
      <w:r>
        <w:rPr>
          <w:rFonts w:ascii="Times New Roman;serif" w:hAnsi="Times New Roman;serif"/>
          <w:sz w:val="20"/>
        </w:rPr>
        <w:t>3, and Subsequent Events.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serif" w:hAnsi="Times New Roman;serif"/>
          <w:i/>
          <w:sz w:val="20"/>
        </w:rPr>
      </w:pPr>
      <w:r>
        <w:rPr>
          <w:rFonts w:ascii="Times New Roman;serif" w:hAnsi="Times New Roman;serif"/>
          <w:i/>
          <w:sz w:val="20"/>
        </w:rPr>
        <w:t>Key risks and uncertainties</w:t>
      </w:r>
    </w:p>
    <w:p>
      <w:pPr>
        <w:pStyle w:val="TextBody"/>
        <w:bidi w:val="0"/>
        <w:spacing w:lineRule="auto" w:line="288" w:before="0" w:after="0"/>
        <w:ind w:left="0" w:right="0" w:hanging="0"/>
        <w:jc w:val="both"/>
        <w:rPr/>
      </w:pPr>
      <w:r>
        <w:rPr/>
        <w:t> </w:t>
      </w:r>
    </w:p>
    <w:p>
      <w:pPr>
        <w:pStyle w:val="TextBody"/>
        <w:widowControl/>
        <w:bidi w:val="0"/>
        <w:spacing w:lineRule="auto" w:line="288" w:before="0" w:after="200"/>
        <w:ind w:left="0" w:right="0" w:hanging="0"/>
        <w:jc w:val="both"/>
        <w:rPr>
          <w:rFonts w:ascii="times new roman;times" w:hAnsi="times new roman;times"/>
          <w:sz w:val="20"/>
        </w:rPr>
      </w:pPr>
      <w:r>
        <w:rPr>
          <w:rFonts w:ascii="Times New Roman;serif" w:hAnsi="Times New Roman;serif"/>
          <w:sz w:val="20"/>
        </w:rPr>
        <w:t>Execution of the </w:t>
      </w:r>
      <w:r>
        <w:rPr>
          <w:rFonts w:ascii="Times New Roman;serif" w:hAnsi="Times New Roman;serif"/>
          <w:b w:val="false"/>
          <w:i w:val="false"/>
          <w:caps w:val="false"/>
          <w:smallCaps w:val="false"/>
          <w:color w:val="000000"/>
          <w:spacing w:val="0"/>
          <w:sz w:val="20"/>
        </w:rPr>
        <w:t>restructuring and a Strategic Transaction</w:t>
      </w:r>
      <w:r>
        <w:rPr>
          <w:rFonts w:ascii="Times New Roman;serif" w:hAnsi="Times New Roman;serif"/>
          <w:sz w:val="20"/>
        </w:rPr>
        <w:t xml:space="preserve"> involves risks, including warranty claim variability, timing of asset monetization, vendor and customer responses to our transition, and the cost and availability of essential public company services. Actual outcomes may differ materially from our current expectations.  We are evaluating lease terminations or assignments associated with facilities formerly used by the disposed business. We will recognize lease exit costs or ROU asset impairments in periods when such actions are probable and amounts are reasonably estimable.</w:t>
      </w:r>
      <w:r>
        <w:rPr>
          <w:rFonts w:ascii="times new roman;times" w:hAnsi="times new roman;times"/>
          <w:sz w:val="20"/>
        </w:rPr>
        <w:t xml:space="preserve"> </w:t>
      </w:r>
    </w:p>
    <w:p>
      <w:pPr>
        <w:pStyle w:val="TextBody"/>
        <w:bidi w:val="0"/>
        <w:spacing w:lineRule="auto" w:line="288" w:before="0" w:after="200"/>
        <w:ind w:left="0" w:right="0" w:hanging="0"/>
        <w:jc w:val="both"/>
        <w:rPr>
          <w:rFonts w:ascii="Times New Roman;serif" w:hAnsi="Times New Roman;serif"/>
          <w:i/>
          <w:sz w:val="20"/>
        </w:rPr>
      </w:pPr>
      <w:r>
        <w:rPr>
          <w:rFonts w:ascii="Times New Roman;serif" w:hAnsi="Times New Roman;serif"/>
          <w:i/>
          <w:sz w:val="20"/>
        </w:rPr>
        <w:t>Off-balance sheet arrangements</w:t>
      </w:r>
    </w:p>
    <w:p>
      <w:pPr>
        <w:pStyle w:val="TextBody"/>
        <w:bidi w:val="0"/>
        <w:spacing w:lineRule="auto" w:line="288" w:before="0" w:after="200"/>
        <w:ind w:left="0" w:right="0" w:hanging="0"/>
        <w:jc w:val="both"/>
        <w:rPr>
          <w:rFonts w:ascii="Times New Roman;serif" w:hAnsi="Times New Roman;serif"/>
          <w:sz w:val="20"/>
        </w:rPr>
      </w:pPr>
      <w:r>
        <w:rPr>
          <w:rFonts w:ascii="Times New Roman;serif" w:hAnsi="Times New Roman;serif"/>
          <w:sz w:val="20"/>
        </w:rPr>
        <w:t xml:space="preserve">We had no off-balance sheet arrangements as of </w:t>
      </w:r>
      <w:bookmarkStart w:id="335" w:name="fs_39MHTKLM3K00000000000000000000FM"/>
      <w:bookmarkEnd w:id="335"/>
      <w:r>
        <w:rPr>
          <w:rFonts w:ascii="Times New Roman;serif" w:hAnsi="Times New Roman;serif"/>
          <w:sz w:val="20"/>
        </w:rPr>
        <w:t>September 30, 2025.</w:t>
      </w:r>
    </w:p>
    <w:p>
      <w:pPr>
        <w:pStyle w:val="TextBody"/>
        <w:bidi w:val="0"/>
        <w:spacing w:lineRule="auto" w:line="288" w:before="0" w:after="0"/>
        <w:ind w:left="0" w:right="0" w:hanging="0"/>
        <w:jc w:val="left"/>
        <w:rPr>
          <w:rFonts w:ascii="times new roman;times" w:hAnsi="times new roman;times"/>
          <w:i/>
          <w:sz w:val="20"/>
        </w:rPr>
      </w:pPr>
      <w:r>
        <w:rPr>
          <w:rFonts w:ascii="times new roman;times" w:hAnsi="times new roman;times"/>
          <w:i/>
          <w:sz w:val="20"/>
        </w:rPr>
        <w:t>Deferred Product Revenue</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Deferred product revenue decreased to $</w:t>
      </w:r>
      <w:bookmarkStart w:id="336" w:name="fs_VL8J9MERG000000000000000000000fs"/>
      <w:bookmarkEnd w:id="336"/>
      <w:r>
        <w:rPr>
          <w:rFonts w:ascii="times new roman;times" w:hAnsi="times new roman;times"/>
          <w:sz w:val="20"/>
        </w:rPr>
        <w:t>12 on </w:t>
      </w:r>
      <w:bookmarkStart w:id="337" w:name="fs_UVVM2XQLEO00000000000000000000FM"/>
      <w:bookmarkEnd w:id="337"/>
      <w:r>
        <w:rPr>
          <w:rFonts w:ascii="times new roman;times" w:hAnsi="times new roman;times"/>
          <w:sz w:val="20"/>
        </w:rPr>
        <w:t>September 30, 2025 compared to $</w:t>
      </w:r>
      <w:bookmarkStart w:id="338" w:name="fs_276LI6XYKG00000000000000000000fs"/>
      <w:bookmarkEnd w:id="338"/>
      <w:r>
        <w:rPr>
          <w:rFonts w:ascii="times new roman;times" w:hAnsi="times new roman;times"/>
          <w:sz w:val="20"/>
        </w:rPr>
        <w:t>17 on </w:t>
      </w:r>
      <w:bookmarkStart w:id="339" w:name="fs_EA4CJENKCG00000000000000000000FM"/>
      <w:bookmarkEnd w:id="339"/>
      <w:r>
        <w:rPr>
          <w:rFonts w:ascii="times new roman;times" w:hAnsi="times new roman;times"/>
          <w:sz w:val="20"/>
        </w:rPr>
        <w:t>December 31, 2024.</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A detailed discussion of our results of operations follows below.</w:t>
      </w:r>
    </w:p>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bookmarkStart w:id="340" w:name="PageBreakNo23"/>
            <w:bookmarkEnd w:id="340"/>
            <w:r>
              <w:rPr>
                <w:sz w:val="20"/>
              </w:rPr>
              <w:t>23</w:t>
            </w:r>
          </w:p>
        </w:tc>
      </w:tr>
    </w:tbl>
    <w:p>
      <w:pPr>
        <w:pStyle w:val="HorizontalLine"/>
        <w:bidi w:val="0"/>
        <w:spacing w:lineRule="auto" w:line="288" w:before="0" w:after="0"/>
        <w:jc w:val="left"/>
        <w:rPr/>
      </w:pPr>
      <w:r>
        <w:rPr/>
      </w:r>
    </w:p>
    <w:p>
      <w:pPr>
        <w:pStyle w:val="TextBody"/>
        <w:bidi w:val="0"/>
        <w:spacing w:lineRule="auto" w:line="288" w:before="0" w:after="0"/>
        <w:jc w:val="left"/>
        <w:rPr/>
      </w:pPr>
      <w:hyperlink w:anchor="TOC">
        <w:r>
          <w:rPr>
            <w:rStyle w:val="InternetLink"/>
            <w:rFonts w:ascii="times new roman;times" w:hAnsi="times new roman;times"/>
            <w:sz w:val="20"/>
          </w:rPr>
          <w:t>Table of Contents</w:t>
        </w:r>
      </w:hyperlink>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MANAGEMENT’S DISCUSSION AND ANALYSIS OF FINANCIAL CONDITION AND RESULTS OF OPERATIONS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b/>
          <w:i/>
          <w:color w:val="000000"/>
          <w:sz w:val="20"/>
        </w:rPr>
      </w:pPr>
      <w:r>
        <w:rPr>
          <w:rFonts w:ascii="Times New Roman" w:hAnsi="Times New Roman"/>
          <w:b/>
          <w:i/>
          <w:color w:val="000000"/>
          <w:sz w:val="20"/>
        </w:rPr>
        <w:t>Results of Operations for the </w:t>
      </w:r>
      <w:bookmarkStart w:id="341" w:name="fs_9RJOGEN3BK00000000000000000000FM"/>
      <w:bookmarkEnd w:id="341"/>
      <w:r>
        <w:rPr>
          <w:rFonts w:ascii="Times New Roman" w:hAnsi="Times New Roman"/>
          <w:b/>
          <w:i/>
          <w:color w:val="000000"/>
          <w:sz w:val="20"/>
        </w:rPr>
        <w:t xml:space="preserve">three and nine months ended </w:t>
      </w:r>
      <w:bookmarkStart w:id="342" w:name="fs_NMCNPWLKAO00000000000000000000FM"/>
      <w:bookmarkEnd w:id="342"/>
      <w:r>
        <w:rPr>
          <w:rFonts w:ascii="Times New Roman" w:hAnsi="Times New Roman"/>
          <w:b/>
          <w:i/>
          <w:color w:val="000000"/>
          <w:sz w:val="20"/>
        </w:rPr>
        <w:t>September 30, 2025</w:t>
      </w:r>
    </w:p>
    <w:p>
      <w:pPr>
        <w:pStyle w:val="TextBody"/>
        <w:bidi w:val="0"/>
        <w:spacing w:lineRule="auto" w:line="288" w:before="0" w:after="0"/>
        <w:ind w:left="0" w:right="0" w:hanging="0"/>
        <w:jc w:val="both"/>
        <w:rPr/>
      </w:pPr>
      <w:r>
        <w:rPr/>
        <w:t> </w:t>
      </w:r>
    </w:p>
    <w:p>
      <w:pPr>
        <w:pStyle w:val="TextBody"/>
        <w:widowControl/>
        <w:bidi w:val="0"/>
        <w:spacing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 xml:space="preserve">We discuss Continuing Operations and Discontinued Operations separately. The following tables set forth certain items from our unaudited condensed consolidated statements of operations for the </w:t>
      </w:r>
      <w:bookmarkStart w:id="343" w:name="fs_Z2APU1QYN400000000000000000000FM"/>
      <w:bookmarkEnd w:id="343"/>
      <w:r>
        <w:rPr>
          <w:rFonts w:ascii="times new roman;times" w:hAnsi="times new roman;times"/>
          <w:b w:val="false"/>
          <w:i w:val="false"/>
          <w:caps w:val="false"/>
          <w:smallCaps w:val="false"/>
          <w:color w:val="000000"/>
          <w:spacing w:val="0"/>
          <w:sz w:val="20"/>
        </w:rPr>
        <w:t xml:space="preserve">three and nine months ended </w:t>
      </w:r>
      <w:bookmarkStart w:id="344" w:name="fs_PIHQY81XK000000000000000000000FM"/>
      <w:bookmarkEnd w:id="344"/>
      <w:r>
        <w:rPr>
          <w:rFonts w:ascii="times new roman;times" w:hAnsi="times new roman;times"/>
          <w:b w:val="false"/>
          <w:i w:val="false"/>
          <w:caps w:val="false"/>
          <w:smallCaps w:val="false"/>
          <w:color w:val="000000"/>
          <w:spacing w:val="0"/>
          <w:sz w:val="20"/>
        </w:rPr>
        <w:t>September 30, 2025 (“</w:t>
      </w:r>
      <w:bookmarkStart w:id="345" w:name="fs_UHWC31YWO000000000000000000000fs"/>
      <w:bookmarkEnd w:id="345"/>
      <w:r>
        <w:rPr>
          <w:rFonts w:ascii="times new roman;times" w:hAnsi="times new roman;times"/>
          <w:b w:val="false"/>
          <w:i w:val="false"/>
          <w:caps w:val="false"/>
          <w:smallCaps w:val="false"/>
          <w:color w:val="000000"/>
          <w:spacing w:val="0"/>
          <w:sz w:val="20"/>
        </w:rPr>
        <w:t>2025</w:t>
      </w:r>
      <w:r>
        <w:rPr>
          <w:rFonts w:ascii="times new roman;times" w:hAnsi="times new roman;times"/>
          <w:b w:val="false"/>
          <w:i w:val="false"/>
          <w:caps w:val="false"/>
          <w:smallCaps w:val="false"/>
          <w:color w:val="000000"/>
          <w:spacing w:val="0"/>
          <w:sz w:val="20"/>
        </w:rPr>
        <w:t>-</w:t>
      </w:r>
      <w:bookmarkStart w:id="346" w:name="fs_FHCVA5UTU800000000000000000000FM"/>
      <w:bookmarkEnd w:id="346"/>
      <w:r>
        <w:rPr>
          <w:rFonts w:ascii="times new roman;times" w:hAnsi="times new roman;times"/>
          <w:b w:val="false"/>
          <w:i w:val="false"/>
          <w:caps w:val="false"/>
          <w:smallCaps w:val="false"/>
          <w:color w:val="000000"/>
          <w:spacing w:val="0"/>
          <w:sz w:val="20"/>
        </w:rPr>
        <w:t xml:space="preserve">Q3”) and </w:t>
      </w:r>
      <w:bookmarkStart w:id="347" w:name="fs_26TZ4IDQV400000000000000000000fs"/>
      <w:bookmarkEnd w:id="347"/>
      <w:r>
        <w:rPr>
          <w:rFonts w:ascii="times new roman;times" w:hAnsi="times new roman;times"/>
          <w:b w:val="false"/>
          <w:i w:val="false"/>
          <w:caps w:val="false"/>
          <w:smallCaps w:val="false"/>
          <w:color w:val="000000"/>
          <w:spacing w:val="0"/>
          <w:sz w:val="20"/>
        </w:rPr>
        <w:t>2024</w:t>
      </w:r>
      <w:r>
        <w:rPr>
          <w:rFonts w:ascii="times new roman;times" w:hAnsi="times new roman;times"/>
          <w:b w:val="false"/>
          <w:i w:val="false"/>
          <w:caps w:val="false"/>
          <w:smallCaps w:val="false"/>
          <w:color w:val="000000"/>
          <w:spacing w:val="0"/>
          <w:sz w:val="20"/>
        </w:rPr>
        <w:t xml:space="preserve"> ("</w:t>
      </w:r>
      <w:bookmarkStart w:id="348" w:name="fs_AWKGDIFQCG00000000000000000000fs"/>
      <w:bookmarkEnd w:id="348"/>
      <w:r>
        <w:rPr>
          <w:rFonts w:ascii="times new roman;times" w:hAnsi="times new roman;times"/>
          <w:b w:val="false"/>
          <w:i w:val="false"/>
          <w:caps w:val="false"/>
          <w:smallCaps w:val="false"/>
          <w:color w:val="000000"/>
          <w:spacing w:val="0"/>
          <w:sz w:val="20"/>
        </w:rPr>
        <w:t>2024</w:t>
      </w:r>
      <w:r>
        <w:rPr>
          <w:rFonts w:ascii="times new roman;times" w:hAnsi="times new roman;times"/>
          <w:b w:val="false"/>
          <w:i w:val="false"/>
          <w:caps w:val="false"/>
          <w:smallCaps w:val="false"/>
          <w:color w:val="000000"/>
          <w:spacing w:val="0"/>
          <w:sz w:val="20"/>
        </w:rPr>
        <w:t>-</w:t>
      </w:r>
      <w:bookmarkStart w:id="349" w:name="fs_UG0U23GDOW00000000000000000000FM"/>
      <w:bookmarkEnd w:id="349"/>
      <w:r>
        <w:rPr>
          <w:rFonts w:ascii="times new roman;times" w:hAnsi="times new roman;times"/>
          <w:b w:val="false"/>
          <w:i w:val="false"/>
          <w:caps w:val="false"/>
          <w:smallCaps w:val="false"/>
          <w:color w:val="000000"/>
          <w:spacing w:val="0"/>
          <w:sz w:val="20"/>
        </w:rPr>
        <w:t>Q3"), respectively, together with the percentage of total revenue which each such item represents:</w:t>
      </w:r>
    </w:p>
    <w:p>
      <w:pPr>
        <w:pStyle w:val="TextBody"/>
        <w:widowControl/>
        <w:bidi w:val="0"/>
        <w:spacing w:before="0" w:after="0"/>
        <w:ind w:left="0" w:right="0" w:hanging="0"/>
        <w:jc w:val="left"/>
        <w:rPr/>
      </w:pPr>
      <w:r>
        <w:rPr/>
      </w:r>
    </w:p>
    <w:p>
      <w:pPr>
        <w:pStyle w:val="TextBody"/>
        <w:widowControl/>
        <w:bidi w:val="0"/>
        <w:spacing w:before="0" w:after="0"/>
        <w:ind w:left="0" w:right="0" w:hanging="0"/>
        <w:jc w:val="both"/>
        <w:rPr>
          <w:rFonts w:ascii="times new roman;times" w:hAnsi="times new roman;times"/>
          <w:b w:val="false"/>
          <w:i/>
          <w:caps w:val="false"/>
          <w:smallCaps w:val="false"/>
          <w:color w:val="000000"/>
          <w:spacing w:val="0"/>
          <w:sz w:val="20"/>
        </w:rPr>
      </w:pPr>
      <w:r>
        <w:rPr>
          <w:rFonts w:ascii="times new roman;times" w:hAnsi="times new roman;times"/>
          <w:b w:val="false"/>
          <w:i/>
          <w:caps w:val="false"/>
          <w:smallCaps w:val="false"/>
          <w:color w:val="000000"/>
          <w:spacing w:val="0"/>
          <w:sz w:val="20"/>
        </w:rPr>
        <w:t>Continuing Operations</w:t>
      </w:r>
    </w:p>
    <w:p>
      <w:pPr>
        <w:pStyle w:val="TextBody"/>
        <w:widowControl/>
        <w:bidi w:val="0"/>
        <w:spacing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10205" w:type="dxa"/>
        <w:jc w:val="left"/>
        <w:tblInd w:w="0" w:type="dxa"/>
        <w:tblLayout w:type="fixed"/>
        <w:tblCellMar>
          <w:top w:w="0" w:type="dxa"/>
          <w:left w:w="0" w:type="dxa"/>
          <w:bottom w:w="0" w:type="dxa"/>
          <w:right w:w="0" w:type="dxa"/>
        </w:tblCellMar>
      </w:tblPr>
      <w:tblGrid>
        <w:gridCol w:w="2122"/>
        <w:gridCol w:w="60"/>
        <w:gridCol w:w="168"/>
        <w:gridCol w:w="534"/>
        <w:gridCol w:w="108"/>
        <w:gridCol w:w="80"/>
        <w:gridCol w:w="168"/>
        <w:gridCol w:w="534"/>
        <w:gridCol w:w="108"/>
        <w:gridCol w:w="80"/>
        <w:gridCol w:w="278"/>
        <w:gridCol w:w="1846"/>
        <w:gridCol w:w="80"/>
        <w:gridCol w:w="23"/>
        <w:gridCol w:w="154"/>
        <w:gridCol w:w="674"/>
        <w:gridCol w:w="98"/>
        <w:gridCol w:w="28"/>
        <w:gridCol w:w="154"/>
        <w:gridCol w:w="674"/>
        <w:gridCol w:w="98"/>
        <w:gridCol w:w="28"/>
        <w:gridCol w:w="110"/>
        <w:gridCol w:w="1907"/>
        <w:gridCol w:w="91"/>
      </w:tblGrid>
      <w:tr>
        <w:trPr/>
        <w:tc>
          <w:tcPr>
            <w:tcW w:w="21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904" w:type="dxa"/>
            <w:gridSpan w:val="10"/>
            <w:tcBorders/>
            <w:vAlign w:val="center"/>
          </w:tcPr>
          <w:p>
            <w:pPr>
              <w:pStyle w:val="TableContents"/>
              <w:bidi w:val="0"/>
              <w:spacing w:before="0" w:after="0"/>
              <w:ind w:left="0" w:right="0" w:hanging="0"/>
              <w:jc w:val="center"/>
              <w:rPr>
                <w:rFonts w:ascii="times new roman;times" w:hAnsi="times new roman;times"/>
                <w:b/>
                <w:sz w:val="20"/>
              </w:rPr>
            </w:pPr>
            <w:bookmarkStart w:id="350" w:name="fs_EBJHDF8DS000000000000000000000FM"/>
            <w:bookmarkEnd w:id="350"/>
            <w:r>
              <w:rPr>
                <w:rFonts w:ascii="times new roman;times" w:hAnsi="times new roman;times"/>
                <w:b/>
                <w:sz w:val="20"/>
              </w:rPr>
              <w:t>Three months ended September 30,</w:t>
            </w:r>
          </w:p>
        </w:tc>
        <w:tc>
          <w:tcPr>
            <w:tcW w:w="80" w:type="dxa"/>
            <w:tcBorders/>
            <w:vAlign w:val="center"/>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ind w:left="0" w:right="0" w:hanging="0"/>
              <w:jc w:val="left"/>
              <w:rPr/>
            </w:pPr>
            <w:r>
              <w:rPr/>
            </w:r>
          </w:p>
        </w:tc>
        <w:tc>
          <w:tcPr>
            <w:tcW w:w="3925" w:type="dxa"/>
            <w:gridSpan w:val="10"/>
            <w:tcBorders/>
            <w:vAlign w:val="center"/>
          </w:tcPr>
          <w:p>
            <w:pPr>
              <w:pStyle w:val="TableContents"/>
              <w:bidi w:val="0"/>
              <w:spacing w:before="0" w:after="283"/>
              <w:ind w:left="0" w:right="0" w:hanging="0"/>
              <w:jc w:val="center"/>
              <w:rPr>
                <w:rFonts w:ascii="times new roman;times" w:hAnsi="times new roman;times"/>
                <w:b/>
                <w:sz w:val="20"/>
              </w:rPr>
            </w:pPr>
            <w:bookmarkStart w:id="351" w:name="fs_WO7JX7BLTS00000000000000000000FM"/>
            <w:bookmarkEnd w:id="351"/>
            <w:r>
              <w:rPr>
                <w:rFonts w:ascii="times new roman;times" w:hAnsi="times new roman;times"/>
                <w:b/>
                <w:sz w:val="20"/>
              </w:rPr>
              <w:t>Nine months ended September 30,</w:t>
            </w:r>
          </w:p>
        </w:tc>
        <w:tc>
          <w:tcPr>
            <w:tcW w:w="91" w:type="dxa"/>
            <w:tcBorders/>
            <w:vAlign w:val="center"/>
          </w:tcPr>
          <w:p>
            <w:pPr>
              <w:pStyle w:val="TableContents"/>
              <w:bidi w:val="0"/>
              <w:spacing w:before="0" w:after="283"/>
              <w:ind w:left="0" w:right="0" w:hanging="0"/>
              <w:jc w:val="left"/>
              <w:rPr/>
            </w:pPr>
            <w:r>
              <w:rPr/>
            </w:r>
          </w:p>
        </w:tc>
      </w:tr>
      <w:tr>
        <w:trPr/>
        <w:tc>
          <w:tcPr>
            <w:tcW w:w="2122" w:type="dxa"/>
            <w:tcBorders/>
            <w:vAlign w:val="center"/>
          </w:tcPr>
          <w:p>
            <w:pPr>
              <w:pStyle w:val="TableContents"/>
              <w:widowControl/>
              <w:bidi w:val="0"/>
              <w:spacing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(dollars in thousands)</w:t>
            </w:r>
          </w:p>
        </w:tc>
        <w:tc>
          <w:tcPr>
            <w:tcW w:w="60" w:type="dxa"/>
            <w:tcBorders/>
            <w:vAlign w:val="center"/>
          </w:tcPr>
          <w:p>
            <w:pPr>
              <w:pStyle w:val="TableContents"/>
              <w:bidi w:val="0"/>
              <w:spacing w:before="0" w:after="283"/>
              <w:ind w:left="0" w:right="0" w:hanging="0"/>
              <w:jc w:val="left"/>
              <w:rPr>
                <w:sz w:val="4"/>
                <w:szCs w:val="4"/>
              </w:rPr>
            </w:pPr>
            <w:r>
              <w:rPr>
                <w:sz w:val="4"/>
                <w:szCs w:val="4"/>
              </w:rPr>
            </w:r>
          </w:p>
        </w:tc>
        <w:tc>
          <w:tcPr>
            <w:tcW w:w="702" w:type="dxa"/>
            <w:gridSpan w:val="2"/>
            <w:tcBorders/>
            <w:vAlign w:val="center"/>
          </w:tcPr>
          <w:p>
            <w:pPr>
              <w:pStyle w:val="TableContents"/>
              <w:pBdr/>
              <w:bidi w:val="0"/>
              <w:spacing w:before="0" w:after="0"/>
              <w:ind w:left="0" w:right="0" w:hanging="0"/>
              <w:jc w:val="center"/>
              <w:rPr>
                <w:rFonts w:ascii="Times New Roman;Times;serif" w:hAnsi="Times New Roman;Times;serif"/>
                <w:b/>
                <w:sz w:val="20"/>
              </w:rPr>
            </w:pPr>
            <w:bookmarkStart w:id="352" w:name="fs_FY52SH4UDC00000000000000000000fs"/>
            <w:bookmarkEnd w:id="352"/>
            <w:r>
              <w:rPr>
                <w:rFonts w:ascii="Times New Roman;Times;serif" w:hAnsi="Times New Roman;Times;serif"/>
                <w:b/>
                <w:sz w:val="20"/>
              </w:rPr>
              <w:t xml:space="preserve">2025 </w:t>
            </w:r>
          </w:p>
        </w:tc>
        <w:tc>
          <w:tcPr>
            <w:tcW w:w="108" w:type="dxa"/>
            <w:tcBorders/>
            <w:vAlign w:val="center"/>
          </w:tcPr>
          <w:p>
            <w:pPr>
              <w:pStyle w:val="TableContents"/>
              <w:bidi w:val="0"/>
              <w:spacing w:before="0" w:after="0"/>
              <w:ind w:left="0" w:right="0" w:hanging="0"/>
              <w:jc w:val="left"/>
              <w:rPr/>
            </w:pPr>
            <w:r>
              <w:rPr/>
              <w:t> </w:t>
            </w:r>
          </w:p>
        </w:tc>
        <w:tc>
          <w:tcPr>
            <w:tcW w:w="80" w:type="dxa"/>
            <w:tcBorders/>
            <w:vAlign w:val="center"/>
          </w:tcPr>
          <w:p>
            <w:pPr>
              <w:pStyle w:val="TableContents"/>
              <w:bidi w:val="0"/>
              <w:spacing w:before="0" w:after="0"/>
              <w:ind w:left="0" w:right="0" w:hanging="0"/>
              <w:jc w:val="left"/>
              <w:rPr/>
            </w:pPr>
            <w:r>
              <w:rPr/>
              <w:t> </w:t>
            </w:r>
          </w:p>
        </w:tc>
        <w:tc>
          <w:tcPr>
            <w:tcW w:w="702" w:type="dxa"/>
            <w:gridSpan w:val="2"/>
            <w:tcBorders/>
            <w:vAlign w:val="center"/>
          </w:tcPr>
          <w:p>
            <w:pPr>
              <w:pStyle w:val="TableContents"/>
              <w:pBdr/>
              <w:bidi w:val="0"/>
              <w:spacing w:before="0" w:after="0"/>
              <w:ind w:left="0" w:right="0" w:hanging="0"/>
              <w:jc w:val="center"/>
              <w:rPr>
                <w:rFonts w:ascii="Times New Roman;Times;serif" w:hAnsi="Times New Roman;Times;serif"/>
                <w:b/>
                <w:sz w:val="20"/>
              </w:rPr>
            </w:pPr>
            <w:bookmarkStart w:id="353" w:name="fs_7HVQN68G7400000000000000000000fs"/>
            <w:bookmarkEnd w:id="353"/>
            <w:r>
              <w:rPr>
                <w:rFonts w:ascii="Times New Roman;Times;serif" w:hAnsi="Times New Roman;Times;serif"/>
                <w:b/>
                <w:sz w:val="20"/>
              </w:rPr>
              <w:t xml:space="preserve">2024 </w:t>
            </w:r>
          </w:p>
        </w:tc>
        <w:tc>
          <w:tcPr>
            <w:tcW w:w="108" w:type="dxa"/>
            <w:tcBorders/>
            <w:vAlign w:val="center"/>
          </w:tcPr>
          <w:p>
            <w:pPr>
              <w:pStyle w:val="TableContents"/>
              <w:bidi w:val="0"/>
              <w:spacing w:before="0" w:after="0"/>
              <w:ind w:left="0" w:right="0" w:hanging="0"/>
              <w:jc w:val="left"/>
              <w:rPr/>
            </w:pPr>
            <w:r>
              <w:rPr/>
              <w:t> </w:t>
            </w:r>
          </w:p>
        </w:tc>
        <w:tc>
          <w:tcPr>
            <w:tcW w:w="80" w:type="dxa"/>
            <w:tcBorders/>
            <w:vAlign w:val="center"/>
          </w:tcPr>
          <w:p>
            <w:pPr>
              <w:pStyle w:val="TableContents"/>
              <w:bidi w:val="0"/>
              <w:spacing w:before="0" w:after="0"/>
              <w:ind w:left="0" w:right="0" w:hanging="0"/>
              <w:jc w:val="left"/>
              <w:rPr/>
            </w:pPr>
            <w:r>
              <w:rPr/>
              <w:t> </w:t>
            </w:r>
          </w:p>
        </w:tc>
        <w:tc>
          <w:tcPr>
            <w:tcW w:w="2124" w:type="dxa"/>
            <w:gridSpan w:val="2"/>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Change Favorable (Adverse) in %</w:t>
            </w:r>
          </w:p>
        </w:tc>
        <w:tc>
          <w:tcPr>
            <w:tcW w:w="80" w:type="dxa"/>
            <w:tcBorders/>
            <w:vAlign w:val="center"/>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ind w:left="0" w:right="0" w:hanging="0"/>
              <w:jc w:val="left"/>
              <w:rPr/>
            </w:pPr>
            <w:r>
              <w:rPr/>
            </w:r>
          </w:p>
        </w:tc>
        <w:tc>
          <w:tcPr>
            <w:tcW w:w="828"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bookmarkStart w:id="354" w:name="fs_K3RG2DFMI800000000000000000000fs"/>
            <w:bookmarkEnd w:id="354"/>
            <w:r>
              <w:rPr>
                <w:rFonts w:ascii="Times New Roman;Times;serif" w:hAnsi="Times New Roman;Times;serif"/>
                <w:b/>
                <w:sz w:val="20"/>
              </w:rPr>
              <w:t>2025</w:t>
            </w:r>
          </w:p>
        </w:tc>
        <w:tc>
          <w:tcPr>
            <w:tcW w:w="98" w:type="dxa"/>
            <w:tcBorders/>
            <w:vAlign w:val="center"/>
          </w:tcPr>
          <w:p>
            <w:pPr>
              <w:pStyle w:val="TableContents"/>
              <w:bidi w:val="0"/>
              <w:spacing w:before="0" w:after="283"/>
              <w:ind w:left="0" w:right="0" w:hanging="0"/>
              <w:jc w:val="left"/>
              <w:rPr/>
            </w:pPr>
            <w:r>
              <w:rPr/>
            </w:r>
          </w:p>
        </w:tc>
        <w:tc>
          <w:tcPr>
            <w:tcW w:w="28" w:type="dxa"/>
            <w:tcBorders/>
            <w:vAlign w:val="center"/>
          </w:tcPr>
          <w:p>
            <w:pPr>
              <w:pStyle w:val="TableContents"/>
              <w:bidi w:val="0"/>
              <w:spacing w:before="0" w:after="283"/>
              <w:ind w:left="0" w:right="0" w:hanging="0"/>
              <w:jc w:val="left"/>
              <w:rPr/>
            </w:pPr>
            <w:r>
              <w:rPr/>
            </w:r>
          </w:p>
        </w:tc>
        <w:tc>
          <w:tcPr>
            <w:tcW w:w="828"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bookmarkStart w:id="355" w:name="fs_KJLQ1NW0DC00000000000000000000fs"/>
            <w:bookmarkEnd w:id="355"/>
            <w:r>
              <w:rPr>
                <w:rFonts w:ascii="Times New Roman;Times;serif" w:hAnsi="Times New Roman;Times;serif"/>
                <w:b/>
                <w:sz w:val="20"/>
              </w:rPr>
              <w:t>2024</w:t>
            </w:r>
          </w:p>
        </w:tc>
        <w:tc>
          <w:tcPr>
            <w:tcW w:w="98" w:type="dxa"/>
            <w:tcBorders/>
            <w:vAlign w:val="center"/>
          </w:tcPr>
          <w:p>
            <w:pPr>
              <w:pStyle w:val="TableContents"/>
              <w:bidi w:val="0"/>
              <w:spacing w:before="0" w:after="283"/>
              <w:ind w:left="0" w:right="0" w:hanging="0"/>
              <w:jc w:val="left"/>
              <w:rPr/>
            </w:pPr>
            <w:r>
              <w:rPr/>
            </w:r>
          </w:p>
        </w:tc>
        <w:tc>
          <w:tcPr>
            <w:tcW w:w="28" w:type="dxa"/>
            <w:tcBorders/>
            <w:vAlign w:val="center"/>
          </w:tcPr>
          <w:p>
            <w:pPr>
              <w:pStyle w:val="TableContents"/>
              <w:bidi w:val="0"/>
              <w:spacing w:before="0" w:after="283"/>
              <w:ind w:left="0" w:right="0" w:hanging="0"/>
              <w:jc w:val="left"/>
              <w:rPr/>
            </w:pPr>
            <w:r>
              <w:rPr/>
            </w:r>
          </w:p>
        </w:tc>
        <w:tc>
          <w:tcPr>
            <w:tcW w:w="2017" w:type="dxa"/>
            <w:gridSpan w:val="2"/>
            <w:tcBorders/>
            <w:vAlign w:val="center"/>
          </w:tcPr>
          <w:p>
            <w:pPr>
              <w:pStyle w:val="TableContents"/>
              <w:widowControl/>
              <w:bidi w:val="0"/>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Change Favorable (Adverse) in %</w:t>
            </w:r>
          </w:p>
        </w:tc>
        <w:tc>
          <w:tcPr>
            <w:tcW w:w="91" w:type="dxa"/>
            <w:tcBorders/>
            <w:vAlign w:val="center"/>
          </w:tcPr>
          <w:p>
            <w:pPr>
              <w:pStyle w:val="TableContents"/>
              <w:bidi w:val="0"/>
              <w:spacing w:before="0" w:after="283"/>
              <w:ind w:left="0" w:right="0" w:hanging="0"/>
              <w:jc w:val="left"/>
              <w:rPr/>
            </w:pPr>
            <w:r>
              <w:rPr/>
            </w:r>
          </w:p>
        </w:tc>
      </w:tr>
      <w:tr>
        <w:trPr/>
        <w:tc>
          <w:tcPr>
            <w:tcW w:w="2122" w:type="dxa"/>
            <w:tcBorders/>
            <w:shd w:fill="CCEEFF" w:val="clear"/>
            <w:vAlign w:val="bottom"/>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Revenue </w:t>
            </w:r>
          </w:p>
        </w:tc>
        <w:tc>
          <w:tcPr>
            <w:tcW w:w="60" w:type="dxa"/>
            <w:tcBorders/>
            <w:shd w:fill="CCEEFF" w:val="clear"/>
            <w:vAlign w:val="bottom"/>
          </w:tcPr>
          <w:p>
            <w:pPr>
              <w:pStyle w:val="TableContents"/>
              <w:bidi w:val="0"/>
              <w:spacing w:before="0" w:after="0"/>
              <w:ind w:left="0" w:right="0" w:hanging="0"/>
              <w:jc w:val="left"/>
              <w:rPr/>
            </w:pPr>
            <w:r>
              <w:rPr/>
              <w:t> </w:t>
            </w:r>
          </w:p>
        </w:tc>
        <w:tc>
          <w:tcPr>
            <w:tcW w:w="168" w:type="dxa"/>
            <w:tcBorders/>
            <w:shd w:fill="CCEEFF" w:val="clear"/>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534" w:type="dxa"/>
            <w:tcBorders/>
            <w:shd w:fill="CCEEFF" w:val="clear"/>
            <w:vAlign w:val="bottom"/>
          </w:tcPr>
          <w:p>
            <w:pPr>
              <w:pStyle w:val="TableContents"/>
              <w:bidi w:val="0"/>
              <w:spacing w:before="0" w:after="0"/>
              <w:ind w:left="0" w:right="0" w:hanging="0"/>
              <w:jc w:val="right"/>
              <w:rPr/>
            </w:pPr>
            <w:bookmarkStart w:id="356" w:name="fs_KE908MHS6800000000000000000000fs"/>
            <w:bookmarkEnd w:id="356"/>
            <w:r>
              <w:rPr/>
              <w:t>—</w:t>
            </w:r>
          </w:p>
        </w:tc>
        <w:tc>
          <w:tcPr>
            <w:tcW w:w="108" w:type="dxa"/>
            <w:tcBorders/>
            <w:shd w:fill="CCEEFF" w:val="clear"/>
            <w:vAlign w:val="bottom"/>
          </w:tcPr>
          <w:p>
            <w:pPr>
              <w:pStyle w:val="TableContents"/>
              <w:bidi w:val="0"/>
              <w:spacing w:before="0" w:after="0"/>
              <w:ind w:left="0" w:right="0" w:hanging="0"/>
              <w:jc w:val="left"/>
              <w:rPr/>
            </w:pPr>
            <w:r>
              <w:rPr/>
              <w:t> </w:t>
            </w:r>
          </w:p>
        </w:tc>
        <w:tc>
          <w:tcPr>
            <w:tcW w:w="80" w:type="dxa"/>
            <w:tcBorders/>
            <w:shd w:fill="CCEEFF" w:val="clear"/>
            <w:vAlign w:val="bottom"/>
          </w:tcPr>
          <w:p>
            <w:pPr>
              <w:pStyle w:val="TableContents"/>
              <w:bidi w:val="0"/>
              <w:spacing w:before="0" w:after="0"/>
              <w:ind w:left="0" w:right="0" w:hanging="0"/>
              <w:jc w:val="left"/>
              <w:rPr/>
            </w:pPr>
            <w:r>
              <w:rPr/>
              <w:t> </w:t>
            </w:r>
          </w:p>
        </w:tc>
        <w:tc>
          <w:tcPr>
            <w:tcW w:w="168" w:type="dxa"/>
            <w:tcBorders/>
            <w:shd w:fill="CCEEFF" w:val="clear"/>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534" w:type="dxa"/>
            <w:tcBorders/>
            <w:shd w:fill="CCEEFF" w:val="clear"/>
            <w:vAlign w:val="bottom"/>
          </w:tcPr>
          <w:p>
            <w:pPr>
              <w:pStyle w:val="TableContents"/>
              <w:bidi w:val="0"/>
              <w:spacing w:before="0" w:after="0"/>
              <w:ind w:left="0" w:right="0" w:hanging="0"/>
              <w:jc w:val="right"/>
              <w:rPr/>
            </w:pPr>
            <w:bookmarkStart w:id="357" w:name="fs_FWNQ2B31UO00000000000000000000fs"/>
            <w:bookmarkEnd w:id="357"/>
            <w:r>
              <w:rPr/>
              <w:t>—</w:t>
            </w:r>
          </w:p>
        </w:tc>
        <w:tc>
          <w:tcPr>
            <w:tcW w:w="108" w:type="dxa"/>
            <w:tcBorders/>
            <w:shd w:fill="CCEEFF" w:val="clear"/>
            <w:vAlign w:val="bottom"/>
          </w:tcPr>
          <w:p>
            <w:pPr>
              <w:pStyle w:val="TableContents"/>
              <w:bidi w:val="0"/>
              <w:spacing w:before="0" w:after="0"/>
              <w:ind w:left="0" w:right="0" w:hanging="0"/>
              <w:jc w:val="left"/>
              <w:rPr/>
            </w:pPr>
            <w:r>
              <w:rPr/>
              <w:t> </w:t>
            </w:r>
          </w:p>
        </w:tc>
        <w:tc>
          <w:tcPr>
            <w:tcW w:w="80" w:type="dxa"/>
            <w:tcBorders/>
            <w:shd w:fill="CCEEFF" w:val="clear"/>
            <w:vAlign w:val="bottom"/>
          </w:tcPr>
          <w:p>
            <w:pPr>
              <w:pStyle w:val="TableContents"/>
              <w:bidi w:val="0"/>
              <w:spacing w:before="0" w:after="0"/>
              <w:ind w:left="0" w:right="0" w:hanging="0"/>
              <w:jc w:val="left"/>
              <w:rPr/>
            </w:pPr>
            <w:r>
              <w:rPr/>
              <w:t> </w:t>
            </w:r>
          </w:p>
        </w:tc>
        <w:tc>
          <w:tcPr>
            <w:tcW w:w="278" w:type="dxa"/>
            <w:tcBorders/>
            <w:shd w:fill="CCEEFF" w:val="clear"/>
            <w:vAlign w:val="bottom"/>
          </w:tcPr>
          <w:p>
            <w:pPr>
              <w:pStyle w:val="TableContents"/>
              <w:bidi w:val="0"/>
              <w:spacing w:before="0" w:after="0"/>
              <w:ind w:left="0" w:right="0" w:hanging="0"/>
              <w:jc w:val="left"/>
              <w:rPr/>
            </w:pPr>
            <w:r>
              <w:rPr/>
              <w:t> </w:t>
            </w:r>
          </w:p>
        </w:tc>
        <w:tc>
          <w:tcPr>
            <w:tcW w:w="1846" w:type="dxa"/>
            <w:tcBorders/>
            <w:shd w:fill="CCEEFF" w:val="clear"/>
            <w:vAlign w:val="bottom"/>
          </w:tcPr>
          <w:p>
            <w:pPr>
              <w:pStyle w:val="TableContents"/>
              <w:bidi w:val="0"/>
              <w:spacing w:before="0" w:after="0"/>
              <w:ind w:left="0" w:right="0" w:hanging="0"/>
              <w:jc w:val="right"/>
              <w:rPr>
                <w:rFonts w:ascii="Times New Roman;Times;serif" w:hAnsi="Times New Roman;Times;serif"/>
                <w:sz w:val="20"/>
              </w:rPr>
            </w:pPr>
            <w:bookmarkStart w:id="358" w:name="fs_35A5Q9KDNK00000000000000000000fs"/>
            <w:bookmarkEnd w:id="358"/>
            <w:r>
              <w:rPr>
                <w:rFonts w:ascii="Times New Roman;Times;serif" w:hAnsi="Times New Roman;Times;serif"/>
                <w:sz w:val="20"/>
              </w:rPr>
              <w:t>0</w:t>
            </w:r>
          </w:p>
        </w:tc>
        <w:tc>
          <w:tcPr>
            <w:tcW w:w="80" w:type="dxa"/>
            <w:tcBorders/>
            <w:shd w:fill="CCEEFF" w:val="clear"/>
            <w:vAlign w:val="bottom"/>
          </w:tcPr>
          <w:p>
            <w:pPr>
              <w:pStyle w:val="TableContents"/>
              <w:bidi w:val="0"/>
              <w:spacing w:before="0" w:after="283"/>
              <w:ind w:left="0" w:right="0" w:hanging="0"/>
              <w:jc w:val="left"/>
              <w:rPr>
                <w:sz w:val="4"/>
                <w:szCs w:val="4"/>
              </w:rPr>
            </w:pPr>
            <w:r>
              <w:rPr>
                <w:sz w:val="4"/>
                <w:szCs w:val="4"/>
              </w:rPr>
            </w:r>
          </w:p>
        </w:tc>
        <w:tc>
          <w:tcPr>
            <w:tcW w:w="23" w:type="dxa"/>
            <w:tcBorders/>
            <w:shd w:fill="CCEEFF" w:val="clear"/>
            <w:vAlign w:val="center"/>
          </w:tcPr>
          <w:p>
            <w:pPr>
              <w:pStyle w:val="TableContents"/>
              <w:bidi w:val="0"/>
              <w:spacing w:before="0" w:after="283"/>
              <w:ind w:left="0" w:right="0" w:hanging="0"/>
              <w:jc w:val="left"/>
              <w:rPr/>
            </w:pPr>
            <w:r>
              <w:rPr/>
            </w:r>
          </w:p>
        </w:tc>
        <w:tc>
          <w:tcPr>
            <w:tcW w:w="154" w:type="dxa"/>
            <w:tcBorders/>
            <w:shd w:fill="CCEEFF" w:val="clear"/>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674" w:type="dxa"/>
            <w:tcBorders/>
            <w:shd w:fill="CCEEFF" w:val="clear"/>
            <w:vAlign w:val="center"/>
          </w:tcPr>
          <w:p>
            <w:pPr>
              <w:pStyle w:val="TableContents"/>
              <w:bidi w:val="0"/>
              <w:spacing w:before="0" w:after="0"/>
              <w:ind w:left="0" w:right="0" w:hanging="0"/>
              <w:jc w:val="right"/>
              <w:rPr/>
            </w:pPr>
            <w:bookmarkStart w:id="359" w:name="fs_ZCWEQUJOJK00000000000000000000fs"/>
            <w:bookmarkEnd w:id="359"/>
            <w:r>
              <w:rPr/>
              <w:t>—</w:t>
            </w:r>
          </w:p>
        </w:tc>
        <w:tc>
          <w:tcPr>
            <w:tcW w:w="98" w:type="dxa"/>
            <w:tcBorders/>
            <w:shd w:fill="CCEEFF" w:val="clear"/>
            <w:vAlign w:val="center"/>
          </w:tcPr>
          <w:p>
            <w:pPr>
              <w:pStyle w:val="TableContents"/>
              <w:bidi w:val="0"/>
              <w:spacing w:before="0" w:after="283"/>
              <w:ind w:left="0" w:right="0" w:hanging="0"/>
              <w:jc w:val="left"/>
              <w:rPr/>
            </w:pPr>
            <w:r>
              <w:rPr/>
            </w:r>
          </w:p>
        </w:tc>
        <w:tc>
          <w:tcPr>
            <w:tcW w:w="28" w:type="dxa"/>
            <w:tcBorders/>
            <w:shd w:fill="CCEEFF" w:val="clear"/>
            <w:vAlign w:val="center"/>
          </w:tcPr>
          <w:p>
            <w:pPr>
              <w:pStyle w:val="TableContents"/>
              <w:bidi w:val="0"/>
              <w:spacing w:before="0" w:after="283"/>
              <w:ind w:left="0" w:right="0" w:hanging="0"/>
              <w:jc w:val="left"/>
              <w:rPr/>
            </w:pPr>
            <w:r>
              <w:rPr/>
            </w:r>
          </w:p>
        </w:tc>
        <w:tc>
          <w:tcPr>
            <w:tcW w:w="154" w:type="dxa"/>
            <w:tcBorders/>
            <w:shd w:fill="CCEEFF" w:val="clear"/>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674" w:type="dxa"/>
            <w:tcBorders/>
            <w:shd w:fill="CCEEFF" w:val="clear"/>
            <w:vAlign w:val="center"/>
          </w:tcPr>
          <w:p>
            <w:pPr>
              <w:pStyle w:val="TableContents"/>
              <w:bidi w:val="0"/>
              <w:spacing w:before="0" w:after="0"/>
              <w:ind w:left="0" w:right="0" w:hanging="0"/>
              <w:jc w:val="right"/>
              <w:rPr/>
            </w:pPr>
            <w:bookmarkStart w:id="360" w:name="fs_ROZEM7B0K000000000000000000000fs"/>
            <w:bookmarkEnd w:id="360"/>
            <w:r>
              <w:rPr/>
              <w:t>—</w:t>
            </w:r>
          </w:p>
        </w:tc>
        <w:tc>
          <w:tcPr>
            <w:tcW w:w="98" w:type="dxa"/>
            <w:tcBorders/>
            <w:shd w:fill="CCEEFF" w:val="clear"/>
            <w:vAlign w:val="center"/>
          </w:tcPr>
          <w:p>
            <w:pPr>
              <w:pStyle w:val="TableContents"/>
              <w:bidi w:val="0"/>
              <w:spacing w:before="0" w:after="283"/>
              <w:ind w:left="0" w:right="0" w:hanging="0"/>
              <w:jc w:val="left"/>
              <w:rPr/>
            </w:pPr>
            <w:r>
              <w:rPr/>
            </w:r>
          </w:p>
        </w:tc>
        <w:tc>
          <w:tcPr>
            <w:tcW w:w="28" w:type="dxa"/>
            <w:tcBorders/>
            <w:shd w:fill="CCEEFF" w:val="clear"/>
            <w:vAlign w:val="center"/>
          </w:tcPr>
          <w:p>
            <w:pPr>
              <w:pStyle w:val="TableContents"/>
              <w:bidi w:val="0"/>
              <w:spacing w:before="0" w:after="283"/>
              <w:ind w:left="0" w:right="0" w:hanging="0"/>
              <w:jc w:val="left"/>
              <w:rPr/>
            </w:pPr>
            <w:r>
              <w:rPr/>
            </w:r>
          </w:p>
        </w:tc>
        <w:tc>
          <w:tcPr>
            <w:tcW w:w="110" w:type="dxa"/>
            <w:tcBorders/>
            <w:shd w:fill="CCEEFF" w:val="clear"/>
            <w:vAlign w:val="center"/>
          </w:tcPr>
          <w:p>
            <w:pPr>
              <w:pStyle w:val="TableContents"/>
              <w:bidi w:val="0"/>
              <w:spacing w:before="0" w:after="283"/>
              <w:ind w:left="0" w:right="0" w:hanging="0"/>
              <w:jc w:val="left"/>
              <w:rPr/>
            </w:pPr>
            <w:r>
              <w:rPr/>
            </w:r>
          </w:p>
        </w:tc>
        <w:tc>
          <w:tcPr>
            <w:tcW w:w="19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bookmarkStart w:id="361" w:name="fs_XHLX22FZ9S00000000000000000000fs"/>
            <w:bookmarkEnd w:id="361"/>
            <w:r>
              <w:rPr>
                <w:rFonts w:ascii="Times New Roman;Times;serif" w:hAnsi="Times New Roman;Times;serif"/>
                <w:sz w:val="20"/>
              </w:rPr>
              <w:t>0</w:t>
            </w:r>
          </w:p>
        </w:tc>
        <w:tc>
          <w:tcPr>
            <w:tcW w:w="91" w:type="dxa"/>
            <w:tcBorders/>
            <w:shd w:fill="CCEEFF" w:val="clear"/>
            <w:vAlign w:val="center"/>
          </w:tcPr>
          <w:p>
            <w:pPr>
              <w:pStyle w:val="TableContents"/>
              <w:bidi w:val="0"/>
              <w:spacing w:before="0" w:after="283"/>
              <w:ind w:left="0" w:right="0" w:hanging="0"/>
              <w:jc w:val="left"/>
              <w:rPr>
                <w:sz w:val="4"/>
                <w:szCs w:val="4"/>
              </w:rPr>
            </w:pPr>
            <w:r>
              <w:rPr>
                <w:sz w:val="4"/>
                <w:szCs w:val="4"/>
              </w:rPr>
            </w:r>
          </w:p>
        </w:tc>
      </w:tr>
      <w:tr>
        <w:trPr/>
        <w:tc>
          <w:tcPr>
            <w:tcW w:w="2122"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Cost of goods sold </w:t>
            </w:r>
          </w:p>
        </w:tc>
        <w:tc>
          <w:tcPr>
            <w:tcW w:w="60"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534" w:type="dxa"/>
            <w:tcBorders/>
            <w:vAlign w:val="center"/>
          </w:tcPr>
          <w:p>
            <w:pPr>
              <w:pStyle w:val="TableContents"/>
              <w:bidi w:val="0"/>
              <w:spacing w:before="0" w:after="0"/>
              <w:ind w:left="0" w:right="0" w:hanging="0"/>
              <w:jc w:val="right"/>
              <w:rPr>
                <w:rFonts w:ascii="times new roman;times" w:hAnsi="times new roman;times"/>
                <w:sz w:val="20"/>
              </w:rPr>
            </w:pPr>
            <w:bookmarkStart w:id="362" w:name="fs_4KGAGNLCCG00000000000000000000fs"/>
            <w:bookmarkEnd w:id="362"/>
            <w:r>
              <w:rPr>
                <w:rFonts w:ascii="times new roman;times" w:hAnsi="times new roman;times"/>
                <w:sz w:val="20"/>
              </w:rPr>
              <w:t>27</w:t>
            </w:r>
          </w:p>
        </w:tc>
        <w:tc>
          <w:tcPr>
            <w:tcW w:w="108" w:type="dxa"/>
            <w:tcBorders/>
            <w:vAlign w:val="center"/>
          </w:tcPr>
          <w:p>
            <w:pPr>
              <w:pStyle w:val="TableContents"/>
              <w:bidi w:val="0"/>
              <w:spacing w:before="0" w:after="0"/>
              <w:ind w:left="0" w:right="0" w:hanging="0"/>
              <w:jc w:val="left"/>
              <w:rPr/>
            </w:pPr>
            <w:r>
              <w:rPr/>
              <w:t> </w:t>
            </w:r>
          </w:p>
        </w:tc>
        <w:tc>
          <w:tcPr>
            <w:tcW w:w="80"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534" w:type="dxa"/>
            <w:tcBorders/>
            <w:vAlign w:val="center"/>
          </w:tcPr>
          <w:p>
            <w:pPr>
              <w:pStyle w:val="TableContents"/>
              <w:bidi w:val="0"/>
              <w:spacing w:before="0" w:after="0"/>
              <w:ind w:left="0" w:right="0" w:hanging="0"/>
              <w:jc w:val="right"/>
              <w:rPr>
                <w:rFonts w:ascii="times new roman;times" w:hAnsi="times new roman;times"/>
                <w:sz w:val="20"/>
              </w:rPr>
            </w:pPr>
            <w:bookmarkStart w:id="363" w:name="fs_BQLK5F4TGG00000000000000000000fs"/>
            <w:bookmarkEnd w:id="363"/>
            <w:r>
              <w:rPr>
                <w:rFonts w:ascii="times new roman;times" w:hAnsi="times new roman;times"/>
                <w:sz w:val="20"/>
              </w:rPr>
              <w:t>27</w:t>
            </w:r>
          </w:p>
        </w:tc>
        <w:tc>
          <w:tcPr>
            <w:tcW w:w="108" w:type="dxa"/>
            <w:tcBorders/>
            <w:vAlign w:val="center"/>
          </w:tcPr>
          <w:p>
            <w:pPr>
              <w:pStyle w:val="TableContents"/>
              <w:bidi w:val="0"/>
              <w:spacing w:before="0" w:after="0"/>
              <w:ind w:left="0" w:right="0" w:hanging="0"/>
              <w:jc w:val="left"/>
              <w:rPr/>
            </w:pPr>
            <w:r>
              <w:rPr/>
              <w:t> </w:t>
            </w:r>
          </w:p>
        </w:tc>
        <w:tc>
          <w:tcPr>
            <w:tcW w:w="80" w:type="dxa"/>
            <w:tcBorders/>
            <w:vAlign w:val="center"/>
          </w:tcPr>
          <w:p>
            <w:pPr>
              <w:pStyle w:val="TableContents"/>
              <w:bidi w:val="0"/>
              <w:spacing w:before="0" w:after="0"/>
              <w:ind w:left="0" w:right="0" w:hanging="0"/>
              <w:jc w:val="left"/>
              <w:rPr/>
            </w:pPr>
            <w:r>
              <w:rPr/>
              <w:t> </w:t>
            </w:r>
          </w:p>
        </w:tc>
        <w:tc>
          <w:tcPr>
            <w:tcW w:w="278" w:type="dxa"/>
            <w:tcBorders/>
            <w:vAlign w:val="center"/>
          </w:tcPr>
          <w:p>
            <w:pPr>
              <w:pStyle w:val="TableContents"/>
              <w:bidi w:val="0"/>
              <w:spacing w:before="0" w:after="0"/>
              <w:ind w:left="0" w:right="0" w:hanging="0"/>
              <w:jc w:val="left"/>
              <w:rPr/>
            </w:pPr>
            <w:r>
              <w:rPr/>
              <w:t> </w:t>
            </w:r>
          </w:p>
        </w:tc>
        <w:tc>
          <w:tcPr>
            <w:tcW w:w="1846" w:type="dxa"/>
            <w:tcBorders/>
            <w:vAlign w:val="center"/>
          </w:tcPr>
          <w:p>
            <w:pPr>
              <w:pStyle w:val="TableContents"/>
              <w:bidi w:val="0"/>
              <w:spacing w:before="0" w:after="0"/>
              <w:ind w:left="0" w:right="0" w:hanging="0"/>
              <w:jc w:val="right"/>
              <w:rPr>
                <w:rFonts w:ascii="Times New Roman;Times;serif" w:hAnsi="Times New Roman;Times;serif"/>
                <w:sz w:val="20"/>
              </w:rPr>
            </w:pPr>
            <w:bookmarkStart w:id="364" w:name="fs_VYSQH0OKTS00000000000000000000FM"/>
            <w:bookmarkEnd w:id="364"/>
            <w:r>
              <w:rPr>
                <w:rFonts w:ascii="Times New Roman;Times;serif" w:hAnsi="Times New Roman;Times;serif"/>
                <w:sz w:val="20"/>
              </w:rPr>
              <w:t>0</w:t>
            </w:r>
          </w:p>
        </w:tc>
        <w:tc>
          <w:tcPr>
            <w:tcW w:w="80" w:type="dxa"/>
            <w:tcBorders/>
            <w:vAlign w:val="center"/>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ind w:left="0" w:right="0" w:hanging="0"/>
              <w:jc w:val="left"/>
              <w:rPr/>
            </w:pPr>
            <w:r>
              <w:rPr/>
            </w:r>
          </w:p>
        </w:tc>
        <w:tc>
          <w:tcPr>
            <w:tcW w:w="154" w:type="dxa"/>
            <w:tcBorders/>
            <w:vAlign w:val="center"/>
          </w:tcPr>
          <w:p>
            <w:pPr>
              <w:pStyle w:val="TableContents"/>
              <w:bidi w:val="0"/>
              <w:spacing w:before="0" w:after="283"/>
              <w:ind w:left="0" w:right="0" w:hanging="0"/>
              <w:jc w:val="left"/>
              <w:rPr/>
            </w:pPr>
            <w:r>
              <w:rPr/>
            </w:r>
          </w:p>
        </w:tc>
        <w:tc>
          <w:tcPr>
            <w:tcW w:w="674" w:type="dxa"/>
            <w:tcBorders/>
            <w:vAlign w:val="center"/>
          </w:tcPr>
          <w:p>
            <w:pPr>
              <w:pStyle w:val="TableContents"/>
              <w:bidi w:val="0"/>
              <w:spacing w:before="0" w:after="0"/>
              <w:ind w:left="0" w:right="0" w:hanging="0"/>
              <w:jc w:val="right"/>
              <w:rPr>
                <w:rFonts w:ascii="Times New Roman;Times;serif" w:hAnsi="Times New Roman;Times;serif"/>
                <w:sz w:val="20"/>
              </w:rPr>
            </w:pPr>
            <w:bookmarkStart w:id="365" w:name="fs_81EO6PL0NK00000000000000000000fs"/>
            <w:bookmarkEnd w:id="365"/>
            <w:r>
              <w:rPr>
                <w:rFonts w:ascii="Times New Roman;Times;serif" w:hAnsi="Times New Roman;Times;serif"/>
                <w:sz w:val="20"/>
              </w:rPr>
              <w:t>80</w:t>
            </w:r>
          </w:p>
        </w:tc>
        <w:tc>
          <w:tcPr>
            <w:tcW w:w="98" w:type="dxa"/>
            <w:tcBorders/>
            <w:vAlign w:val="center"/>
          </w:tcPr>
          <w:p>
            <w:pPr>
              <w:pStyle w:val="TableContents"/>
              <w:bidi w:val="0"/>
              <w:spacing w:before="0" w:after="283"/>
              <w:ind w:left="0" w:right="0" w:hanging="0"/>
              <w:jc w:val="left"/>
              <w:rPr/>
            </w:pPr>
            <w:r>
              <w:rPr/>
            </w:r>
          </w:p>
        </w:tc>
        <w:tc>
          <w:tcPr>
            <w:tcW w:w="28" w:type="dxa"/>
            <w:tcBorders/>
            <w:vAlign w:val="center"/>
          </w:tcPr>
          <w:p>
            <w:pPr>
              <w:pStyle w:val="TableContents"/>
              <w:bidi w:val="0"/>
              <w:spacing w:before="0" w:after="283"/>
              <w:ind w:left="0" w:right="0" w:hanging="0"/>
              <w:jc w:val="left"/>
              <w:rPr/>
            </w:pPr>
            <w:r>
              <w:rPr/>
            </w:r>
          </w:p>
        </w:tc>
        <w:tc>
          <w:tcPr>
            <w:tcW w:w="154" w:type="dxa"/>
            <w:tcBorders/>
            <w:vAlign w:val="center"/>
          </w:tcPr>
          <w:p>
            <w:pPr>
              <w:pStyle w:val="TableContents"/>
              <w:bidi w:val="0"/>
              <w:spacing w:before="0" w:after="283"/>
              <w:ind w:left="0" w:right="0" w:hanging="0"/>
              <w:jc w:val="left"/>
              <w:rPr/>
            </w:pPr>
            <w:r>
              <w:rPr/>
            </w:r>
          </w:p>
        </w:tc>
        <w:tc>
          <w:tcPr>
            <w:tcW w:w="674" w:type="dxa"/>
            <w:tcBorders/>
            <w:vAlign w:val="center"/>
          </w:tcPr>
          <w:p>
            <w:pPr>
              <w:pStyle w:val="TableContents"/>
              <w:bidi w:val="0"/>
              <w:spacing w:before="0" w:after="0"/>
              <w:ind w:left="0" w:right="0" w:hanging="0"/>
              <w:jc w:val="right"/>
              <w:rPr>
                <w:rFonts w:ascii="Times New Roman;Times;serif" w:hAnsi="Times New Roman;Times;serif"/>
                <w:sz w:val="20"/>
              </w:rPr>
            </w:pPr>
            <w:bookmarkStart w:id="366" w:name="fs_Y3DOFR2LW000000000000000000000fs"/>
            <w:bookmarkEnd w:id="366"/>
            <w:r>
              <w:rPr>
                <w:rFonts w:ascii="Times New Roman;Times;serif" w:hAnsi="Times New Roman;Times;serif"/>
                <w:sz w:val="20"/>
              </w:rPr>
              <w:t>80</w:t>
            </w:r>
          </w:p>
        </w:tc>
        <w:tc>
          <w:tcPr>
            <w:tcW w:w="98" w:type="dxa"/>
            <w:tcBorders/>
            <w:vAlign w:val="center"/>
          </w:tcPr>
          <w:p>
            <w:pPr>
              <w:pStyle w:val="TableContents"/>
              <w:bidi w:val="0"/>
              <w:spacing w:before="0" w:after="283"/>
              <w:ind w:left="0" w:right="0" w:hanging="0"/>
              <w:jc w:val="left"/>
              <w:rPr/>
            </w:pPr>
            <w:r>
              <w:rPr/>
            </w:r>
          </w:p>
        </w:tc>
        <w:tc>
          <w:tcPr>
            <w:tcW w:w="28" w:type="dxa"/>
            <w:tcBorders/>
            <w:vAlign w:val="center"/>
          </w:tcPr>
          <w:p>
            <w:pPr>
              <w:pStyle w:val="TableContents"/>
              <w:bidi w:val="0"/>
              <w:spacing w:before="0" w:after="283"/>
              <w:ind w:left="0" w:right="0" w:hanging="0"/>
              <w:jc w:val="left"/>
              <w:rPr/>
            </w:pPr>
            <w:r>
              <w:rPr/>
            </w:r>
          </w:p>
        </w:tc>
        <w:tc>
          <w:tcPr>
            <w:tcW w:w="110" w:type="dxa"/>
            <w:tcBorders/>
            <w:vAlign w:val="center"/>
          </w:tcPr>
          <w:p>
            <w:pPr>
              <w:pStyle w:val="TableContents"/>
              <w:bidi w:val="0"/>
              <w:spacing w:before="0" w:after="283"/>
              <w:ind w:left="0" w:right="0" w:hanging="0"/>
              <w:jc w:val="left"/>
              <w:rPr/>
            </w:pPr>
            <w:r>
              <w:rPr/>
            </w:r>
          </w:p>
        </w:tc>
        <w:tc>
          <w:tcPr>
            <w:tcW w:w="1907" w:type="dxa"/>
            <w:tcBorders/>
            <w:vAlign w:val="center"/>
          </w:tcPr>
          <w:p>
            <w:pPr>
              <w:pStyle w:val="TableContents"/>
              <w:bidi w:val="0"/>
              <w:spacing w:before="0" w:after="0"/>
              <w:ind w:left="0" w:right="0" w:hanging="0"/>
              <w:jc w:val="right"/>
              <w:rPr>
                <w:rFonts w:ascii="Times New Roman;Times;serif" w:hAnsi="Times New Roman;Times;serif"/>
                <w:sz w:val="20"/>
              </w:rPr>
            </w:pPr>
            <w:bookmarkStart w:id="367" w:name="fs_7K061VLXM800000000000000000000FM"/>
            <w:bookmarkEnd w:id="367"/>
            <w:r>
              <w:rPr>
                <w:rFonts w:ascii="Times New Roman;Times;serif" w:hAnsi="Times New Roman;Times;serif"/>
                <w:sz w:val="20"/>
              </w:rPr>
              <w:t>0</w:t>
            </w:r>
          </w:p>
        </w:tc>
        <w:tc>
          <w:tcPr>
            <w:tcW w:w="91" w:type="dxa"/>
            <w:tcBorders/>
            <w:vAlign w:val="center"/>
          </w:tcPr>
          <w:p>
            <w:pPr>
              <w:pStyle w:val="TableContents"/>
              <w:bidi w:val="0"/>
              <w:spacing w:before="0" w:after="283"/>
              <w:ind w:left="0" w:right="0" w:hanging="0"/>
              <w:jc w:val="left"/>
              <w:rPr/>
            </w:pPr>
            <w:r>
              <w:rPr/>
            </w:r>
          </w:p>
        </w:tc>
      </w:tr>
      <w:tr>
        <w:trPr/>
        <w:tc>
          <w:tcPr>
            <w:tcW w:w="2122"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Gross profit (loss) </w:t>
            </w:r>
          </w:p>
        </w:tc>
        <w:tc>
          <w:tcPr>
            <w:tcW w:w="60" w:type="dxa"/>
            <w:tcBorders/>
            <w:shd w:fill="CCEEFF" w:val="clear"/>
            <w:vAlign w:val="center"/>
          </w:tcPr>
          <w:p>
            <w:pPr>
              <w:pStyle w:val="TableContents"/>
              <w:bidi w:val="0"/>
              <w:spacing w:before="0" w:after="0"/>
              <w:ind w:left="0" w:right="0" w:hanging="0"/>
              <w:jc w:val="left"/>
              <w:rPr/>
            </w:pPr>
            <w:r>
              <w:rPr/>
              <w:t> </w:t>
            </w:r>
          </w:p>
        </w:tc>
        <w:tc>
          <w:tcPr>
            <w:tcW w:w="168" w:type="dxa"/>
            <w:tcBorders/>
            <w:shd w:fill="CCEEFF" w:val="clear"/>
            <w:vAlign w:val="center"/>
          </w:tcPr>
          <w:p>
            <w:pPr>
              <w:pStyle w:val="TableContents"/>
              <w:bidi w:val="0"/>
              <w:spacing w:before="0" w:after="0"/>
              <w:ind w:left="0" w:right="0" w:hanging="0"/>
              <w:jc w:val="left"/>
              <w:rPr/>
            </w:pPr>
            <w:r>
              <w:rPr/>
              <w:t> </w:t>
            </w:r>
          </w:p>
        </w:tc>
        <w:tc>
          <w:tcPr>
            <w:tcW w:w="534"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bookmarkStart w:id="368" w:name="fs_FBQNDNWXMO00000000000000000000fs"/>
            <w:bookmarkEnd w:id="368"/>
            <w:r>
              <w:rPr>
                <w:rFonts w:ascii="times new roman;times" w:hAnsi="times new roman;times"/>
                <w:sz w:val="20"/>
              </w:rPr>
              <w:t>27</w:t>
            </w:r>
          </w:p>
        </w:tc>
        <w:tc>
          <w:tcPr>
            <w:tcW w:w="1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0"/>
              <w:ind w:left="0" w:right="0" w:hanging="0"/>
              <w:jc w:val="left"/>
              <w:rPr/>
            </w:pPr>
            <w:r>
              <w:rPr/>
              <w:t> </w:t>
            </w:r>
          </w:p>
        </w:tc>
        <w:tc>
          <w:tcPr>
            <w:tcW w:w="168"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534"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bookmarkStart w:id="369" w:name="fs_Q2GK5506JK00000000000000000000fs"/>
            <w:bookmarkEnd w:id="369"/>
            <w:r>
              <w:rPr>
                <w:rFonts w:ascii="times new roman;times" w:hAnsi="times new roman;times"/>
                <w:sz w:val="20"/>
              </w:rPr>
              <w:t>27</w:t>
            </w:r>
          </w:p>
        </w:tc>
        <w:tc>
          <w:tcPr>
            <w:tcW w:w="1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0"/>
              <w:ind w:left="0" w:right="0" w:hanging="0"/>
              <w:jc w:val="left"/>
              <w:rPr/>
            </w:pPr>
            <w:r>
              <w:rPr/>
              <w:t> </w:t>
            </w:r>
          </w:p>
        </w:tc>
        <w:tc>
          <w:tcPr>
            <w:tcW w:w="278" w:type="dxa"/>
            <w:tcBorders/>
            <w:shd w:fill="CCEEFF" w:val="clear"/>
            <w:vAlign w:val="center"/>
          </w:tcPr>
          <w:p>
            <w:pPr>
              <w:pStyle w:val="TableContents"/>
              <w:bidi w:val="0"/>
              <w:spacing w:before="0" w:after="0"/>
              <w:ind w:left="0" w:right="0" w:hanging="0"/>
              <w:jc w:val="left"/>
              <w:rPr/>
            </w:pPr>
            <w:r>
              <w:rPr/>
              <w:t> </w:t>
            </w:r>
          </w:p>
        </w:tc>
        <w:tc>
          <w:tcPr>
            <w:tcW w:w="1846" w:type="dxa"/>
            <w:tcBorders/>
            <w:shd w:fill="CCEEFF" w:val="clear"/>
            <w:vAlign w:val="center"/>
          </w:tcPr>
          <w:p>
            <w:pPr>
              <w:pStyle w:val="TableContents"/>
              <w:bidi w:val="0"/>
              <w:spacing w:before="0" w:after="0"/>
              <w:ind w:left="0" w:right="0" w:hanging="0"/>
              <w:jc w:val="right"/>
              <w:rPr>
                <w:rFonts w:ascii="times new roman;times" w:hAnsi="times new roman;times"/>
                <w:sz w:val="20"/>
              </w:rPr>
            </w:pPr>
            <w:bookmarkStart w:id="370" w:name="fs_B0PH9UIMF400000000000000000000fs"/>
            <w:bookmarkEnd w:id="370"/>
            <w:r>
              <w:rPr>
                <w:rFonts w:ascii="times new roman;times" w:hAnsi="times new roman;times"/>
                <w:sz w:val="20"/>
              </w:rPr>
              <w:t>0</w:t>
            </w:r>
          </w:p>
        </w:tc>
        <w:tc>
          <w:tcPr>
            <w:tcW w:w="80"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23" w:type="dxa"/>
            <w:tcBorders/>
            <w:shd w:fill="CCEEFF" w:val="clear"/>
            <w:vAlign w:val="center"/>
          </w:tcPr>
          <w:p>
            <w:pPr>
              <w:pStyle w:val="TableContents"/>
              <w:bidi w:val="0"/>
              <w:spacing w:before="0" w:after="283"/>
              <w:ind w:left="0" w:right="0" w:hanging="0"/>
              <w:jc w:val="left"/>
              <w:rPr/>
            </w:pPr>
            <w:r>
              <w:rPr/>
            </w:r>
          </w:p>
        </w:tc>
        <w:tc>
          <w:tcPr>
            <w:tcW w:w="154" w:type="dxa"/>
            <w:tcBorders/>
            <w:shd w:fill="CCEEFF" w:val="clear"/>
            <w:vAlign w:val="center"/>
          </w:tcPr>
          <w:p>
            <w:pPr>
              <w:pStyle w:val="TableContents"/>
              <w:bidi w:val="0"/>
              <w:spacing w:before="0" w:after="283"/>
              <w:ind w:left="0" w:right="0" w:hanging="0"/>
              <w:jc w:val="left"/>
              <w:rPr/>
            </w:pPr>
            <w:r>
              <w:rPr/>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bookmarkStart w:id="371" w:name="fs_BUHJ5Y3RLC00000000000000000000fs"/>
            <w:bookmarkEnd w:id="371"/>
            <w:r>
              <w:rPr>
                <w:rFonts w:ascii="Times New Roman;Times;serif" w:hAnsi="Times New Roman;Times;serif"/>
                <w:sz w:val="20"/>
              </w:rPr>
              <w:t>80</w:t>
            </w:r>
          </w:p>
        </w:tc>
        <w:tc>
          <w:tcPr>
            <w:tcW w:w="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8" w:type="dxa"/>
            <w:tcBorders/>
            <w:shd w:fill="CCEEFF" w:val="clear"/>
            <w:vAlign w:val="center"/>
          </w:tcPr>
          <w:p>
            <w:pPr>
              <w:pStyle w:val="TableContents"/>
              <w:bidi w:val="0"/>
              <w:spacing w:before="0" w:after="283"/>
              <w:ind w:left="0" w:right="0" w:hanging="0"/>
              <w:jc w:val="left"/>
              <w:rPr/>
            </w:pPr>
            <w:r>
              <w:rPr/>
            </w:r>
          </w:p>
        </w:tc>
        <w:tc>
          <w:tcPr>
            <w:tcW w:w="154" w:type="dxa"/>
            <w:tcBorders/>
            <w:shd w:fill="CCEEFF" w:val="clear"/>
            <w:vAlign w:val="center"/>
          </w:tcPr>
          <w:p>
            <w:pPr>
              <w:pStyle w:val="TableContents"/>
              <w:bidi w:val="0"/>
              <w:spacing w:before="0" w:after="283"/>
              <w:ind w:left="0" w:right="0" w:hanging="0"/>
              <w:jc w:val="left"/>
              <w:rPr/>
            </w:pPr>
            <w:r>
              <w:rPr/>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bookmarkStart w:id="372" w:name="fs_84QDYHVHKW00000000000000000000fs"/>
            <w:bookmarkEnd w:id="372"/>
            <w:r>
              <w:rPr>
                <w:rFonts w:ascii="Times New Roman;Times;serif" w:hAnsi="Times New Roman;Times;serif"/>
                <w:sz w:val="20"/>
              </w:rPr>
              <w:t>80</w:t>
            </w:r>
          </w:p>
        </w:tc>
        <w:tc>
          <w:tcPr>
            <w:tcW w:w="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8" w:type="dxa"/>
            <w:tcBorders/>
            <w:shd w:fill="CCEEFF" w:val="clear"/>
            <w:vAlign w:val="center"/>
          </w:tcPr>
          <w:p>
            <w:pPr>
              <w:pStyle w:val="TableContents"/>
              <w:bidi w:val="0"/>
              <w:spacing w:before="0" w:after="283"/>
              <w:ind w:left="0" w:right="0" w:hanging="0"/>
              <w:jc w:val="left"/>
              <w:rPr/>
            </w:pPr>
            <w:r>
              <w:rPr/>
            </w:r>
          </w:p>
        </w:tc>
        <w:tc>
          <w:tcPr>
            <w:tcW w:w="110" w:type="dxa"/>
            <w:tcBorders/>
            <w:shd w:fill="CCEEFF" w:val="clear"/>
            <w:vAlign w:val="center"/>
          </w:tcPr>
          <w:p>
            <w:pPr>
              <w:pStyle w:val="TableContents"/>
              <w:bidi w:val="0"/>
              <w:spacing w:before="0" w:after="283"/>
              <w:ind w:left="0" w:right="0" w:hanging="0"/>
              <w:jc w:val="left"/>
              <w:rPr/>
            </w:pPr>
            <w:r>
              <w:rPr/>
            </w:r>
          </w:p>
        </w:tc>
        <w:tc>
          <w:tcPr>
            <w:tcW w:w="19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bookmarkStart w:id="373" w:name="fs_IDRXN2QQNK00000000000000000000fs"/>
            <w:bookmarkEnd w:id="373"/>
            <w:r>
              <w:rPr>
                <w:rFonts w:ascii="Times New Roman;Times;serif" w:hAnsi="Times New Roman;Times;serif"/>
                <w:sz w:val="20"/>
              </w:rPr>
              <w:t>0</w:t>
            </w:r>
          </w:p>
        </w:tc>
        <w:tc>
          <w:tcPr>
            <w:tcW w:w="91" w:type="dxa"/>
            <w:tcBorders/>
            <w:shd w:fill="CCEEFF" w:val="clear"/>
            <w:vAlign w:val="center"/>
          </w:tcPr>
          <w:p>
            <w:pPr>
              <w:pStyle w:val="TableContents"/>
              <w:bidi w:val="0"/>
              <w:spacing w:before="0" w:after="283"/>
              <w:ind w:left="0" w:right="0" w:hanging="0"/>
              <w:jc w:val="left"/>
              <w:rPr>
                <w:sz w:val="4"/>
                <w:szCs w:val="4"/>
              </w:rPr>
            </w:pPr>
            <w:r>
              <w:rPr>
                <w:sz w:val="4"/>
                <w:szCs w:val="4"/>
              </w:rPr>
            </w:r>
          </w:p>
        </w:tc>
      </w:tr>
      <w:tr>
        <w:trPr/>
        <w:tc>
          <w:tcPr>
            <w:tcW w:w="2122"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Sales and marketing  </w:t>
            </w:r>
          </w:p>
        </w:tc>
        <w:tc>
          <w:tcPr>
            <w:tcW w:w="60"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534" w:type="dxa"/>
            <w:tcBorders/>
            <w:vAlign w:val="center"/>
          </w:tcPr>
          <w:p>
            <w:pPr>
              <w:pStyle w:val="TableContents"/>
              <w:bidi w:val="0"/>
              <w:spacing w:before="0" w:after="0"/>
              <w:ind w:left="0" w:right="0" w:hanging="0"/>
              <w:jc w:val="right"/>
              <w:rPr/>
            </w:pPr>
            <w:bookmarkStart w:id="374" w:name="fs_IHADJZ19QO00000000000000000000FM"/>
            <w:bookmarkEnd w:id="374"/>
            <w:r>
              <w:rPr/>
              <w:t>—</w:t>
            </w:r>
          </w:p>
        </w:tc>
        <w:tc>
          <w:tcPr>
            <w:tcW w:w="108" w:type="dxa"/>
            <w:tcBorders/>
            <w:vAlign w:val="center"/>
          </w:tcPr>
          <w:p>
            <w:pPr>
              <w:pStyle w:val="TableContents"/>
              <w:bidi w:val="0"/>
              <w:spacing w:before="0" w:after="0"/>
              <w:ind w:left="0" w:right="0" w:hanging="0"/>
              <w:jc w:val="left"/>
              <w:rPr/>
            </w:pPr>
            <w:r>
              <w:rPr/>
              <w:t> </w:t>
            </w:r>
          </w:p>
        </w:tc>
        <w:tc>
          <w:tcPr>
            <w:tcW w:w="80"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534" w:type="dxa"/>
            <w:tcBorders/>
            <w:vAlign w:val="center"/>
          </w:tcPr>
          <w:p>
            <w:pPr>
              <w:pStyle w:val="TableContents"/>
              <w:bidi w:val="0"/>
              <w:spacing w:before="0" w:after="0"/>
              <w:ind w:left="0" w:right="0" w:hanging="0"/>
              <w:jc w:val="right"/>
              <w:rPr/>
            </w:pPr>
            <w:bookmarkStart w:id="375" w:name="fs_NZPZ0QOAU800000000000000000000FM"/>
            <w:bookmarkEnd w:id="375"/>
            <w:r>
              <w:rPr/>
              <w:t>—</w:t>
            </w:r>
          </w:p>
        </w:tc>
        <w:tc>
          <w:tcPr>
            <w:tcW w:w="108" w:type="dxa"/>
            <w:tcBorders/>
            <w:vAlign w:val="center"/>
          </w:tcPr>
          <w:p>
            <w:pPr>
              <w:pStyle w:val="TableContents"/>
              <w:bidi w:val="0"/>
              <w:spacing w:before="0" w:after="0"/>
              <w:ind w:left="0" w:right="0" w:hanging="0"/>
              <w:jc w:val="left"/>
              <w:rPr/>
            </w:pPr>
            <w:r>
              <w:rPr/>
              <w:t> </w:t>
            </w:r>
          </w:p>
        </w:tc>
        <w:tc>
          <w:tcPr>
            <w:tcW w:w="80" w:type="dxa"/>
            <w:tcBorders/>
            <w:vAlign w:val="center"/>
          </w:tcPr>
          <w:p>
            <w:pPr>
              <w:pStyle w:val="TableContents"/>
              <w:bidi w:val="0"/>
              <w:spacing w:before="0" w:after="0"/>
              <w:ind w:left="0" w:right="0" w:hanging="0"/>
              <w:jc w:val="left"/>
              <w:rPr/>
            </w:pPr>
            <w:r>
              <w:rPr/>
              <w:t> </w:t>
            </w:r>
          </w:p>
        </w:tc>
        <w:tc>
          <w:tcPr>
            <w:tcW w:w="278" w:type="dxa"/>
            <w:tcBorders/>
            <w:vAlign w:val="center"/>
          </w:tcPr>
          <w:p>
            <w:pPr>
              <w:pStyle w:val="TableContents"/>
              <w:bidi w:val="0"/>
              <w:spacing w:before="0" w:after="0"/>
              <w:ind w:left="0" w:right="0" w:hanging="0"/>
              <w:jc w:val="left"/>
              <w:rPr/>
            </w:pPr>
            <w:r>
              <w:rPr/>
              <w:t> </w:t>
            </w:r>
          </w:p>
        </w:tc>
        <w:tc>
          <w:tcPr>
            <w:tcW w:w="1846" w:type="dxa"/>
            <w:tcBorders/>
            <w:vAlign w:val="center"/>
          </w:tcPr>
          <w:p>
            <w:pPr>
              <w:pStyle w:val="TableContents"/>
              <w:bidi w:val="0"/>
              <w:spacing w:before="0" w:after="0"/>
              <w:ind w:left="0" w:right="0" w:hanging="0"/>
              <w:jc w:val="right"/>
              <w:rPr>
                <w:rFonts w:ascii="Times New Roman;Times;serif" w:hAnsi="Times New Roman;Times;serif"/>
                <w:sz w:val="20"/>
              </w:rPr>
            </w:pPr>
            <w:bookmarkStart w:id="376" w:name="fs_3UXQFS8F3K00000000000000000000FM"/>
            <w:bookmarkEnd w:id="376"/>
            <w:r>
              <w:rPr>
                <w:rFonts w:ascii="Times New Roman;Times;serif" w:hAnsi="Times New Roman;Times;serif"/>
                <w:sz w:val="20"/>
              </w:rPr>
              <w:t>0</w:t>
            </w:r>
          </w:p>
        </w:tc>
        <w:tc>
          <w:tcPr>
            <w:tcW w:w="80" w:type="dxa"/>
            <w:tcBorders/>
            <w:vAlign w:val="center"/>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ind w:left="0" w:right="0" w:hanging="0"/>
              <w:jc w:val="left"/>
              <w:rPr/>
            </w:pPr>
            <w:r>
              <w:rPr/>
            </w:r>
          </w:p>
        </w:tc>
        <w:tc>
          <w:tcPr>
            <w:tcW w:w="154" w:type="dxa"/>
            <w:tcBorders/>
            <w:vAlign w:val="center"/>
          </w:tcPr>
          <w:p>
            <w:pPr>
              <w:pStyle w:val="TableContents"/>
              <w:bidi w:val="0"/>
              <w:spacing w:before="0" w:after="283"/>
              <w:ind w:left="0" w:right="0" w:hanging="0"/>
              <w:jc w:val="left"/>
              <w:rPr/>
            </w:pPr>
            <w:r>
              <w:rPr/>
            </w:r>
          </w:p>
        </w:tc>
        <w:tc>
          <w:tcPr>
            <w:tcW w:w="674" w:type="dxa"/>
            <w:tcBorders/>
            <w:vAlign w:val="center"/>
          </w:tcPr>
          <w:p>
            <w:pPr>
              <w:pStyle w:val="TableContents"/>
              <w:bidi w:val="0"/>
              <w:spacing w:before="0" w:after="0"/>
              <w:ind w:left="0" w:right="0" w:hanging="0"/>
              <w:jc w:val="right"/>
              <w:rPr/>
            </w:pPr>
            <w:bookmarkStart w:id="377" w:name="fs_KLVR1DFXKW00000000000000000000fs"/>
            <w:bookmarkEnd w:id="377"/>
            <w:r>
              <w:rPr/>
              <w:t>—</w:t>
            </w:r>
          </w:p>
        </w:tc>
        <w:tc>
          <w:tcPr>
            <w:tcW w:w="98" w:type="dxa"/>
            <w:tcBorders/>
            <w:vAlign w:val="center"/>
          </w:tcPr>
          <w:p>
            <w:pPr>
              <w:pStyle w:val="TableContents"/>
              <w:bidi w:val="0"/>
              <w:spacing w:before="0" w:after="283"/>
              <w:ind w:left="0" w:right="0" w:hanging="0"/>
              <w:jc w:val="left"/>
              <w:rPr>
                <w:sz w:val="4"/>
                <w:szCs w:val="4"/>
              </w:rPr>
            </w:pPr>
            <w:r>
              <w:rPr>
                <w:sz w:val="4"/>
                <w:szCs w:val="4"/>
              </w:rPr>
            </w:r>
          </w:p>
        </w:tc>
        <w:tc>
          <w:tcPr>
            <w:tcW w:w="28"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c>
          <w:tcPr>
            <w:tcW w:w="674" w:type="dxa"/>
            <w:tcBorders/>
            <w:vAlign w:val="center"/>
          </w:tcPr>
          <w:p>
            <w:pPr>
              <w:pStyle w:val="TableContents"/>
              <w:bidi w:val="0"/>
              <w:spacing w:before="0" w:after="0"/>
              <w:ind w:left="0" w:right="0" w:hanging="0"/>
              <w:jc w:val="right"/>
              <w:rPr/>
            </w:pPr>
            <w:bookmarkStart w:id="378" w:name="fs_3BGFZSJ0ZK00000000000000000000fs"/>
            <w:bookmarkEnd w:id="378"/>
            <w:r>
              <w:rPr/>
              <w:t>—</w:t>
            </w:r>
          </w:p>
        </w:tc>
        <w:tc>
          <w:tcPr>
            <w:tcW w:w="98" w:type="dxa"/>
            <w:tcBorders/>
            <w:vAlign w:val="center"/>
          </w:tcPr>
          <w:p>
            <w:pPr>
              <w:pStyle w:val="TableContents"/>
              <w:bidi w:val="0"/>
              <w:spacing w:before="0" w:after="283"/>
              <w:ind w:left="0" w:right="0" w:hanging="0"/>
              <w:jc w:val="left"/>
              <w:rPr/>
            </w:pPr>
            <w:r>
              <w:rPr/>
            </w:r>
          </w:p>
        </w:tc>
        <w:tc>
          <w:tcPr>
            <w:tcW w:w="28" w:type="dxa"/>
            <w:tcBorders/>
            <w:vAlign w:val="center"/>
          </w:tcPr>
          <w:p>
            <w:pPr>
              <w:pStyle w:val="TableContents"/>
              <w:bidi w:val="0"/>
              <w:spacing w:before="0" w:after="283"/>
              <w:ind w:left="0" w:right="0" w:hanging="0"/>
              <w:jc w:val="left"/>
              <w:rPr/>
            </w:pPr>
            <w:r>
              <w:rPr/>
            </w:r>
          </w:p>
        </w:tc>
        <w:tc>
          <w:tcPr>
            <w:tcW w:w="110" w:type="dxa"/>
            <w:tcBorders/>
            <w:vAlign w:val="center"/>
          </w:tcPr>
          <w:p>
            <w:pPr>
              <w:pStyle w:val="TableContents"/>
              <w:bidi w:val="0"/>
              <w:spacing w:before="0" w:after="283"/>
              <w:ind w:left="0" w:right="0" w:hanging="0"/>
              <w:jc w:val="left"/>
              <w:rPr/>
            </w:pPr>
            <w:r>
              <w:rPr/>
            </w:r>
          </w:p>
        </w:tc>
        <w:tc>
          <w:tcPr>
            <w:tcW w:w="1907" w:type="dxa"/>
            <w:tcBorders/>
            <w:vAlign w:val="center"/>
          </w:tcPr>
          <w:p>
            <w:pPr>
              <w:pStyle w:val="TableContents"/>
              <w:bidi w:val="0"/>
              <w:spacing w:before="0" w:after="0"/>
              <w:ind w:left="0" w:right="0" w:hanging="0"/>
              <w:jc w:val="right"/>
              <w:rPr>
                <w:rFonts w:ascii="Times New Roman;Times;serif" w:hAnsi="Times New Roman;Times;serif"/>
                <w:sz w:val="20"/>
              </w:rPr>
            </w:pPr>
            <w:bookmarkStart w:id="379" w:name="fs_DX9PDM4KXS00000000000000000000fs"/>
            <w:bookmarkEnd w:id="379"/>
            <w:r>
              <w:rPr>
                <w:rFonts w:ascii="Times New Roman;Times;serif" w:hAnsi="Times New Roman;Times;serif"/>
                <w:sz w:val="20"/>
              </w:rPr>
              <w:t>0</w:t>
            </w:r>
          </w:p>
        </w:tc>
        <w:tc>
          <w:tcPr>
            <w:tcW w:w="91" w:type="dxa"/>
            <w:tcBorders/>
            <w:vAlign w:val="center"/>
          </w:tcPr>
          <w:p>
            <w:pPr>
              <w:pStyle w:val="TableContents"/>
              <w:bidi w:val="0"/>
              <w:spacing w:before="0" w:after="283"/>
              <w:ind w:left="0" w:right="0" w:hanging="0"/>
              <w:jc w:val="left"/>
              <w:rPr/>
            </w:pPr>
            <w:r>
              <w:rPr/>
            </w:r>
          </w:p>
        </w:tc>
      </w:tr>
      <w:tr>
        <w:trPr/>
        <w:tc>
          <w:tcPr>
            <w:tcW w:w="2122"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Research and product development </w:t>
            </w:r>
          </w:p>
        </w:tc>
        <w:tc>
          <w:tcPr>
            <w:tcW w:w="60" w:type="dxa"/>
            <w:tcBorders/>
            <w:shd w:fill="CCEEFF" w:val="clear"/>
            <w:vAlign w:val="center"/>
          </w:tcPr>
          <w:p>
            <w:pPr>
              <w:pStyle w:val="TableContents"/>
              <w:bidi w:val="0"/>
              <w:spacing w:before="0" w:after="0"/>
              <w:ind w:left="0" w:right="0" w:hanging="0"/>
              <w:jc w:val="left"/>
              <w:rPr/>
            </w:pPr>
            <w:r>
              <w:rPr/>
              <w:t> </w:t>
            </w:r>
          </w:p>
        </w:tc>
        <w:tc>
          <w:tcPr>
            <w:tcW w:w="168" w:type="dxa"/>
            <w:tcBorders/>
            <w:shd w:fill="CCEEFF" w:val="clear"/>
            <w:vAlign w:val="center"/>
          </w:tcPr>
          <w:p>
            <w:pPr>
              <w:pStyle w:val="TableContents"/>
              <w:bidi w:val="0"/>
              <w:spacing w:before="0" w:after="0"/>
              <w:ind w:left="0" w:right="0" w:hanging="0"/>
              <w:jc w:val="left"/>
              <w:rPr/>
            </w:pPr>
            <w:r>
              <w:rPr/>
              <w:t> </w:t>
            </w:r>
          </w:p>
        </w:tc>
        <w:tc>
          <w:tcPr>
            <w:tcW w:w="534" w:type="dxa"/>
            <w:tcBorders/>
            <w:shd w:fill="CCEEFF" w:val="clear"/>
            <w:vAlign w:val="center"/>
          </w:tcPr>
          <w:p>
            <w:pPr>
              <w:pStyle w:val="TableContents"/>
              <w:bidi w:val="0"/>
              <w:spacing w:before="0" w:after="0"/>
              <w:ind w:left="0" w:right="0" w:hanging="0"/>
              <w:jc w:val="right"/>
              <w:rPr/>
            </w:pPr>
            <w:bookmarkStart w:id="380" w:name="fs_FB27VKKI2800000000000000000000FM"/>
            <w:bookmarkEnd w:id="380"/>
            <w:r>
              <w:rPr/>
              <w:t>—</w:t>
            </w:r>
          </w:p>
        </w:tc>
        <w:tc>
          <w:tcPr>
            <w:tcW w:w="108"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168" w:type="dxa"/>
            <w:tcBorders/>
            <w:shd w:fill="CCEEFF" w:val="clear"/>
            <w:vAlign w:val="center"/>
          </w:tcPr>
          <w:p>
            <w:pPr>
              <w:pStyle w:val="TableContents"/>
              <w:bidi w:val="0"/>
              <w:spacing w:before="0" w:after="0"/>
              <w:ind w:left="0" w:right="0" w:hanging="0"/>
              <w:jc w:val="left"/>
              <w:rPr/>
            </w:pPr>
            <w:r>
              <w:rPr/>
              <w:t> </w:t>
            </w:r>
          </w:p>
        </w:tc>
        <w:tc>
          <w:tcPr>
            <w:tcW w:w="534" w:type="dxa"/>
            <w:tcBorders/>
            <w:shd w:fill="CCEEFF" w:val="clear"/>
            <w:vAlign w:val="center"/>
          </w:tcPr>
          <w:p>
            <w:pPr>
              <w:pStyle w:val="TableContents"/>
              <w:bidi w:val="0"/>
              <w:spacing w:before="0" w:after="0"/>
              <w:ind w:left="0" w:right="0" w:hanging="0"/>
              <w:jc w:val="right"/>
              <w:rPr/>
            </w:pPr>
            <w:bookmarkStart w:id="381" w:name="fs_FD6SK7043400000000000000000000FM"/>
            <w:bookmarkEnd w:id="381"/>
            <w:r>
              <w:rPr/>
              <w:t>—</w:t>
            </w:r>
          </w:p>
        </w:tc>
        <w:tc>
          <w:tcPr>
            <w:tcW w:w="108"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278" w:type="dxa"/>
            <w:tcBorders/>
            <w:shd w:fill="CCEEFF" w:val="clear"/>
            <w:vAlign w:val="center"/>
          </w:tcPr>
          <w:p>
            <w:pPr>
              <w:pStyle w:val="TableContents"/>
              <w:bidi w:val="0"/>
              <w:spacing w:before="0" w:after="0"/>
              <w:ind w:left="0" w:right="0" w:hanging="0"/>
              <w:jc w:val="left"/>
              <w:rPr/>
            </w:pPr>
            <w:r>
              <w:rPr/>
              <w:t> </w:t>
            </w:r>
          </w:p>
        </w:tc>
        <w:tc>
          <w:tcPr>
            <w:tcW w:w="18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bookmarkStart w:id="382" w:name="fs_IM67H85Y3K00000000000000000000FM"/>
            <w:bookmarkEnd w:id="382"/>
            <w:r>
              <w:rPr>
                <w:rFonts w:ascii="Times New Roman;Times;serif" w:hAnsi="Times New Roman;Times;serif"/>
                <w:sz w:val="20"/>
              </w:rPr>
              <w:t>0</w:t>
            </w:r>
          </w:p>
        </w:tc>
        <w:tc>
          <w:tcPr>
            <w:tcW w:w="80"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23" w:type="dxa"/>
            <w:tcBorders/>
            <w:shd w:fill="CCEEFF" w:val="clear"/>
            <w:vAlign w:val="center"/>
          </w:tcPr>
          <w:p>
            <w:pPr>
              <w:pStyle w:val="TableContents"/>
              <w:bidi w:val="0"/>
              <w:spacing w:before="0" w:after="283"/>
              <w:ind w:left="0" w:right="0" w:hanging="0"/>
              <w:jc w:val="left"/>
              <w:rPr/>
            </w:pPr>
            <w:r>
              <w:rPr/>
            </w:r>
          </w:p>
        </w:tc>
        <w:tc>
          <w:tcPr>
            <w:tcW w:w="154" w:type="dxa"/>
            <w:tcBorders/>
            <w:shd w:fill="CCEEFF" w:val="clear"/>
            <w:vAlign w:val="center"/>
          </w:tcPr>
          <w:p>
            <w:pPr>
              <w:pStyle w:val="TableContents"/>
              <w:bidi w:val="0"/>
              <w:spacing w:before="0" w:after="283"/>
              <w:ind w:left="0" w:right="0" w:hanging="0"/>
              <w:jc w:val="left"/>
              <w:rPr/>
            </w:pPr>
            <w:r>
              <w:rPr/>
            </w:r>
          </w:p>
        </w:tc>
        <w:tc>
          <w:tcPr>
            <w:tcW w:w="674" w:type="dxa"/>
            <w:tcBorders/>
            <w:shd w:fill="CCEEFF" w:val="clear"/>
            <w:vAlign w:val="center"/>
          </w:tcPr>
          <w:p>
            <w:pPr>
              <w:pStyle w:val="TableContents"/>
              <w:bidi w:val="0"/>
              <w:spacing w:before="0" w:after="0"/>
              <w:ind w:left="0" w:right="0" w:hanging="0"/>
              <w:jc w:val="right"/>
              <w:rPr/>
            </w:pPr>
            <w:bookmarkStart w:id="383" w:name="fs_ZE73NPCPSG00000000000000000000fs"/>
            <w:bookmarkEnd w:id="383"/>
            <w:r>
              <w:rPr/>
              <w:t>—</w:t>
            </w:r>
          </w:p>
        </w:tc>
        <w:tc>
          <w:tcPr>
            <w:tcW w:w="98"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28"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54"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674" w:type="dxa"/>
            <w:tcBorders/>
            <w:shd w:fill="CCEEFF" w:val="clear"/>
            <w:vAlign w:val="center"/>
          </w:tcPr>
          <w:p>
            <w:pPr>
              <w:pStyle w:val="TableContents"/>
              <w:bidi w:val="0"/>
              <w:spacing w:before="0" w:after="0"/>
              <w:ind w:left="0" w:right="0" w:hanging="0"/>
              <w:jc w:val="right"/>
              <w:rPr/>
            </w:pPr>
            <w:bookmarkStart w:id="384" w:name="fs_YNZZ6DJX8G00000000000000000000fs"/>
            <w:bookmarkEnd w:id="384"/>
            <w:r>
              <w:rPr/>
              <w:t>—</w:t>
            </w:r>
          </w:p>
        </w:tc>
        <w:tc>
          <w:tcPr>
            <w:tcW w:w="98" w:type="dxa"/>
            <w:tcBorders/>
            <w:shd w:fill="CCEEFF" w:val="clear"/>
            <w:vAlign w:val="center"/>
          </w:tcPr>
          <w:p>
            <w:pPr>
              <w:pStyle w:val="TableContents"/>
              <w:bidi w:val="0"/>
              <w:spacing w:before="0" w:after="283"/>
              <w:ind w:left="0" w:right="0" w:hanging="0"/>
              <w:jc w:val="left"/>
              <w:rPr/>
            </w:pPr>
            <w:r>
              <w:rPr/>
            </w:r>
          </w:p>
        </w:tc>
        <w:tc>
          <w:tcPr>
            <w:tcW w:w="28" w:type="dxa"/>
            <w:tcBorders/>
            <w:shd w:fill="CCEEFF" w:val="clear"/>
            <w:vAlign w:val="center"/>
          </w:tcPr>
          <w:p>
            <w:pPr>
              <w:pStyle w:val="TableContents"/>
              <w:bidi w:val="0"/>
              <w:spacing w:before="0" w:after="283"/>
              <w:ind w:left="0" w:right="0" w:hanging="0"/>
              <w:jc w:val="left"/>
              <w:rPr/>
            </w:pPr>
            <w:r>
              <w:rPr/>
            </w:r>
          </w:p>
        </w:tc>
        <w:tc>
          <w:tcPr>
            <w:tcW w:w="110" w:type="dxa"/>
            <w:tcBorders/>
            <w:shd w:fill="CCEEFF" w:val="clear"/>
            <w:vAlign w:val="center"/>
          </w:tcPr>
          <w:p>
            <w:pPr>
              <w:pStyle w:val="TableContents"/>
              <w:bidi w:val="0"/>
              <w:spacing w:before="0" w:after="283"/>
              <w:ind w:left="0" w:right="0" w:hanging="0"/>
              <w:jc w:val="left"/>
              <w:rPr/>
            </w:pPr>
            <w:r>
              <w:rPr/>
            </w:r>
          </w:p>
        </w:tc>
        <w:tc>
          <w:tcPr>
            <w:tcW w:w="19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bookmarkStart w:id="385" w:name="fs_D0D00602HC00000000000000000000fs"/>
            <w:bookmarkEnd w:id="385"/>
            <w:r>
              <w:rPr>
                <w:rFonts w:ascii="Times New Roman;Times;serif" w:hAnsi="Times New Roman;Times;serif"/>
                <w:sz w:val="20"/>
              </w:rPr>
              <w:t>0</w:t>
            </w:r>
          </w:p>
        </w:tc>
        <w:tc>
          <w:tcPr>
            <w:tcW w:w="91" w:type="dxa"/>
            <w:tcBorders/>
            <w:shd w:fill="CCEEFF" w:val="clear"/>
            <w:vAlign w:val="center"/>
          </w:tcPr>
          <w:p>
            <w:pPr>
              <w:pStyle w:val="TableContents"/>
              <w:bidi w:val="0"/>
              <w:spacing w:before="0" w:after="283"/>
              <w:ind w:left="0" w:right="0" w:hanging="0"/>
              <w:jc w:val="left"/>
              <w:rPr>
                <w:sz w:val="4"/>
                <w:szCs w:val="4"/>
              </w:rPr>
            </w:pPr>
            <w:r>
              <w:rPr>
                <w:sz w:val="4"/>
                <w:szCs w:val="4"/>
              </w:rPr>
            </w:r>
          </w:p>
        </w:tc>
      </w:tr>
      <w:tr>
        <w:trPr/>
        <w:tc>
          <w:tcPr>
            <w:tcW w:w="2122"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General and administrative </w:t>
            </w:r>
          </w:p>
        </w:tc>
        <w:tc>
          <w:tcPr>
            <w:tcW w:w="60"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534" w:type="dxa"/>
            <w:tcBorders/>
            <w:vAlign w:val="center"/>
          </w:tcPr>
          <w:p>
            <w:pPr>
              <w:pStyle w:val="TableContents"/>
              <w:bidi w:val="0"/>
              <w:spacing w:before="0" w:after="0"/>
              <w:ind w:left="0" w:right="0" w:hanging="0"/>
              <w:jc w:val="right"/>
              <w:rPr>
                <w:rFonts w:ascii="times new roman;times" w:hAnsi="times new roman;times"/>
                <w:sz w:val="20"/>
              </w:rPr>
            </w:pPr>
            <w:bookmarkStart w:id="386" w:name="fs_MMXP11QSDC00000000000000000000fs"/>
            <w:bookmarkEnd w:id="386"/>
            <w:r>
              <w:rPr>
                <w:rFonts w:ascii="times new roman;times" w:hAnsi="times new roman;times"/>
                <w:sz w:val="20"/>
              </w:rPr>
              <w:t>827</w:t>
            </w:r>
          </w:p>
        </w:tc>
        <w:tc>
          <w:tcPr>
            <w:tcW w:w="108" w:type="dxa"/>
            <w:tcBorders/>
            <w:vAlign w:val="center"/>
          </w:tcPr>
          <w:p>
            <w:pPr>
              <w:pStyle w:val="TableContents"/>
              <w:bidi w:val="0"/>
              <w:spacing w:before="0" w:after="0"/>
              <w:ind w:left="0" w:right="0" w:hanging="0"/>
              <w:jc w:val="left"/>
              <w:rPr/>
            </w:pPr>
            <w:r>
              <w:rPr/>
              <w:t> </w:t>
            </w:r>
          </w:p>
        </w:tc>
        <w:tc>
          <w:tcPr>
            <w:tcW w:w="80"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534" w:type="dxa"/>
            <w:tcBorders/>
            <w:vAlign w:val="center"/>
          </w:tcPr>
          <w:p>
            <w:pPr>
              <w:pStyle w:val="TableContents"/>
              <w:bidi w:val="0"/>
              <w:spacing w:before="0" w:after="0"/>
              <w:ind w:left="0" w:right="0" w:hanging="0"/>
              <w:jc w:val="right"/>
              <w:rPr>
                <w:rFonts w:ascii="times new roman;times" w:hAnsi="times new roman;times"/>
                <w:sz w:val="20"/>
              </w:rPr>
            </w:pPr>
            <w:bookmarkStart w:id="387" w:name="fs_642DUJQBEO00000000000000000000fs"/>
            <w:bookmarkEnd w:id="387"/>
            <w:r>
              <w:rPr>
                <w:rFonts w:ascii="times new roman;times" w:hAnsi="times new roman;times"/>
                <w:sz w:val="20"/>
              </w:rPr>
              <w:t>815</w:t>
            </w:r>
          </w:p>
        </w:tc>
        <w:tc>
          <w:tcPr>
            <w:tcW w:w="108" w:type="dxa"/>
            <w:tcBorders/>
            <w:vAlign w:val="center"/>
          </w:tcPr>
          <w:p>
            <w:pPr>
              <w:pStyle w:val="TableContents"/>
              <w:bidi w:val="0"/>
              <w:spacing w:before="0" w:after="0"/>
              <w:ind w:left="0" w:right="0" w:hanging="0"/>
              <w:jc w:val="left"/>
              <w:rPr/>
            </w:pPr>
            <w:r>
              <w:rPr/>
              <w:t> </w:t>
            </w:r>
          </w:p>
        </w:tc>
        <w:tc>
          <w:tcPr>
            <w:tcW w:w="80" w:type="dxa"/>
            <w:tcBorders/>
            <w:vAlign w:val="center"/>
          </w:tcPr>
          <w:p>
            <w:pPr>
              <w:pStyle w:val="TableContents"/>
              <w:bidi w:val="0"/>
              <w:spacing w:before="0" w:after="0"/>
              <w:ind w:left="0" w:right="0" w:hanging="0"/>
              <w:jc w:val="left"/>
              <w:rPr/>
            </w:pPr>
            <w:r>
              <w:rPr/>
              <w:t> </w:t>
            </w:r>
          </w:p>
        </w:tc>
        <w:tc>
          <w:tcPr>
            <w:tcW w:w="278" w:type="dxa"/>
            <w:tcBorders/>
            <w:vAlign w:val="center"/>
          </w:tcPr>
          <w:p>
            <w:pPr>
              <w:pStyle w:val="TableContents"/>
              <w:bidi w:val="0"/>
              <w:spacing w:before="0" w:after="0"/>
              <w:ind w:left="0" w:right="0" w:hanging="0"/>
              <w:jc w:val="left"/>
              <w:rPr/>
            </w:pPr>
            <w:r>
              <w:rPr/>
              <w:t> </w:t>
            </w:r>
          </w:p>
        </w:tc>
        <w:tc>
          <w:tcPr>
            <w:tcW w:w="1846"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bookmarkStart w:id="388" w:name="fs_0W65L77Z4W00000000000000000000fs"/>
            <w:bookmarkEnd w:id="388"/>
            <w:r>
              <w:rPr>
                <w:rFonts w:ascii="times new roman;times" w:hAnsi="times new roman;times"/>
                <w:sz w:val="20"/>
              </w:rPr>
              <w:t>1</w:t>
            </w:r>
          </w:p>
        </w:tc>
        <w:tc>
          <w:tcPr>
            <w:tcW w:w="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 w:type="dxa"/>
            <w:tcBorders/>
            <w:vAlign w:val="center"/>
          </w:tcPr>
          <w:p>
            <w:pPr>
              <w:pStyle w:val="TableContents"/>
              <w:bidi w:val="0"/>
              <w:spacing w:before="0" w:after="283"/>
              <w:ind w:left="0" w:right="0" w:hanging="0"/>
              <w:jc w:val="left"/>
              <w:rPr/>
            </w:pPr>
            <w:r>
              <w:rPr/>
            </w:r>
          </w:p>
        </w:tc>
        <w:tc>
          <w:tcPr>
            <w:tcW w:w="154" w:type="dxa"/>
            <w:tcBorders/>
            <w:vAlign w:val="center"/>
          </w:tcPr>
          <w:p>
            <w:pPr>
              <w:pStyle w:val="TableContents"/>
              <w:bidi w:val="0"/>
              <w:spacing w:before="0" w:after="283"/>
              <w:ind w:left="0" w:right="0" w:hanging="0"/>
              <w:jc w:val="left"/>
              <w:rPr/>
            </w:pPr>
            <w:r>
              <w:rPr/>
            </w:r>
          </w:p>
        </w:tc>
        <w:tc>
          <w:tcPr>
            <w:tcW w:w="674" w:type="dxa"/>
            <w:tcBorders/>
            <w:vAlign w:val="center"/>
          </w:tcPr>
          <w:p>
            <w:pPr>
              <w:pStyle w:val="TableContents"/>
              <w:bidi w:val="0"/>
              <w:spacing w:before="0" w:after="0"/>
              <w:ind w:left="0" w:right="0" w:hanging="0"/>
              <w:jc w:val="right"/>
              <w:rPr>
                <w:rFonts w:ascii="Times New Roman;Times;serif" w:hAnsi="Times New Roman;Times;serif"/>
                <w:sz w:val="20"/>
              </w:rPr>
            </w:pPr>
            <w:bookmarkStart w:id="389" w:name="fs_UC7P7KJSOW00000000000000000000fs"/>
            <w:bookmarkEnd w:id="389"/>
            <w:r>
              <w:rPr>
                <w:rFonts w:ascii="Times New Roman;Times;serif" w:hAnsi="Times New Roman;Times;serif"/>
                <w:sz w:val="20"/>
              </w:rPr>
              <w:t>3,180</w:t>
            </w:r>
          </w:p>
        </w:tc>
        <w:tc>
          <w:tcPr>
            <w:tcW w:w="98" w:type="dxa"/>
            <w:tcBorders/>
            <w:vAlign w:val="center"/>
          </w:tcPr>
          <w:p>
            <w:pPr>
              <w:pStyle w:val="TableContents"/>
              <w:bidi w:val="0"/>
              <w:spacing w:before="0" w:after="283"/>
              <w:ind w:left="0" w:right="0" w:hanging="0"/>
              <w:jc w:val="left"/>
              <w:rPr/>
            </w:pPr>
            <w:r>
              <w:rPr/>
            </w:r>
          </w:p>
        </w:tc>
        <w:tc>
          <w:tcPr>
            <w:tcW w:w="28" w:type="dxa"/>
            <w:tcBorders/>
            <w:vAlign w:val="center"/>
          </w:tcPr>
          <w:p>
            <w:pPr>
              <w:pStyle w:val="TableContents"/>
              <w:bidi w:val="0"/>
              <w:spacing w:before="0" w:after="283"/>
              <w:ind w:left="0" w:right="0" w:hanging="0"/>
              <w:jc w:val="left"/>
              <w:rPr/>
            </w:pPr>
            <w:r>
              <w:rPr/>
            </w:r>
          </w:p>
        </w:tc>
        <w:tc>
          <w:tcPr>
            <w:tcW w:w="154" w:type="dxa"/>
            <w:tcBorders/>
            <w:vAlign w:val="center"/>
          </w:tcPr>
          <w:p>
            <w:pPr>
              <w:pStyle w:val="TableContents"/>
              <w:bidi w:val="0"/>
              <w:spacing w:before="0" w:after="283"/>
              <w:ind w:left="0" w:right="0" w:hanging="0"/>
              <w:jc w:val="left"/>
              <w:rPr/>
            </w:pPr>
            <w:r>
              <w:rPr/>
            </w:r>
          </w:p>
        </w:tc>
        <w:tc>
          <w:tcPr>
            <w:tcW w:w="674" w:type="dxa"/>
            <w:tcBorders/>
            <w:vAlign w:val="center"/>
          </w:tcPr>
          <w:p>
            <w:pPr>
              <w:pStyle w:val="TableContents"/>
              <w:bidi w:val="0"/>
              <w:spacing w:before="0" w:after="0"/>
              <w:ind w:left="0" w:right="0" w:hanging="0"/>
              <w:jc w:val="right"/>
              <w:rPr>
                <w:rFonts w:ascii="Times New Roman;Times;serif" w:hAnsi="Times New Roman;Times;serif"/>
                <w:sz w:val="20"/>
              </w:rPr>
            </w:pPr>
            <w:bookmarkStart w:id="390" w:name="fs_I8ZKNUKGCG00000000000000000000fs"/>
            <w:bookmarkEnd w:id="390"/>
            <w:r>
              <w:rPr>
                <w:rFonts w:ascii="Times New Roman;Times;serif" w:hAnsi="Times New Roman;Times;serif"/>
                <w:sz w:val="20"/>
              </w:rPr>
              <w:t>2,416</w:t>
            </w:r>
          </w:p>
        </w:tc>
        <w:tc>
          <w:tcPr>
            <w:tcW w:w="98" w:type="dxa"/>
            <w:tcBorders/>
            <w:vAlign w:val="center"/>
          </w:tcPr>
          <w:p>
            <w:pPr>
              <w:pStyle w:val="TableContents"/>
              <w:bidi w:val="0"/>
              <w:spacing w:before="0" w:after="283"/>
              <w:ind w:left="0" w:right="0" w:hanging="0"/>
              <w:jc w:val="left"/>
              <w:rPr/>
            </w:pPr>
            <w:r>
              <w:rPr/>
            </w:r>
          </w:p>
        </w:tc>
        <w:tc>
          <w:tcPr>
            <w:tcW w:w="28" w:type="dxa"/>
            <w:tcBorders/>
            <w:vAlign w:val="center"/>
          </w:tcPr>
          <w:p>
            <w:pPr>
              <w:pStyle w:val="TableContents"/>
              <w:bidi w:val="0"/>
              <w:spacing w:before="0" w:after="283"/>
              <w:ind w:left="0" w:right="0" w:hanging="0"/>
              <w:jc w:val="left"/>
              <w:rPr/>
            </w:pPr>
            <w:r>
              <w:rPr/>
            </w:r>
          </w:p>
        </w:tc>
        <w:tc>
          <w:tcPr>
            <w:tcW w:w="110" w:type="dxa"/>
            <w:tcBorders/>
            <w:vAlign w:val="center"/>
          </w:tcPr>
          <w:p>
            <w:pPr>
              <w:pStyle w:val="TableContents"/>
              <w:bidi w:val="0"/>
              <w:spacing w:before="0" w:after="283"/>
              <w:ind w:left="0" w:right="0" w:hanging="0"/>
              <w:jc w:val="left"/>
              <w:rPr/>
            </w:pPr>
            <w:r>
              <w:rPr/>
            </w:r>
          </w:p>
        </w:tc>
        <w:tc>
          <w:tcPr>
            <w:tcW w:w="19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bookmarkStart w:id="391" w:name="fs_QIYOWC5UPC00000000000000000000fs"/>
            <w:bookmarkEnd w:id="391"/>
            <w:r>
              <w:rPr>
                <w:rFonts w:ascii="Times New Roman;Times;serif" w:hAnsi="Times New Roman;Times;serif"/>
                <w:sz w:val="20"/>
              </w:rPr>
              <w:t>32</w:t>
            </w:r>
          </w:p>
        </w:tc>
        <w:tc>
          <w:tcPr>
            <w:tcW w:w="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22"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Total operating expenses  </w:t>
            </w:r>
          </w:p>
        </w:tc>
        <w:tc>
          <w:tcPr>
            <w:tcW w:w="60" w:type="dxa"/>
            <w:tcBorders/>
            <w:shd w:fill="CCEEFF" w:val="clear"/>
            <w:vAlign w:val="center"/>
          </w:tcPr>
          <w:p>
            <w:pPr>
              <w:pStyle w:val="TableContents"/>
              <w:bidi w:val="0"/>
              <w:spacing w:before="0" w:after="0"/>
              <w:ind w:left="0" w:right="0" w:hanging="0"/>
              <w:jc w:val="left"/>
              <w:rPr/>
            </w:pPr>
            <w:r>
              <w:rPr/>
              <w:t> </w:t>
            </w:r>
          </w:p>
        </w:tc>
        <w:tc>
          <w:tcPr>
            <w:tcW w:w="168" w:type="dxa"/>
            <w:tcBorders/>
            <w:shd w:fill="CCEEFF" w:val="clear"/>
            <w:vAlign w:val="center"/>
          </w:tcPr>
          <w:p>
            <w:pPr>
              <w:pStyle w:val="TableContents"/>
              <w:bidi w:val="0"/>
              <w:spacing w:before="0" w:after="0"/>
              <w:ind w:left="0" w:right="0" w:hanging="0"/>
              <w:jc w:val="left"/>
              <w:rPr/>
            </w:pPr>
            <w:r>
              <w:rPr/>
              <w:t> </w:t>
            </w:r>
          </w:p>
        </w:tc>
        <w:tc>
          <w:tcPr>
            <w:tcW w:w="534" w:type="dxa"/>
            <w:tcBorders/>
            <w:shd w:fill="CCEEFF" w:val="clear"/>
            <w:vAlign w:val="center"/>
          </w:tcPr>
          <w:p>
            <w:pPr>
              <w:pStyle w:val="TableContents"/>
              <w:bidi w:val="0"/>
              <w:spacing w:before="0" w:after="0"/>
              <w:ind w:left="0" w:right="0" w:hanging="0"/>
              <w:jc w:val="right"/>
              <w:rPr>
                <w:rFonts w:ascii="times new roman;times" w:hAnsi="times new roman;times"/>
                <w:sz w:val="20"/>
              </w:rPr>
            </w:pPr>
            <w:bookmarkStart w:id="392" w:name="fs_ZR6EO75T4G00000000000000000000fs"/>
            <w:bookmarkEnd w:id="392"/>
            <w:r>
              <w:rPr>
                <w:rFonts w:ascii="times new roman;times" w:hAnsi="times new roman;times"/>
                <w:sz w:val="20"/>
              </w:rPr>
              <w:t>827</w:t>
            </w:r>
          </w:p>
        </w:tc>
        <w:tc>
          <w:tcPr>
            <w:tcW w:w="108"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168" w:type="dxa"/>
            <w:tcBorders/>
            <w:shd w:fill="CCEEFF" w:val="clear"/>
            <w:vAlign w:val="center"/>
          </w:tcPr>
          <w:p>
            <w:pPr>
              <w:pStyle w:val="TableContents"/>
              <w:bidi w:val="0"/>
              <w:spacing w:before="0" w:after="0"/>
              <w:ind w:left="0" w:right="0" w:hanging="0"/>
              <w:jc w:val="left"/>
              <w:rPr/>
            </w:pPr>
            <w:r>
              <w:rPr/>
              <w:t> </w:t>
            </w:r>
          </w:p>
        </w:tc>
        <w:tc>
          <w:tcPr>
            <w:tcW w:w="534" w:type="dxa"/>
            <w:tcBorders/>
            <w:shd w:fill="CCEEFF" w:val="clear"/>
            <w:vAlign w:val="center"/>
          </w:tcPr>
          <w:p>
            <w:pPr>
              <w:pStyle w:val="TableContents"/>
              <w:bidi w:val="0"/>
              <w:spacing w:before="0" w:after="0"/>
              <w:ind w:left="0" w:right="0" w:hanging="0"/>
              <w:jc w:val="right"/>
              <w:rPr>
                <w:rFonts w:ascii="times new roman;times" w:hAnsi="times new roman;times"/>
                <w:sz w:val="20"/>
              </w:rPr>
            </w:pPr>
            <w:bookmarkStart w:id="393" w:name="fs_VLV9DOT9CG00000000000000000000fs"/>
            <w:bookmarkEnd w:id="393"/>
            <w:r>
              <w:rPr>
                <w:rFonts w:ascii="times new roman;times" w:hAnsi="times new roman;times"/>
                <w:sz w:val="20"/>
              </w:rPr>
              <w:t>815</w:t>
            </w:r>
          </w:p>
        </w:tc>
        <w:tc>
          <w:tcPr>
            <w:tcW w:w="108"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278"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846"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bookmarkStart w:id="394" w:name="fs_G4UNQEU8RK00000000000000000000fs"/>
            <w:bookmarkEnd w:id="394"/>
            <w:r>
              <w:rPr>
                <w:rFonts w:ascii="times new roman;times" w:hAnsi="times new roman;times"/>
                <w:sz w:val="20"/>
              </w:rPr>
              <w:t>1</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 w:type="dxa"/>
            <w:tcBorders/>
            <w:shd w:fill="CCEEFF" w:val="clear"/>
            <w:vAlign w:val="center"/>
          </w:tcPr>
          <w:p>
            <w:pPr>
              <w:pStyle w:val="TableContents"/>
              <w:bidi w:val="0"/>
              <w:spacing w:before="0" w:after="283"/>
              <w:ind w:left="0" w:right="0" w:hanging="0"/>
              <w:jc w:val="left"/>
              <w:rPr/>
            </w:pPr>
            <w:r>
              <w:rPr/>
            </w:r>
          </w:p>
        </w:tc>
        <w:tc>
          <w:tcPr>
            <w:tcW w:w="154" w:type="dxa"/>
            <w:tcBorders/>
            <w:shd w:fill="CCEEFF" w:val="clear"/>
            <w:vAlign w:val="center"/>
          </w:tcPr>
          <w:p>
            <w:pPr>
              <w:pStyle w:val="TableContents"/>
              <w:bidi w:val="0"/>
              <w:spacing w:before="0" w:after="283"/>
              <w:ind w:left="0" w:right="0" w:hanging="0"/>
              <w:jc w:val="left"/>
              <w:rPr/>
            </w:pPr>
            <w:r>
              <w:rPr/>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bookmarkStart w:id="395" w:name="fs_9RDPKAEDY800000000000000000000fs"/>
            <w:bookmarkEnd w:id="395"/>
            <w:r>
              <w:rPr>
                <w:rFonts w:ascii="Times New Roman;Times;serif" w:hAnsi="Times New Roman;Times;serif"/>
                <w:sz w:val="20"/>
              </w:rPr>
              <w:t>3,180</w:t>
            </w:r>
          </w:p>
        </w:tc>
        <w:tc>
          <w:tcPr>
            <w:tcW w:w="98" w:type="dxa"/>
            <w:tcBorders/>
            <w:shd w:fill="CCEEFF" w:val="clear"/>
            <w:vAlign w:val="center"/>
          </w:tcPr>
          <w:p>
            <w:pPr>
              <w:pStyle w:val="TableContents"/>
              <w:bidi w:val="0"/>
              <w:spacing w:before="0" w:after="283"/>
              <w:ind w:left="0" w:right="0" w:hanging="0"/>
              <w:jc w:val="left"/>
              <w:rPr/>
            </w:pPr>
            <w:r>
              <w:rPr/>
            </w:r>
          </w:p>
        </w:tc>
        <w:tc>
          <w:tcPr>
            <w:tcW w:w="28" w:type="dxa"/>
            <w:tcBorders/>
            <w:shd w:fill="CCEEFF" w:val="clear"/>
            <w:vAlign w:val="center"/>
          </w:tcPr>
          <w:p>
            <w:pPr>
              <w:pStyle w:val="TableContents"/>
              <w:bidi w:val="0"/>
              <w:spacing w:before="0" w:after="283"/>
              <w:ind w:left="0" w:right="0" w:hanging="0"/>
              <w:jc w:val="left"/>
              <w:rPr/>
            </w:pPr>
            <w:r>
              <w:rPr/>
            </w:r>
          </w:p>
        </w:tc>
        <w:tc>
          <w:tcPr>
            <w:tcW w:w="154" w:type="dxa"/>
            <w:tcBorders/>
            <w:shd w:fill="CCEEFF" w:val="clear"/>
            <w:vAlign w:val="center"/>
          </w:tcPr>
          <w:p>
            <w:pPr>
              <w:pStyle w:val="TableContents"/>
              <w:bidi w:val="0"/>
              <w:spacing w:before="0" w:after="283"/>
              <w:ind w:left="0" w:right="0" w:hanging="0"/>
              <w:jc w:val="left"/>
              <w:rPr/>
            </w:pPr>
            <w:r>
              <w:rPr/>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bookmarkStart w:id="396" w:name="fs_EBF7PLGDBK00000000000000000000fs"/>
            <w:bookmarkEnd w:id="396"/>
            <w:r>
              <w:rPr>
                <w:rFonts w:ascii="Times New Roman;Times;serif" w:hAnsi="Times New Roman;Times;serif"/>
                <w:sz w:val="20"/>
              </w:rPr>
              <w:t>2,416</w:t>
            </w:r>
          </w:p>
        </w:tc>
        <w:tc>
          <w:tcPr>
            <w:tcW w:w="98" w:type="dxa"/>
            <w:tcBorders/>
            <w:shd w:fill="CCEEFF" w:val="clear"/>
            <w:vAlign w:val="center"/>
          </w:tcPr>
          <w:p>
            <w:pPr>
              <w:pStyle w:val="TableContents"/>
              <w:bidi w:val="0"/>
              <w:spacing w:before="0" w:after="283"/>
              <w:ind w:left="0" w:right="0" w:hanging="0"/>
              <w:jc w:val="left"/>
              <w:rPr/>
            </w:pPr>
            <w:r>
              <w:rPr/>
            </w:r>
          </w:p>
        </w:tc>
        <w:tc>
          <w:tcPr>
            <w:tcW w:w="28" w:type="dxa"/>
            <w:tcBorders/>
            <w:shd w:fill="CCEEFF" w:val="clear"/>
            <w:vAlign w:val="center"/>
          </w:tcPr>
          <w:p>
            <w:pPr>
              <w:pStyle w:val="TableContents"/>
              <w:bidi w:val="0"/>
              <w:spacing w:before="0" w:after="283"/>
              <w:ind w:left="0" w:right="0" w:hanging="0"/>
              <w:jc w:val="left"/>
              <w:rPr/>
            </w:pPr>
            <w:r>
              <w:rPr/>
            </w:r>
          </w:p>
        </w:tc>
        <w:tc>
          <w:tcPr>
            <w:tcW w:w="110" w:type="dxa"/>
            <w:tcBorders/>
            <w:shd w:fill="CCEEFF" w:val="clear"/>
            <w:vAlign w:val="center"/>
          </w:tcPr>
          <w:p>
            <w:pPr>
              <w:pStyle w:val="TableContents"/>
              <w:bidi w:val="0"/>
              <w:spacing w:before="0" w:after="283"/>
              <w:ind w:left="0" w:right="0" w:hanging="0"/>
              <w:jc w:val="left"/>
              <w:rPr/>
            </w:pPr>
            <w:r>
              <w:rPr/>
            </w:r>
          </w:p>
        </w:tc>
        <w:tc>
          <w:tcPr>
            <w:tcW w:w="19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bookmarkStart w:id="397" w:name="fs_2L4VPZDRO000000000000000000000fs"/>
            <w:bookmarkEnd w:id="397"/>
            <w:r>
              <w:rPr>
                <w:rFonts w:ascii="Times New Roman;Times;serif" w:hAnsi="Times New Roman;Times;serif"/>
                <w:sz w:val="20"/>
              </w:rPr>
              <w:t>32</w:t>
            </w:r>
          </w:p>
        </w:tc>
        <w:tc>
          <w:tcPr>
            <w:tcW w:w="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22"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Operating loss </w:t>
            </w:r>
          </w:p>
        </w:tc>
        <w:tc>
          <w:tcPr>
            <w:tcW w:w="60"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534"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bookmarkStart w:id="398" w:name="fs_WLUJBQ9SJ400000000000000000000fs"/>
            <w:bookmarkEnd w:id="398"/>
            <w:r>
              <w:rPr>
                <w:rFonts w:ascii="times new roman;times" w:hAnsi="times new roman;times"/>
                <w:sz w:val="20"/>
              </w:rPr>
              <w:t>854</w:t>
            </w:r>
          </w:p>
        </w:tc>
        <w:tc>
          <w:tcPr>
            <w:tcW w:w="1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534"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bookmarkStart w:id="399" w:name="fs_TUAD0NKIRK00000000000000000000fs"/>
            <w:bookmarkEnd w:id="399"/>
            <w:r>
              <w:rPr>
                <w:rFonts w:ascii="times new roman;times" w:hAnsi="times new roman;times"/>
                <w:sz w:val="20"/>
              </w:rPr>
              <w:t>842</w:t>
            </w:r>
          </w:p>
        </w:tc>
        <w:tc>
          <w:tcPr>
            <w:tcW w:w="1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 w:type="dxa"/>
            <w:tcBorders/>
            <w:vAlign w:val="center"/>
          </w:tcPr>
          <w:p>
            <w:pPr>
              <w:pStyle w:val="TableContents"/>
              <w:bidi w:val="0"/>
              <w:spacing w:before="0" w:after="0"/>
              <w:ind w:left="0" w:right="0" w:hanging="0"/>
              <w:jc w:val="left"/>
              <w:rPr/>
            </w:pPr>
            <w:r>
              <w:rPr/>
              <w:t> </w:t>
            </w:r>
          </w:p>
        </w:tc>
        <w:tc>
          <w:tcPr>
            <w:tcW w:w="278" w:type="dxa"/>
            <w:tcBorders/>
            <w:vAlign w:val="center"/>
          </w:tcPr>
          <w:p>
            <w:pPr>
              <w:pStyle w:val="TableContents"/>
              <w:bidi w:val="0"/>
              <w:spacing w:before="0" w:after="0"/>
              <w:ind w:left="0" w:right="0" w:hanging="0"/>
              <w:jc w:val="left"/>
              <w:rPr/>
            </w:pPr>
            <w:r>
              <w:rPr/>
              <w:t> </w:t>
            </w:r>
          </w:p>
        </w:tc>
        <w:tc>
          <w:tcPr>
            <w:tcW w:w="1846"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bookmarkStart w:id="400" w:name="fs_FEIY95D3R400000000000000000000fs"/>
            <w:bookmarkEnd w:id="400"/>
            <w:r>
              <w:rPr>
                <w:rFonts w:ascii="times new roman;times" w:hAnsi="times new roman;times"/>
                <w:sz w:val="20"/>
              </w:rPr>
              <w:t>1</w:t>
            </w:r>
          </w:p>
        </w:tc>
        <w:tc>
          <w:tcPr>
            <w:tcW w:w="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 w:type="dxa"/>
            <w:tcBorders/>
            <w:vAlign w:val="center"/>
          </w:tcPr>
          <w:p>
            <w:pPr>
              <w:pStyle w:val="TableContents"/>
              <w:bidi w:val="0"/>
              <w:spacing w:before="0" w:after="283"/>
              <w:ind w:left="0" w:right="0" w:hanging="0"/>
              <w:jc w:val="left"/>
              <w:rPr/>
            </w:pPr>
            <w:r>
              <w:rPr/>
            </w:r>
          </w:p>
        </w:tc>
        <w:tc>
          <w:tcPr>
            <w:tcW w:w="154" w:type="dxa"/>
            <w:tcBorders/>
            <w:vAlign w:val="center"/>
          </w:tcPr>
          <w:p>
            <w:pPr>
              <w:pStyle w:val="TableContents"/>
              <w:bidi w:val="0"/>
              <w:spacing w:before="0" w:after="283"/>
              <w:ind w:left="0" w:right="0" w:hanging="0"/>
              <w:jc w:val="left"/>
              <w:rPr/>
            </w:pPr>
            <w:r>
              <w:rPr/>
            </w:r>
          </w:p>
        </w:tc>
        <w:tc>
          <w:tcPr>
            <w:tcW w:w="6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bookmarkStart w:id="401" w:name="fs_N1WKFKS0KG00000000000000000000fs"/>
            <w:bookmarkEnd w:id="401"/>
            <w:r>
              <w:rPr>
                <w:rFonts w:ascii="Times New Roman;Times;serif" w:hAnsi="Times New Roman;Times;serif"/>
                <w:sz w:val="20"/>
              </w:rPr>
              <w:t>3,260</w:t>
            </w:r>
          </w:p>
        </w:tc>
        <w:tc>
          <w:tcPr>
            <w:tcW w:w="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8" w:type="dxa"/>
            <w:tcBorders/>
            <w:vAlign w:val="center"/>
          </w:tcPr>
          <w:p>
            <w:pPr>
              <w:pStyle w:val="TableContents"/>
              <w:bidi w:val="0"/>
              <w:spacing w:before="0" w:after="283"/>
              <w:ind w:left="0" w:right="0" w:hanging="0"/>
              <w:jc w:val="left"/>
              <w:rPr/>
            </w:pPr>
            <w:r>
              <w:rPr/>
            </w:r>
          </w:p>
        </w:tc>
        <w:tc>
          <w:tcPr>
            <w:tcW w:w="154" w:type="dxa"/>
            <w:tcBorders/>
            <w:vAlign w:val="center"/>
          </w:tcPr>
          <w:p>
            <w:pPr>
              <w:pStyle w:val="TableContents"/>
              <w:bidi w:val="0"/>
              <w:spacing w:before="0" w:after="283"/>
              <w:ind w:left="0" w:right="0" w:hanging="0"/>
              <w:jc w:val="left"/>
              <w:rPr/>
            </w:pPr>
            <w:r>
              <w:rPr/>
            </w:r>
          </w:p>
        </w:tc>
        <w:tc>
          <w:tcPr>
            <w:tcW w:w="6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bookmarkStart w:id="402" w:name="fs_OX0BVAM9J400000000000000000000fs"/>
            <w:bookmarkEnd w:id="402"/>
            <w:r>
              <w:rPr>
                <w:rFonts w:ascii="Times New Roman;Times;serif" w:hAnsi="Times New Roman;Times;serif"/>
                <w:sz w:val="20"/>
              </w:rPr>
              <w:t>2,496</w:t>
            </w:r>
          </w:p>
        </w:tc>
        <w:tc>
          <w:tcPr>
            <w:tcW w:w="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8" w:type="dxa"/>
            <w:tcBorders/>
            <w:vAlign w:val="center"/>
          </w:tcPr>
          <w:p>
            <w:pPr>
              <w:pStyle w:val="TableContents"/>
              <w:bidi w:val="0"/>
              <w:spacing w:before="0" w:after="283"/>
              <w:ind w:left="0" w:right="0" w:hanging="0"/>
              <w:jc w:val="left"/>
              <w:rPr/>
            </w:pPr>
            <w:r>
              <w:rPr/>
            </w:r>
          </w:p>
        </w:tc>
        <w:tc>
          <w:tcPr>
            <w:tcW w:w="110" w:type="dxa"/>
            <w:tcBorders/>
            <w:vAlign w:val="center"/>
          </w:tcPr>
          <w:p>
            <w:pPr>
              <w:pStyle w:val="TableContents"/>
              <w:bidi w:val="0"/>
              <w:spacing w:before="0" w:after="283"/>
              <w:ind w:left="0" w:right="0" w:hanging="0"/>
              <w:jc w:val="left"/>
              <w:rPr/>
            </w:pPr>
            <w:r>
              <w:rPr/>
            </w:r>
          </w:p>
        </w:tc>
        <w:tc>
          <w:tcPr>
            <w:tcW w:w="19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bookmarkStart w:id="403" w:name="fs_BVFWP58PSG00000000000000000000fs"/>
            <w:bookmarkEnd w:id="403"/>
            <w:r>
              <w:rPr>
                <w:rFonts w:ascii="Times New Roman;Times;serif" w:hAnsi="Times New Roman;Times;serif"/>
                <w:sz w:val="20"/>
              </w:rPr>
              <w:t>31</w:t>
            </w:r>
          </w:p>
        </w:tc>
        <w:tc>
          <w:tcPr>
            <w:tcW w:w="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22"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Other income (expense), net </w:t>
            </w:r>
          </w:p>
        </w:tc>
        <w:tc>
          <w:tcPr>
            <w:tcW w:w="60" w:type="dxa"/>
            <w:tcBorders/>
            <w:shd w:fill="CCEEFF" w:val="clear"/>
            <w:vAlign w:val="center"/>
          </w:tcPr>
          <w:p>
            <w:pPr>
              <w:pStyle w:val="TableContents"/>
              <w:bidi w:val="0"/>
              <w:spacing w:before="0" w:after="0"/>
              <w:ind w:left="0" w:right="0" w:hanging="0"/>
              <w:jc w:val="left"/>
              <w:rPr/>
            </w:pPr>
            <w:r>
              <w:rPr/>
              <w:t> </w:t>
            </w:r>
          </w:p>
        </w:tc>
        <w:tc>
          <w:tcPr>
            <w:tcW w:w="168" w:type="dxa"/>
            <w:tcBorders/>
            <w:shd w:fill="CCEEFF" w:val="clear"/>
            <w:vAlign w:val="center"/>
          </w:tcPr>
          <w:p>
            <w:pPr>
              <w:pStyle w:val="TableContents"/>
              <w:bidi w:val="0"/>
              <w:spacing w:before="0" w:after="0"/>
              <w:ind w:left="0" w:right="0" w:hanging="0"/>
              <w:jc w:val="left"/>
              <w:rPr/>
            </w:pPr>
            <w:r>
              <w:rPr/>
              <w:t> </w:t>
            </w:r>
          </w:p>
        </w:tc>
        <w:tc>
          <w:tcPr>
            <w:tcW w:w="534"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bookmarkStart w:id="404" w:name="fs_6XZER0X52800000000000000000000fs"/>
            <w:bookmarkEnd w:id="404"/>
            <w:r>
              <w:rPr>
                <w:rFonts w:ascii="times new roman;times" w:hAnsi="times new roman;times"/>
                <w:sz w:val="20"/>
              </w:rPr>
              <w:t>16</w:t>
            </w:r>
          </w:p>
        </w:tc>
        <w:tc>
          <w:tcPr>
            <w:tcW w:w="1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0"/>
              <w:ind w:left="0" w:right="0" w:hanging="0"/>
              <w:jc w:val="left"/>
              <w:rPr/>
            </w:pPr>
            <w:r>
              <w:rPr/>
              <w:t> </w:t>
            </w:r>
          </w:p>
        </w:tc>
        <w:tc>
          <w:tcPr>
            <w:tcW w:w="168" w:type="dxa"/>
            <w:tcBorders/>
            <w:shd w:fill="CCEEFF" w:val="clear"/>
            <w:vAlign w:val="center"/>
          </w:tcPr>
          <w:p>
            <w:pPr>
              <w:pStyle w:val="TableContents"/>
              <w:bidi w:val="0"/>
              <w:spacing w:before="0" w:after="0"/>
              <w:ind w:left="0" w:right="0" w:hanging="0"/>
              <w:jc w:val="left"/>
              <w:rPr/>
            </w:pPr>
            <w:r>
              <w:rPr/>
              <w:t> </w:t>
            </w:r>
          </w:p>
        </w:tc>
        <w:tc>
          <w:tcPr>
            <w:tcW w:w="534" w:type="dxa"/>
            <w:tcBorders/>
            <w:shd w:fill="CCEEFF" w:val="clear"/>
            <w:vAlign w:val="center"/>
          </w:tcPr>
          <w:p>
            <w:pPr>
              <w:pStyle w:val="TableContents"/>
              <w:bidi w:val="0"/>
              <w:spacing w:before="0" w:after="0"/>
              <w:ind w:left="0" w:right="0" w:hanging="0"/>
              <w:jc w:val="right"/>
              <w:rPr>
                <w:rFonts w:ascii="times new roman;times" w:hAnsi="times new roman;times"/>
                <w:sz w:val="20"/>
              </w:rPr>
            </w:pPr>
            <w:bookmarkStart w:id="405" w:name="fs_X9ZZLXH0AO00000000000000000000fs"/>
            <w:bookmarkEnd w:id="405"/>
            <w:r>
              <w:rPr>
                <w:rFonts w:ascii="times new roman;times" w:hAnsi="times new roman;times"/>
                <w:sz w:val="20"/>
              </w:rPr>
              <w:t>142</w:t>
            </w:r>
          </w:p>
        </w:tc>
        <w:tc>
          <w:tcPr>
            <w:tcW w:w="108"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80" w:type="dxa"/>
            <w:tcBorders/>
            <w:shd w:fill="CCEEFF" w:val="clear"/>
            <w:vAlign w:val="center"/>
          </w:tcPr>
          <w:p>
            <w:pPr>
              <w:pStyle w:val="TableContents"/>
              <w:bidi w:val="0"/>
              <w:spacing w:before="0" w:after="0"/>
              <w:ind w:left="0" w:right="0" w:hanging="0"/>
              <w:jc w:val="left"/>
              <w:rPr/>
            </w:pPr>
            <w:r>
              <w:rPr/>
              <w:t> </w:t>
            </w:r>
          </w:p>
        </w:tc>
        <w:tc>
          <w:tcPr>
            <w:tcW w:w="278" w:type="dxa"/>
            <w:tcBorders/>
            <w:shd w:fill="CCEEFF" w:val="clear"/>
            <w:vAlign w:val="center"/>
          </w:tcPr>
          <w:p>
            <w:pPr>
              <w:pStyle w:val="TableContents"/>
              <w:bidi w:val="0"/>
              <w:spacing w:before="0" w:after="0"/>
              <w:ind w:left="0" w:right="0" w:hanging="0"/>
              <w:jc w:val="left"/>
              <w:rPr/>
            </w:pPr>
            <w:r>
              <w:rPr/>
              <w:t> </w:t>
            </w:r>
          </w:p>
        </w:tc>
        <w:tc>
          <w:tcPr>
            <w:tcW w:w="1846"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bookmarkStart w:id="406" w:name="fs_2OKMEP0N7400000000000000000000fs"/>
            <w:bookmarkEnd w:id="406"/>
            <w:r>
              <w:rPr>
                <w:rFonts w:ascii="times new roman;times" w:hAnsi="times new roman;times"/>
                <w:sz w:val="20"/>
              </w:rPr>
              <w:t>111</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 w:type="dxa"/>
            <w:tcBorders/>
            <w:shd w:fill="CCEEFF" w:val="clear"/>
            <w:vAlign w:val="center"/>
          </w:tcPr>
          <w:p>
            <w:pPr>
              <w:pStyle w:val="TableContents"/>
              <w:bidi w:val="0"/>
              <w:spacing w:before="0" w:after="283"/>
              <w:ind w:left="0" w:right="0" w:hanging="0"/>
              <w:jc w:val="left"/>
              <w:rPr/>
            </w:pPr>
            <w:r>
              <w:rPr/>
            </w:r>
          </w:p>
        </w:tc>
        <w:tc>
          <w:tcPr>
            <w:tcW w:w="154" w:type="dxa"/>
            <w:tcBorders/>
            <w:shd w:fill="CCEEFF" w:val="clear"/>
            <w:vAlign w:val="center"/>
          </w:tcPr>
          <w:p>
            <w:pPr>
              <w:pStyle w:val="TableContents"/>
              <w:bidi w:val="0"/>
              <w:spacing w:before="0" w:after="283"/>
              <w:ind w:left="0" w:right="0" w:hanging="0"/>
              <w:jc w:val="left"/>
              <w:rPr/>
            </w:pPr>
            <w:r>
              <w:rPr/>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bookmarkStart w:id="407" w:name="fs_ZMQOXII1NK00000000000000000000fs"/>
            <w:bookmarkEnd w:id="407"/>
            <w:r>
              <w:rPr>
                <w:rFonts w:ascii="Times New Roman;Times;serif" w:hAnsi="Times New Roman;Times;serif"/>
                <w:sz w:val="20"/>
              </w:rPr>
              <w:t>9</w:t>
            </w:r>
          </w:p>
        </w:tc>
        <w:tc>
          <w:tcPr>
            <w:tcW w:w="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8" w:type="dxa"/>
            <w:tcBorders/>
            <w:shd w:fill="CCEEFF" w:val="clear"/>
            <w:vAlign w:val="center"/>
          </w:tcPr>
          <w:p>
            <w:pPr>
              <w:pStyle w:val="TableContents"/>
              <w:bidi w:val="0"/>
              <w:spacing w:before="0" w:after="283"/>
              <w:ind w:left="0" w:right="0" w:hanging="0"/>
              <w:jc w:val="left"/>
              <w:rPr/>
            </w:pPr>
            <w:r>
              <w:rPr/>
            </w:r>
          </w:p>
        </w:tc>
        <w:tc>
          <w:tcPr>
            <w:tcW w:w="154" w:type="dxa"/>
            <w:tcBorders/>
            <w:shd w:fill="CCEEFF" w:val="clear"/>
            <w:vAlign w:val="center"/>
          </w:tcPr>
          <w:p>
            <w:pPr>
              <w:pStyle w:val="TableContents"/>
              <w:bidi w:val="0"/>
              <w:spacing w:before="0" w:after="283"/>
              <w:ind w:left="0" w:right="0" w:hanging="0"/>
              <w:jc w:val="left"/>
              <w:rPr/>
            </w:pPr>
            <w:r>
              <w:rPr/>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bookmarkStart w:id="408" w:name="fs_TD8UXGUV3400000000000000000000fs"/>
            <w:bookmarkEnd w:id="408"/>
            <w:r>
              <w:rPr>
                <w:rFonts w:ascii="Times New Roman;Times;serif" w:hAnsi="Times New Roman;Times;serif"/>
                <w:sz w:val="20"/>
              </w:rPr>
              <w:t>439</w:t>
            </w:r>
          </w:p>
        </w:tc>
        <w:tc>
          <w:tcPr>
            <w:tcW w:w="98" w:type="dxa"/>
            <w:tcBorders/>
            <w:shd w:fill="CCEEFF" w:val="clear"/>
            <w:vAlign w:val="center"/>
          </w:tcPr>
          <w:p>
            <w:pPr>
              <w:pStyle w:val="TableContents"/>
              <w:bidi w:val="0"/>
              <w:spacing w:before="0" w:after="283"/>
              <w:ind w:left="0" w:right="0" w:hanging="0"/>
              <w:jc w:val="left"/>
              <w:rPr/>
            </w:pPr>
            <w:r>
              <w:rPr/>
            </w:r>
          </w:p>
        </w:tc>
        <w:tc>
          <w:tcPr>
            <w:tcW w:w="28" w:type="dxa"/>
            <w:tcBorders/>
            <w:shd w:fill="CCEEFF" w:val="clear"/>
            <w:vAlign w:val="center"/>
          </w:tcPr>
          <w:p>
            <w:pPr>
              <w:pStyle w:val="TableContents"/>
              <w:bidi w:val="0"/>
              <w:spacing w:before="0" w:after="283"/>
              <w:ind w:left="0" w:right="0" w:hanging="0"/>
              <w:jc w:val="left"/>
              <w:rPr/>
            </w:pPr>
            <w:r>
              <w:rPr/>
            </w:r>
          </w:p>
        </w:tc>
        <w:tc>
          <w:tcPr>
            <w:tcW w:w="110" w:type="dxa"/>
            <w:tcBorders/>
            <w:shd w:fill="CCEEFF" w:val="clear"/>
            <w:vAlign w:val="center"/>
          </w:tcPr>
          <w:p>
            <w:pPr>
              <w:pStyle w:val="TableContents"/>
              <w:bidi w:val="0"/>
              <w:spacing w:before="0" w:after="283"/>
              <w:ind w:left="0" w:right="0" w:hanging="0"/>
              <w:jc w:val="left"/>
              <w:rPr/>
            </w:pPr>
            <w:r>
              <w:rPr/>
            </w:r>
          </w:p>
        </w:tc>
        <w:tc>
          <w:tcPr>
            <w:tcW w:w="19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bookmarkStart w:id="409" w:name="fs_OTDN26FF4G00000000000000000000fs"/>
            <w:bookmarkEnd w:id="409"/>
            <w:r>
              <w:rPr>
                <w:rFonts w:ascii="Times New Roman;Times;serif" w:hAnsi="Times New Roman;Times;serif"/>
                <w:sz w:val="20"/>
              </w:rPr>
              <w:t>102</w:t>
            </w:r>
          </w:p>
        </w:tc>
        <w:tc>
          <w:tcPr>
            <w:tcW w:w="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22"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Loss before income taxes </w:t>
            </w:r>
          </w:p>
        </w:tc>
        <w:tc>
          <w:tcPr>
            <w:tcW w:w="60"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534"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bookmarkStart w:id="410" w:name="fs_Y35TIPFWV400000000000000000000fs"/>
            <w:bookmarkEnd w:id="410"/>
            <w:r>
              <w:rPr>
                <w:rFonts w:ascii="times new roman;times" w:hAnsi="times new roman;times"/>
                <w:sz w:val="20"/>
              </w:rPr>
              <w:t>870</w:t>
            </w:r>
          </w:p>
        </w:tc>
        <w:tc>
          <w:tcPr>
            <w:tcW w:w="108" w:type="dxa"/>
            <w:tcBorders/>
            <w:vAlign w:val="bottom"/>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534"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bookmarkStart w:id="411" w:name="fs_X95W6J01Y800000000000000000000fs"/>
            <w:bookmarkEnd w:id="411"/>
            <w:r>
              <w:rPr>
                <w:rFonts w:ascii="times new roman;times" w:hAnsi="times new roman;times"/>
                <w:sz w:val="20"/>
              </w:rPr>
              <w:t>700</w:t>
            </w:r>
          </w:p>
        </w:tc>
        <w:tc>
          <w:tcPr>
            <w:tcW w:w="1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 w:type="dxa"/>
            <w:tcBorders/>
            <w:vAlign w:val="center"/>
          </w:tcPr>
          <w:p>
            <w:pPr>
              <w:pStyle w:val="TableContents"/>
              <w:bidi w:val="0"/>
              <w:spacing w:before="0" w:after="0"/>
              <w:ind w:left="0" w:right="0" w:hanging="0"/>
              <w:jc w:val="left"/>
              <w:rPr/>
            </w:pPr>
            <w:r>
              <w:rPr/>
              <w:t> </w:t>
            </w:r>
          </w:p>
        </w:tc>
        <w:tc>
          <w:tcPr>
            <w:tcW w:w="278" w:type="dxa"/>
            <w:tcBorders/>
            <w:vAlign w:val="center"/>
          </w:tcPr>
          <w:p>
            <w:pPr>
              <w:pStyle w:val="TableContents"/>
              <w:bidi w:val="0"/>
              <w:spacing w:before="0" w:after="0"/>
              <w:ind w:left="0" w:right="0" w:hanging="0"/>
              <w:jc w:val="left"/>
              <w:rPr/>
            </w:pPr>
            <w:r>
              <w:rPr/>
              <w:t> </w:t>
            </w:r>
          </w:p>
        </w:tc>
        <w:tc>
          <w:tcPr>
            <w:tcW w:w="1846"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bookmarkStart w:id="412" w:name="fs_6UZONKNBDC00000000000000000000fs"/>
            <w:bookmarkEnd w:id="412"/>
            <w:r>
              <w:rPr>
                <w:rFonts w:ascii="times new roman;times" w:hAnsi="times new roman;times"/>
                <w:sz w:val="20"/>
              </w:rPr>
              <w:t>24</w:t>
            </w:r>
          </w:p>
        </w:tc>
        <w:tc>
          <w:tcPr>
            <w:tcW w:w="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 w:type="dxa"/>
            <w:tcBorders/>
            <w:vAlign w:val="center"/>
          </w:tcPr>
          <w:p>
            <w:pPr>
              <w:pStyle w:val="TableContents"/>
              <w:bidi w:val="0"/>
              <w:spacing w:before="0" w:after="283"/>
              <w:ind w:left="0" w:right="0" w:hanging="0"/>
              <w:jc w:val="left"/>
              <w:rPr/>
            </w:pPr>
            <w:r>
              <w:rPr/>
            </w:r>
          </w:p>
        </w:tc>
        <w:tc>
          <w:tcPr>
            <w:tcW w:w="154" w:type="dxa"/>
            <w:tcBorders/>
            <w:vAlign w:val="center"/>
          </w:tcPr>
          <w:p>
            <w:pPr>
              <w:pStyle w:val="TableContents"/>
              <w:bidi w:val="0"/>
              <w:spacing w:before="0" w:after="283"/>
              <w:ind w:left="0" w:right="0" w:hanging="0"/>
              <w:jc w:val="left"/>
              <w:rPr/>
            </w:pPr>
            <w:r>
              <w:rPr/>
            </w:r>
          </w:p>
        </w:tc>
        <w:tc>
          <w:tcPr>
            <w:tcW w:w="6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bookmarkStart w:id="413" w:name="fs_ULJG03PXJ400000000000000000000fs"/>
            <w:bookmarkEnd w:id="413"/>
            <w:r>
              <w:rPr>
                <w:rFonts w:ascii="Times New Roman;Times;serif" w:hAnsi="Times New Roman;Times;serif"/>
                <w:sz w:val="20"/>
              </w:rPr>
              <w:t>3,269</w:t>
            </w:r>
          </w:p>
        </w:tc>
        <w:tc>
          <w:tcPr>
            <w:tcW w:w="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8" w:type="dxa"/>
            <w:tcBorders/>
            <w:vAlign w:val="center"/>
          </w:tcPr>
          <w:p>
            <w:pPr>
              <w:pStyle w:val="TableContents"/>
              <w:bidi w:val="0"/>
              <w:spacing w:before="0" w:after="283"/>
              <w:ind w:left="0" w:right="0" w:hanging="0"/>
              <w:jc w:val="left"/>
              <w:rPr/>
            </w:pPr>
            <w:r>
              <w:rPr/>
            </w:r>
          </w:p>
        </w:tc>
        <w:tc>
          <w:tcPr>
            <w:tcW w:w="154" w:type="dxa"/>
            <w:tcBorders/>
            <w:vAlign w:val="center"/>
          </w:tcPr>
          <w:p>
            <w:pPr>
              <w:pStyle w:val="TableContents"/>
              <w:bidi w:val="0"/>
              <w:spacing w:before="0" w:after="283"/>
              <w:ind w:left="0" w:right="0" w:hanging="0"/>
              <w:jc w:val="left"/>
              <w:rPr/>
            </w:pPr>
            <w:r>
              <w:rPr/>
            </w:r>
          </w:p>
        </w:tc>
        <w:tc>
          <w:tcPr>
            <w:tcW w:w="6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bookmarkStart w:id="414" w:name="fs_8B7AOA7AKW00000000000000000000fs"/>
            <w:bookmarkEnd w:id="414"/>
            <w:r>
              <w:rPr>
                <w:rFonts w:ascii="Times New Roman;Times;serif" w:hAnsi="Times New Roman;Times;serif"/>
                <w:sz w:val="20"/>
              </w:rPr>
              <w:t>2,057</w:t>
            </w:r>
          </w:p>
        </w:tc>
        <w:tc>
          <w:tcPr>
            <w:tcW w:w="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8" w:type="dxa"/>
            <w:tcBorders/>
            <w:vAlign w:val="center"/>
          </w:tcPr>
          <w:p>
            <w:pPr>
              <w:pStyle w:val="TableContents"/>
              <w:bidi w:val="0"/>
              <w:spacing w:before="0" w:after="283"/>
              <w:ind w:left="0" w:right="0" w:hanging="0"/>
              <w:jc w:val="left"/>
              <w:rPr/>
            </w:pPr>
            <w:r>
              <w:rPr/>
            </w:r>
          </w:p>
        </w:tc>
        <w:tc>
          <w:tcPr>
            <w:tcW w:w="110" w:type="dxa"/>
            <w:tcBorders/>
            <w:vAlign w:val="center"/>
          </w:tcPr>
          <w:p>
            <w:pPr>
              <w:pStyle w:val="TableContents"/>
              <w:bidi w:val="0"/>
              <w:spacing w:before="0" w:after="283"/>
              <w:ind w:left="0" w:right="0" w:hanging="0"/>
              <w:jc w:val="left"/>
              <w:rPr/>
            </w:pPr>
            <w:r>
              <w:rPr/>
            </w:r>
          </w:p>
        </w:tc>
        <w:tc>
          <w:tcPr>
            <w:tcW w:w="19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bookmarkStart w:id="415" w:name="fs_KB3XFXAT8W00000000000000000000fs"/>
            <w:bookmarkEnd w:id="415"/>
            <w:r>
              <w:rPr>
                <w:rFonts w:ascii="Times New Roman;Times;serif" w:hAnsi="Times New Roman;Times;serif"/>
                <w:sz w:val="20"/>
              </w:rPr>
              <w:t>59</w:t>
            </w:r>
          </w:p>
        </w:tc>
        <w:tc>
          <w:tcPr>
            <w:tcW w:w="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22"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Provision (benefit) for income taxes </w:t>
            </w:r>
          </w:p>
        </w:tc>
        <w:tc>
          <w:tcPr>
            <w:tcW w:w="60" w:type="dxa"/>
            <w:tcBorders/>
            <w:shd w:fill="CCEEFF" w:val="clear"/>
            <w:vAlign w:val="center"/>
          </w:tcPr>
          <w:p>
            <w:pPr>
              <w:pStyle w:val="TableContents"/>
              <w:bidi w:val="0"/>
              <w:spacing w:before="0" w:after="0"/>
              <w:ind w:left="0" w:right="0" w:hanging="0"/>
              <w:jc w:val="left"/>
              <w:rPr/>
            </w:pPr>
            <w:r>
              <w:rPr/>
              <w:t> </w:t>
            </w:r>
          </w:p>
        </w:tc>
        <w:tc>
          <w:tcPr>
            <w:tcW w:w="168" w:type="dxa"/>
            <w:tcBorders/>
            <w:shd w:fill="CCEEFF" w:val="clear"/>
            <w:vAlign w:val="center"/>
          </w:tcPr>
          <w:p>
            <w:pPr>
              <w:pStyle w:val="TableContents"/>
              <w:bidi w:val="0"/>
              <w:spacing w:before="0" w:after="0"/>
              <w:ind w:left="0" w:right="0" w:hanging="0"/>
              <w:jc w:val="left"/>
              <w:rPr/>
            </w:pPr>
            <w:r>
              <w:rPr/>
              <w:t> </w:t>
            </w:r>
          </w:p>
        </w:tc>
        <w:tc>
          <w:tcPr>
            <w:tcW w:w="534" w:type="dxa"/>
            <w:tcBorders/>
            <w:shd w:fill="CCEEFF" w:val="clear"/>
            <w:vAlign w:val="center"/>
          </w:tcPr>
          <w:p>
            <w:pPr>
              <w:pStyle w:val="TableContents"/>
              <w:bidi w:val="0"/>
              <w:spacing w:before="0" w:after="0"/>
              <w:ind w:left="0" w:right="0" w:hanging="0"/>
              <w:jc w:val="right"/>
              <w:rPr>
                <w:rFonts w:ascii="times new roman;times" w:hAnsi="times new roman;times"/>
                <w:sz w:val="20"/>
              </w:rPr>
            </w:pPr>
            <w:bookmarkStart w:id="416" w:name="fs_V9SW7XNVUO00000000000000000000fs"/>
            <w:bookmarkEnd w:id="416"/>
            <w:r>
              <w:rPr>
                <w:rFonts w:ascii="times new roman;times" w:hAnsi="times new roman;times"/>
                <w:sz w:val="20"/>
              </w:rPr>
              <w:t>1</w:t>
            </w:r>
          </w:p>
        </w:tc>
        <w:tc>
          <w:tcPr>
            <w:tcW w:w="108" w:type="dxa"/>
            <w:tcBorders/>
            <w:shd w:fill="CCEEFF" w:val="clear"/>
            <w:vAlign w:val="bottom"/>
          </w:tcPr>
          <w:p>
            <w:pPr>
              <w:pStyle w:val="TableContents"/>
              <w:bidi w:val="0"/>
              <w:spacing w:before="0" w:after="283"/>
              <w:ind w:left="0" w:right="0" w:hanging="0"/>
              <w:jc w:val="left"/>
              <w:rPr>
                <w:sz w:val="4"/>
                <w:szCs w:val="4"/>
              </w:rPr>
            </w:pPr>
            <w:r>
              <w:rPr>
                <w:sz w:val="4"/>
                <w:szCs w:val="4"/>
              </w:rPr>
            </w:r>
          </w:p>
        </w:tc>
        <w:tc>
          <w:tcPr>
            <w:tcW w:w="80" w:type="dxa"/>
            <w:tcBorders/>
            <w:shd w:fill="CCEEFF" w:val="clear"/>
            <w:vAlign w:val="center"/>
          </w:tcPr>
          <w:p>
            <w:pPr>
              <w:pStyle w:val="TableContents"/>
              <w:bidi w:val="0"/>
              <w:spacing w:before="0" w:after="0"/>
              <w:ind w:left="0" w:right="0" w:hanging="0"/>
              <w:jc w:val="left"/>
              <w:rPr/>
            </w:pPr>
            <w:r>
              <w:rPr/>
              <w:t> </w:t>
            </w:r>
          </w:p>
        </w:tc>
        <w:tc>
          <w:tcPr>
            <w:tcW w:w="168" w:type="dxa"/>
            <w:tcBorders/>
            <w:shd w:fill="CCEEFF" w:val="clear"/>
            <w:vAlign w:val="center"/>
          </w:tcPr>
          <w:p>
            <w:pPr>
              <w:pStyle w:val="TableContents"/>
              <w:bidi w:val="0"/>
              <w:spacing w:before="0" w:after="0"/>
              <w:ind w:left="0" w:right="0" w:hanging="0"/>
              <w:jc w:val="left"/>
              <w:rPr/>
            </w:pPr>
            <w:r>
              <w:rPr/>
              <w:t> </w:t>
            </w:r>
          </w:p>
        </w:tc>
        <w:tc>
          <w:tcPr>
            <w:tcW w:w="534" w:type="dxa"/>
            <w:tcBorders/>
            <w:shd w:fill="CCEEFF" w:val="clear"/>
            <w:vAlign w:val="center"/>
          </w:tcPr>
          <w:p>
            <w:pPr>
              <w:pStyle w:val="TableContents"/>
              <w:bidi w:val="0"/>
              <w:spacing w:before="0" w:after="0"/>
              <w:ind w:left="0" w:right="0" w:hanging="0"/>
              <w:jc w:val="right"/>
              <w:rPr>
                <w:rFonts w:ascii="times new roman;times" w:hAnsi="times new roman;times"/>
                <w:sz w:val="20"/>
              </w:rPr>
            </w:pPr>
            <w:bookmarkStart w:id="417" w:name="fs_7SCZVYN68G00000000000000000000fs"/>
            <w:bookmarkEnd w:id="417"/>
            <w:r>
              <w:rPr>
                <w:rFonts w:ascii="times new roman;times" w:hAnsi="times new roman;times"/>
                <w:sz w:val="20"/>
              </w:rPr>
              <w:t>16</w:t>
            </w:r>
          </w:p>
        </w:tc>
        <w:tc>
          <w:tcPr>
            <w:tcW w:w="108"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80" w:type="dxa"/>
            <w:tcBorders/>
            <w:shd w:fill="CCEEFF" w:val="clear"/>
            <w:vAlign w:val="center"/>
          </w:tcPr>
          <w:p>
            <w:pPr>
              <w:pStyle w:val="TableContents"/>
              <w:bidi w:val="0"/>
              <w:spacing w:before="0" w:after="0"/>
              <w:ind w:left="0" w:right="0" w:hanging="0"/>
              <w:jc w:val="left"/>
              <w:rPr/>
            </w:pPr>
            <w:r>
              <w:rPr/>
              <w:t> </w:t>
            </w:r>
          </w:p>
        </w:tc>
        <w:tc>
          <w:tcPr>
            <w:tcW w:w="278" w:type="dxa"/>
            <w:tcBorders/>
            <w:shd w:fill="CCEEFF" w:val="clear"/>
            <w:vAlign w:val="center"/>
          </w:tcPr>
          <w:p>
            <w:pPr>
              <w:pStyle w:val="TableContents"/>
              <w:bidi w:val="0"/>
              <w:spacing w:before="0" w:after="0"/>
              <w:ind w:left="0" w:right="0" w:hanging="0"/>
              <w:jc w:val="left"/>
              <w:rPr/>
            </w:pPr>
            <w:r>
              <w:rPr/>
              <w:t> </w:t>
            </w:r>
          </w:p>
        </w:tc>
        <w:tc>
          <w:tcPr>
            <w:tcW w:w="1846" w:type="dxa"/>
            <w:tcBorders/>
            <w:shd w:fill="CCEEFF" w:val="clear"/>
            <w:vAlign w:val="center"/>
          </w:tcPr>
          <w:p>
            <w:pPr>
              <w:pStyle w:val="TableContents"/>
              <w:bidi w:val="0"/>
              <w:spacing w:before="0" w:after="0"/>
              <w:ind w:left="0" w:right="0" w:hanging="0"/>
              <w:jc w:val="right"/>
              <w:rPr>
                <w:rFonts w:ascii="times new roman;times" w:hAnsi="times new roman;times"/>
                <w:sz w:val="20"/>
              </w:rPr>
            </w:pPr>
            <w:bookmarkStart w:id="418" w:name="fs_PA1ZKFMY2O00000000000000000000fs"/>
            <w:bookmarkEnd w:id="418"/>
            <w:r>
              <w:rPr>
                <w:rFonts w:ascii="times new roman;times" w:hAnsi="times new roman;times"/>
                <w:sz w:val="20"/>
              </w:rPr>
              <w:t>94</w:t>
            </w:r>
          </w:p>
        </w:tc>
        <w:tc>
          <w:tcPr>
            <w:tcW w:w="80"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23" w:type="dxa"/>
            <w:tcBorders/>
            <w:shd w:fill="CCEEFF" w:val="clear"/>
            <w:vAlign w:val="center"/>
          </w:tcPr>
          <w:p>
            <w:pPr>
              <w:pStyle w:val="TableContents"/>
              <w:bidi w:val="0"/>
              <w:spacing w:before="0" w:after="283"/>
              <w:ind w:left="0" w:right="0" w:hanging="0"/>
              <w:jc w:val="left"/>
              <w:rPr/>
            </w:pPr>
            <w:r>
              <w:rPr/>
            </w:r>
          </w:p>
        </w:tc>
        <w:tc>
          <w:tcPr>
            <w:tcW w:w="154" w:type="dxa"/>
            <w:tcBorders/>
            <w:shd w:fill="CCEEFF" w:val="clear"/>
            <w:vAlign w:val="center"/>
          </w:tcPr>
          <w:p>
            <w:pPr>
              <w:pStyle w:val="TableContents"/>
              <w:bidi w:val="0"/>
              <w:spacing w:before="0" w:after="283"/>
              <w:ind w:left="0" w:right="0" w:hanging="0"/>
              <w:jc w:val="left"/>
              <w:rPr/>
            </w:pPr>
            <w:r>
              <w:rPr/>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bookmarkStart w:id="419" w:name="fs_7S68M5KRFK00000000000000000000fs"/>
            <w:bookmarkEnd w:id="419"/>
            <w:r>
              <w:rPr>
                <w:rFonts w:ascii="Times New Roman;Times;serif" w:hAnsi="Times New Roman;Times;serif"/>
                <w:sz w:val="20"/>
              </w:rPr>
              <w:t>9</w:t>
            </w:r>
          </w:p>
        </w:tc>
        <w:tc>
          <w:tcPr>
            <w:tcW w:w="98" w:type="dxa"/>
            <w:tcBorders/>
            <w:shd w:fill="CCEEFF" w:val="clear"/>
            <w:vAlign w:val="center"/>
          </w:tcPr>
          <w:p>
            <w:pPr>
              <w:pStyle w:val="TableContents"/>
              <w:bidi w:val="0"/>
              <w:spacing w:before="0" w:after="283"/>
              <w:ind w:left="0" w:right="0" w:hanging="0"/>
              <w:jc w:val="left"/>
              <w:rPr/>
            </w:pPr>
            <w:r>
              <w:rPr/>
            </w:r>
          </w:p>
        </w:tc>
        <w:tc>
          <w:tcPr>
            <w:tcW w:w="28" w:type="dxa"/>
            <w:tcBorders/>
            <w:shd w:fill="CCEEFF" w:val="clear"/>
            <w:vAlign w:val="center"/>
          </w:tcPr>
          <w:p>
            <w:pPr>
              <w:pStyle w:val="TableContents"/>
              <w:bidi w:val="0"/>
              <w:spacing w:before="0" w:after="283"/>
              <w:ind w:left="0" w:right="0" w:hanging="0"/>
              <w:jc w:val="left"/>
              <w:rPr/>
            </w:pPr>
            <w:r>
              <w:rPr/>
            </w:r>
          </w:p>
        </w:tc>
        <w:tc>
          <w:tcPr>
            <w:tcW w:w="154" w:type="dxa"/>
            <w:tcBorders/>
            <w:shd w:fill="CCEEFF" w:val="clear"/>
            <w:vAlign w:val="center"/>
          </w:tcPr>
          <w:p>
            <w:pPr>
              <w:pStyle w:val="TableContents"/>
              <w:bidi w:val="0"/>
              <w:spacing w:before="0" w:after="283"/>
              <w:ind w:left="0" w:right="0" w:hanging="0"/>
              <w:jc w:val="left"/>
              <w:rPr/>
            </w:pPr>
            <w:r>
              <w:rPr/>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bookmarkStart w:id="420" w:name="fs_Q90JXOX71C00000000000000000000fs"/>
            <w:bookmarkEnd w:id="420"/>
            <w:r>
              <w:rPr>
                <w:rFonts w:ascii="Times New Roman;Times;serif" w:hAnsi="Times New Roman;Times;serif"/>
                <w:sz w:val="20"/>
              </w:rPr>
              <w:t>29</w:t>
            </w:r>
          </w:p>
        </w:tc>
        <w:tc>
          <w:tcPr>
            <w:tcW w:w="98" w:type="dxa"/>
            <w:tcBorders/>
            <w:shd w:fill="CCEEFF" w:val="clear"/>
            <w:vAlign w:val="center"/>
          </w:tcPr>
          <w:p>
            <w:pPr>
              <w:pStyle w:val="TableContents"/>
              <w:bidi w:val="0"/>
              <w:spacing w:before="0" w:after="283"/>
              <w:ind w:left="0" w:right="0" w:hanging="0"/>
              <w:jc w:val="left"/>
              <w:rPr/>
            </w:pPr>
            <w:r>
              <w:rPr/>
            </w:r>
          </w:p>
        </w:tc>
        <w:tc>
          <w:tcPr>
            <w:tcW w:w="28" w:type="dxa"/>
            <w:tcBorders/>
            <w:shd w:fill="CCEEFF" w:val="clear"/>
            <w:vAlign w:val="center"/>
          </w:tcPr>
          <w:p>
            <w:pPr>
              <w:pStyle w:val="TableContents"/>
              <w:bidi w:val="0"/>
              <w:spacing w:before="0" w:after="283"/>
              <w:ind w:left="0" w:right="0" w:hanging="0"/>
              <w:jc w:val="left"/>
              <w:rPr/>
            </w:pPr>
            <w:r>
              <w:rPr/>
            </w:r>
          </w:p>
        </w:tc>
        <w:tc>
          <w:tcPr>
            <w:tcW w:w="110" w:type="dxa"/>
            <w:tcBorders/>
            <w:shd w:fill="CCEEFF" w:val="clear"/>
            <w:vAlign w:val="center"/>
          </w:tcPr>
          <w:p>
            <w:pPr>
              <w:pStyle w:val="TableContents"/>
              <w:bidi w:val="0"/>
              <w:spacing w:before="0" w:after="283"/>
              <w:ind w:left="0" w:right="0" w:hanging="0"/>
              <w:jc w:val="left"/>
              <w:rPr/>
            </w:pPr>
            <w:r>
              <w:rPr/>
            </w:r>
          </w:p>
        </w:tc>
        <w:tc>
          <w:tcPr>
            <w:tcW w:w="19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bookmarkStart w:id="421" w:name="fs_ZMX7KU4GOG00000000000000000000fs"/>
            <w:bookmarkEnd w:id="421"/>
            <w:r>
              <w:rPr>
                <w:rFonts w:ascii="Times New Roman;Times;serif" w:hAnsi="Times New Roman;Times;serif"/>
                <w:sz w:val="20"/>
              </w:rPr>
              <w:t>69</w:t>
            </w:r>
          </w:p>
        </w:tc>
        <w:tc>
          <w:tcPr>
            <w:tcW w:w="91" w:type="dxa"/>
            <w:tcBorders/>
            <w:shd w:fill="CCEEFF" w:val="clear"/>
            <w:vAlign w:val="center"/>
          </w:tcPr>
          <w:p>
            <w:pPr>
              <w:pStyle w:val="TableContents"/>
              <w:bidi w:val="0"/>
              <w:spacing w:before="0" w:after="283"/>
              <w:ind w:left="0" w:right="0" w:hanging="0"/>
              <w:jc w:val="left"/>
              <w:rPr/>
            </w:pPr>
            <w:r>
              <w:rPr/>
            </w:r>
          </w:p>
        </w:tc>
      </w:tr>
      <w:tr>
        <w:trPr/>
        <w:tc>
          <w:tcPr>
            <w:tcW w:w="2122"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Net loss from continuing operations </w:t>
            </w:r>
          </w:p>
        </w:tc>
        <w:tc>
          <w:tcPr>
            <w:tcW w:w="60"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534"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bookmarkStart w:id="422" w:name="fs_BJUB26QO0W00000000000000000000fs"/>
            <w:bookmarkEnd w:id="422"/>
            <w:r>
              <w:rPr>
                <w:rFonts w:ascii="times new roman;times" w:hAnsi="times new roman;times"/>
                <w:sz w:val="20"/>
              </w:rPr>
              <w:t>871</w:t>
            </w:r>
          </w:p>
        </w:tc>
        <w:tc>
          <w:tcPr>
            <w:tcW w:w="1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534"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bookmarkStart w:id="423" w:name="fs_E4XZ98D9UO00000000000000000000fs"/>
            <w:bookmarkEnd w:id="423"/>
            <w:r>
              <w:rPr>
                <w:rFonts w:ascii="times new roman;times" w:hAnsi="times new roman;times"/>
                <w:sz w:val="20"/>
              </w:rPr>
              <w:t>716</w:t>
            </w:r>
          </w:p>
        </w:tc>
        <w:tc>
          <w:tcPr>
            <w:tcW w:w="1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 w:type="dxa"/>
            <w:tcBorders/>
            <w:vAlign w:val="center"/>
          </w:tcPr>
          <w:p>
            <w:pPr>
              <w:pStyle w:val="TableContents"/>
              <w:bidi w:val="0"/>
              <w:spacing w:before="0" w:after="0"/>
              <w:ind w:left="0" w:right="0" w:hanging="0"/>
              <w:jc w:val="left"/>
              <w:rPr/>
            </w:pPr>
            <w:r>
              <w:rPr/>
              <w:t> </w:t>
            </w:r>
          </w:p>
        </w:tc>
        <w:tc>
          <w:tcPr>
            <w:tcW w:w="278" w:type="dxa"/>
            <w:tcBorders/>
            <w:vAlign w:val="center"/>
          </w:tcPr>
          <w:p>
            <w:pPr>
              <w:pStyle w:val="TableContents"/>
              <w:bidi w:val="0"/>
              <w:spacing w:before="0" w:after="0"/>
              <w:ind w:left="0" w:right="0" w:hanging="0"/>
              <w:jc w:val="left"/>
              <w:rPr/>
            </w:pPr>
            <w:r>
              <w:rPr/>
              <w:t> </w:t>
            </w:r>
          </w:p>
        </w:tc>
        <w:tc>
          <w:tcPr>
            <w:tcW w:w="1846"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bookmarkStart w:id="424" w:name="fs_5UVC5UEC2800000000000000000000fs"/>
            <w:bookmarkEnd w:id="424"/>
            <w:r>
              <w:rPr>
                <w:rFonts w:ascii="times new roman;times" w:hAnsi="times new roman;times"/>
                <w:sz w:val="20"/>
              </w:rPr>
              <w:t>22</w:t>
            </w:r>
          </w:p>
        </w:tc>
        <w:tc>
          <w:tcPr>
            <w:tcW w:w="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 w:type="dxa"/>
            <w:tcBorders/>
            <w:vAlign w:val="center"/>
          </w:tcPr>
          <w:p>
            <w:pPr>
              <w:pStyle w:val="TableContents"/>
              <w:bidi w:val="0"/>
              <w:spacing w:before="0" w:after="283"/>
              <w:ind w:left="0" w:right="0" w:hanging="0"/>
              <w:jc w:val="left"/>
              <w:rPr/>
            </w:pPr>
            <w:r>
              <w:rPr/>
            </w:r>
          </w:p>
        </w:tc>
        <w:tc>
          <w:tcPr>
            <w:tcW w:w="154" w:type="dxa"/>
            <w:tcBorders/>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bookmarkStart w:id="425" w:name="fs_ZPQFTNOCY800000000000000000000fs"/>
            <w:bookmarkEnd w:id="425"/>
            <w:r>
              <w:rPr>
                <w:rFonts w:ascii="Times New Roman;Times;serif" w:hAnsi="Times New Roman;Times;serif"/>
                <w:sz w:val="20"/>
              </w:rPr>
              <w:t>3,278</w:t>
            </w:r>
          </w:p>
        </w:tc>
        <w:tc>
          <w:tcPr>
            <w:tcW w:w="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8" w:type="dxa"/>
            <w:tcBorders/>
            <w:vAlign w:val="center"/>
          </w:tcPr>
          <w:p>
            <w:pPr>
              <w:pStyle w:val="TableContents"/>
              <w:bidi w:val="0"/>
              <w:spacing w:before="0" w:after="283"/>
              <w:ind w:left="0" w:right="0" w:hanging="0"/>
              <w:jc w:val="left"/>
              <w:rPr/>
            </w:pPr>
            <w:r>
              <w:rPr/>
            </w:r>
          </w:p>
        </w:tc>
        <w:tc>
          <w:tcPr>
            <w:tcW w:w="154" w:type="dxa"/>
            <w:tcBorders/>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bookmarkStart w:id="426" w:name="fs_66YU2NWQIO00000000000000000000fs"/>
            <w:bookmarkEnd w:id="426"/>
            <w:r>
              <w:rPr>
                <w:rFonts w:ascii="Times New Roman;Times;serif" w:hAnsi="Times New Roman;Times;serif"/>
                <w:sz w:val="20"/>
              </w:rPr>
              <w:t>2,086</w:t>
            </w:r>
          </w:p>
        </w:tc>
        <w:tc>
          <w:tcPr>
            <w:tcW w:w="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8" w:type="dxa"/>
            <w:tcBorders/>
            <w:vAlign w:val="center"/>
          </w:tcPr>
          <w:p>
            <w:pPr>
              <w:pStyle w:val="TableContents"/>
              <w:bidi w:val="0"/>
              <w:spacing w:before="0" w:after="283"/>
              <w:ind w:left="0" w:right="0" w:hanging="0"/>
              <w:jc w:val="left"/>
              <w:rPr/>
            </w:pPr>
            <w:r>
              <w:rPr/>
            </w:r>
          </w:p>
        </w:tc>
        <w:tc>
          <w:tcPr>
            <w:tcW w:w="110" w:type="dxa"/>
            <w:tcBorders/>
            <w:vAlign w:val="center"/>
          </w:tcPr>
          <w:p>
            <w:pPr>
              <w:pStyle w:val="TableContents"/>
              <w:bidi w:val="0"/>
              <w:spacing w:before="0" w:after="283"/>
              <w:ind w:left="0" w:right="0" w:hanging="0"/>
              <w:jc w:val="left"/>
              <w:rPr/>
            </w:pPr>
            <w:r>
              <w:rPr/>
            </w:r>
          </w:p>
        </w:tc>
        <w:tc>
          <w:tcPr>
            <w:tcW w:w="19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bookmarkStart w:id="427" w:name="fs_XZCESWZQ8G00000000000000000000fs"/>
            <w:bookmarkEnd w:id="427"/>
            <w:r>
              <w:rPr>
                <w:rFonts w:ascii="Times New Roman;Times;serif" w:hAnsi="Times New Roman;Times;serif"/>
                <w:sz w:val="20"/>
              </w:rPr>
              <w:t>57</w:t>
            </w:r>
          </w:p>
        </w:tc>
        <w:tc>
          <w:tcPr>
            <w:tcW w:w="9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widowControl/>
        <w:bidi w:val="0"/>
        <w:spacing w:before="0" w:after="0"/>
        <w:jc w:val="left"/>
        <w:rPr>
          <w:b w:val="false"/>
          <w:b w:val="false"/>
          <w:bCs w:val="false"/>
          <w:i w:val="false"/>
          <w:i w:val="false"/>
          <w:iCs w:val="false"/>
          <w:caps w:val="false"/>
          <w:smallCaps w:val="false"/>
          <w:color w:val="000000"/>
          <w:spacing w:val="0"/>
          <w:sz w:val="20"/>
          <w:szCs w:val="20"/>
        </w:rPr>
      </w:pPr>
      <w:r>
        <w:rPr>
          <w:b w:val="false"/>
          <w:bCs w:val="false"/>
          <w:i w:val="false"/>
          <w:iCs w:val="false"/>
          <w:caps w:val="false"/>
          <w:smallCaps w:val="false"/>
          <w:color w:val="000000"/>
          <w:spacing w:val="0"/>
          <w:sz w:val="20"/>
          <w:szCs w:val="20"/>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widowControl/>
        <w:bidi w:val="0"/>
        <w:spacing w:before="200" w:after="200"/>
        <w:ind w:left="0" w:right="0" w:hanging="0"/>
        <w:jc w:val="left"/>
        <w:rPr>
          <w:b/>
          <w:i/>
          <w:caps w:val="false"/>
          <w:smallCaps w:val="false"/>
          <w:color w:val="000000"/>
          <w:spacing w:val="0"/>
          <w:sz w:val="20"/>
        </w:rPr>
      </w:pPr>
      <w:r>
        <w:rPr>
          <w:b/>
          <w:i/>
          <w:caps w:val="false"/>
          <w:smallCaps w:val="false"/>
          <w:color w:val="000000"/>
          <w:spacing w:val="0"/>
          <w:sz w:val="20"/>
        </w:rPr>
        <w:t>Overview</w:t>
      </w:r>
    </w:p>
    <w:p>
      <w:pPr>
        <w:pStyle w:val="TextBody"/>
        <w:bidi w:val="0"/>
        <w:spacing w:lineRule="auto" w:line="288" w:before="0" w:after="0"/>
        <w:jc w:val="both"/>
        <w:rPr>
          <w:sz w:val="20"/>
        </w:rPr>
      </w:pPr>
      <w:r>
        <w:rPr>
          <w:sz w:val="20"/>
        </w:rPr>
        <w:t xml:space="preserve">Continuing operations in the periods presented primarily comprise corporate activities (public-company reporting, governance and compliance), warranty support for legacy products, and restructuring actions associated with the post-disposition profile. As expected, we recorded no product revenue in continuing operations for the </w:t>
      </w:r>
      <w:bookmarkStart w:id="428" w:name="fs_S9GZ5BQ4Y800000000000000000000fs"/>
      <w:bookmarkEnd w:id="428"/>
      <w:r>
        <w:rPr>
          <w:sz w:val="20"/>
        </w:rPr>
        <w:t xml:space="preserve">three and </w:t>
      </w:r>
      <w:bookmarkStart w:id="429" w:name="fs_2RSN6950JK00000000000000000000FM"/>
      <w:bookmarkEnd w:id="429"/>
      <w:r>
        <w:rPr>
          <w:sz w:val="20"/>
        </w:rPr>
        <w:t xml:space="preserve">nine months ended September 30, 2025 and </w:t>
      </w:r>
      <w:bookmarkStart w:id="430" w:name="fs_YIOH7OY0S000000000000000000000fs"/>
      <w:bookmarkEnd w:id="430"/>
      <w:r>
        <w:rPr>
          <w:sz w:val="20"/>
        </w:rPr>
        <w:t>2024.</w:t>
      </w:r>
    </w:p>
    <w:p>
      <w:pPr>
        <w:pStyle w:val="TextBody"/>
        <w:bidi w:val="0"/>
        <w:spacing w:lineRule="auto" w:line="288" w:before="200" w:after="200"/>
        <w:ind w:left="0" w:right="0" w:hanging="0"/>
        <w:jc w:val="left"/>
        <w:rPr>
          <w:b/>
          <w:i/>
          <w:sz w:val="20"/>
        </w:rPr>
      </w:pPr>
      <w:r>
        <w:rPr>
          <w:b/>
          <w:i/>
          <w:sz w:val="20"/>
        </w:rPr>
        <w:t>Costs of Goods Sold and Gross Profit (Loss)</w:t>
      </w:r>
    </w:p>
    <w:p>
      <w:pPr>
        <w:pStyle w:val="TextBody"/>
        <w:bidi w:val="0"/>
        <w:spacing w:lineRule="auto" w:line="288" w:before="0" w:after="0"/>
        <w:jc w:val="both"/>
        <w:rPr>
          <w:sz w:val="20"/>
        </w:rPr>
      </w:pPr>
      <w:r>
        <w:rPr>
          <w:sz w:val="20"/>
        </w:rPr>
        <w:t>Cost of goods sold in continuing operations reflects warranty-related parts and labor and immaterial service inventory usage. With no revenue in continuing operations for the periods presented, gross margin percentages are not meaningful; the period-over-period dollar changes reflect timing and volume of warranty claims and repairs.</w:t>
      </w:r>
    </w:p>
    <w:p>
      <w:pPr>
        <w:pStyle w:val="TextBody"/>
        <w:bidi w:val="0"/>
        <w:spacing w:lineRule="auto" w:line="288" w:before="200" w:after="200"/>
        <w:ind w:left="0" w:right="0" w:hanging="0"/>
        <w:jc w:val="left"/>
        <w:rPr>
          <w:b/>
          <w:i/>
          <w:sz w:val="20"/>
        </w:rPr>
      </w:pPr>
      <w:r>
        <w:rPr>
          <w:b/>
          <w:i/>
          <w:sz w:val="20"/>
        </w:rPr>
        <w:t>Operating Expenses</w:t>
      </w:r>
    </w:p>
    <w:p>
      <w:pPr>
        <w:pStyle w:val="TextBody"/>
        <w:bidi w:val="0"/>
        <w:spacing w:lineRule="auto" w:line="288" w:before="0" w:after="0"/>
        <w:ind w:left="0" w:right="0" w:hanging="0"/>
        <w:jc w:val="both"/>
        <w:rPr>
          <w:sz w:val="20"/>
        </w:rPr>
      </w:pPr>
      <w:r>
        <w:rPr>
          <w:b/>
          <w:sz w:val="20"/>
        </w:rPr>
        <w:t>General &amp; administrative (G&amp;A)</w:t>
      </w:r>
      <w:r>
        <w:rPr>
          <w:sz w:val="20"/>
        </w:rPr>
        <w:t xml:space="preserve"> - G&amp;A increased modestly in </w:t>
      </w:r>
      <w:bookmarkStart w:id="431" w:name="fs_WI1PTPGD8G00000000000000000000FM"/>
      <w:bookmarkEnd w:id="431"/>
      <w:r>
        <w:rPr>
          <w:sz w:val="20"/>
        </w:rPr>
        <w:t>Q3-</w:t>
      </w:r>
      <w:bookmarkStart w:id="432" w:name="fs_IHML15ZLHS00000000000000000000fs"/>
      <w:bookmarkEnd w:id="432"/>
      <w:r>
        <w:rPr>
          <w:sz w:val="20"/>
        </w:rPr>
        <w:t>2025 versus </w:t>
      </w:r>
      <w:bookmarkStart w:id="433" w:name="fs_15LU9IKEEO00000000000000000000FM"/>
      <w:bookmarkEnd w:id="433"/>
      <w:r>
        <w:rPr>
          <w:sz w:val="20"/>
        </w:rPr>
        <w:t>Q3-</w:t>
      </w:r>
      <w:bookmarkStart w:id="434" w:name="fs_3XH018VMF400000000000000000000fs"/>
      <w:bookmarkEnd w:id="434"/>
      <w:r>
        <w:rPr>
          <w:sz w:val="20"/>
        </w:rPr>
        <w:t>2024 and increased year-to-date, driven primarily by legal, advisory and regulatory fees associated with the strategic review and disposition process, audit and tax fees, D&amp;O insurance, and incremental US accounting headcount to meet compliance needs.</w:t>
      </w:r>
    </w:p>
    <w:p>
      <w:pPr>
        <w:pStyle w:val="TextBody"/>
        <w:bidi w:val="0"/>
        <w:spacing w:lineRule="auto" w:line="288" w:before="200" w:after="200"/>
        <w:ind w:left="0" w:right="0" w:hanging="0"/>
        <w:jc w:val="both"/>
        <w:rPr>
          <w:sz w:val="20"/>
        </w:rPr>
      </w:pPr>
      <w:r>
        <w:rPr>
          <w:b/>
          <w:sz w:val="20"/>
        </w:rPr>
        <w:t>Sales &amp; marketing (S&amp;M) and research &amp; development (R&amp;D)</w:t>
      </w:r>
      <w:r>
        <w:rPr>
          <w:sz w:val="20"/>
        </w:rPr>
        <w:t xml:space="preserve"> - Following classification of the product business as held for sale, S&amp;M and R&amp;D expenses in continuing operations were immaterial for the periods presented. To the extent severance or other exit costs were recognized in the quarter, such costs are reflected in the relevant operating expense caption in the period incurred.</w:t>
      </w:r>
    </w:p>
    <w:p>
      <w:pPr>
        <w:pStyle w:val="TextBody"/>
        <w:bidi w:val="0"/>
        <w:spacing w:lineRule="auto" w:line="288" w:before="0" w:after="0"/>
        <w:ind w:left="0" w:right="0" w:hanging="0"/>
        <w:jc w:val="both"/>
        <w:rPr>
          <w:sz w:val="20"/>
        </w:rPr>
      </w:pPr>
      <w:r>
        <w:rPr>
          <w:b/>
          <w:sz w:val="20"/>
        </w:rPr>
        <w:t>Restructuring/exit costs</w:t>
      </w:r>
      <w:r>
        <w:rPr>
          <w:sz w:val="20"/>
        </w:rPr>
        <w:t xml:space="preserve"> - To the extent actions met ASC </w:t>
      </w:r>
      <w:bookmarkStart w:id="435" w:name="fs_7XG28XSQJ400000000000000000000fs"/>
      <w:bookmarkEnd w:id="435"/>
      <w:r>
        <w:rPr>
          <w:sz w:val="20"/>
        </w:rPr>
        <w:t>420 recognition criteria, we recorded employee termination or contract termination costs; otherwise, such costs will be recognized when probable and reasonably estimable.</w:t>
      </w:r>
    </w:p>
    <w:p>
      <w:pPr>
        <w:pStyle w:val="TextBody"/>
        <w:bidi w:val="0"/>
        <w:spacing w:lineRule="auto" w:line="288"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bookmarkStart w:id="436" w:name="PageBreakNo24"/>
            <w:bookmarkEnd w:id="436"/>
            <w:r>
              <w:rPr>
                <w:sz w:val="20"/>
              </w:rPr>
              <w:t>24</w:t>
            </w:r>
          </w:p>
        </w:tc>
      </w:tr>
    </w:tbl>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0" w:after="0"/>
        <w:jc w:val="left"/>
        <w:rPr/>
      </w:pPr>
      <w:r>
        <w:rPr/>
      </w:r>
    </w:p>
    <w:p>
      <w:pPr>
        <w:pStyle w:val="TextBody"/>
        <w:bidi w:val="0"/>
        <w:spacing w:before="0" w:after="0"/>
        <w:jc w:val="left"/>
        <w:rPr/>
      </w:pPr>
      <w:hyperlink w:anchor="TOC">
        <w:r>
          <w:rPr>
            <w:rStyle w:val="InternetLink"/>
            <w:sz w:val="20"/>
          </w:rPr>
          <w:t>Table of Contents</w:t>
        </w:r>
      </w:hyperlink>
    </w:p>
    <w:p>
      <w:pPr>
        <w:pStyle w:val="TextBody"/>
        <w:bidi w:val="0"/>
        <w:spacing w:before="0" w:after="0"/>
        <w:ind w:left="0" w:right="0" w:hanging="0"/>
        <w:jc w:val="left"/>
        <w:rPr/>
      </w:pPr>
      <w:r>
        <w:rPr/>
      </w:r>
    </w:p>
    <w:p>
      <w:pPr>
        <w:pStyle w:val="TextBody"/>
        <w:bidi w:val="0"/>
        <w:spacing w:lineRule="auto" w:line="288" w:before="0" w:after="200"/>
        <w:ind w:left="0" w:right="0" w:hanging="0"/>
        <w:jc w:val="left"/>
        <w:rPr>
          <w:b/>
          <w:i/>
          <w:sz w:val="20"/>
        </w:rPr>
      </w:pPr>
      <w:r>
        <w:rPr>
          <w:b/>
          <w:i/>
          <w:sz w:val="20"/>
        </w:rPr>
        <w:t>Other income (expense), net</w:t>
      </w:r>
    </w:p>
    <w:p>
      <w:pPr>
        <w:pStyle w:val="TextBody"/>
        <w:bidi w:val="0"/>
        <w:spacing w:lineRule="auto" w:line="288" w:before="0" w:after="0"/>
        <w:jc w:val="both"/>
        <w:rPr>
          <w:sz w:val="20"/>
        </w:rPr>
      </w:pPr>
      <w:r>
        <w:rPr>
          <w:sz w:val="20"/>
        </w:rPr>
        <w:t>Other income (expense), net reflects interest income on cash equivalents, interest expense on the convertible note through its conversion on July 21, 2025, and immaterial gains/losses on asset disposals related to restructuring activities.</w:t>
      </w:r>
    </w:p>
    <w:p>
      <w:pPr>
        <w:pStyle w:val="TextBody"/>
        <w:bidi w:val="0"/>
        <w:spacing w:lineRule="auto" w:line="288" w:before="200" w:after="200"/>
        <w:ind w:left="0" w:right="0" w:hanging="0"/>
        <w:jc w:val="left"/>
        <w:rPr>
          <w:i/>
          <w:sz w:val="20"/>
        </w:rPr>
      </w:pPr>
      <w:r>
        <w:rPr>
          <w:b/>
          <w:i/>
          <w:sz w:val="20"/>
        </w:rPr>
        <w:t>Income taxes</w:t>
      </w:r>
      <w:r>
        <w:rPr>
          <w:i/>
          <w:sz w:val="20"/>
        </w:rPr>
        <w:t xml:space="preserve"> </w:t>
      </w:r>
    </w:p>
    <w:p>
      <w:pPr>
        <w:pStyle w:val="TextBody"/>
        <w:bidi w:val="0"/>
        <w:spacing w:lineRule="auto" w:line="288" w:before="0" w:after="0"/>
        <w:jc w:val="both"/>
        <w:rPr>
          <w:sz w:val="20"/>
        </w:rPr>
      </w:pPr>
      <w:r>
        <w:rPr>
          <w:sz w:val="20"/>
        </w:rPr>
        <w:t>We maintained a full valuation allowance against US federal and state deferred tax assets in both periods due to cumulative losses and uncertainty of realization. Accordingly, we did not recognize an income tax benefit for losses in continuing operations.</w:t>
      </w:r>
    </w:p>
    <w:p>
      <w:pPr>
        <w:pStyle w:val="TextBody"/>
        <w:bidi w:val="0"/>
        <w:spacing w:lineRule="auto" w:line="288" w:before="200" w:after="200"/>
        <w:ind w:left="0" w:right="0" w:hanging="0"/>
        <w:jc w:val="left"/>
        <w:rPr>
          <w:b/>
          <w:i/>
          <w:sz w:val="20"/>
        </w:rPr>
      </w:pPr>
      <w:r>
        <w:rPr>
          <w:b/>
          <w:i/>
          <w:sz w:val="20"/>
        </w:rPr>
        <w:t>Outlook</w:t>
      </w:r>
    </w:p>
    <w:p>
      <w:pPr>
        <w:pStyle w:val="TextBody"/>
        <w:bidi w:val="0"/>
        <w:spacing w:lineRule="auto" w:line="288" w:before="0" w:after="0"/>
        <w:jc w:val="both"/>
        <w:rPr>
          <w:sz w:val="20"/>
        </w:rPr>
      </w:pPr>
      <w:r>
        <w:rPr>
          <w:sz w:val="20"/>
        </w:rPr>
        <w:t>We expect continuing operations to consist mainly of warranty servicing and public-company costs while we monetize remaining assets, manage lease exits, and complete the Class A redemption mechanics. We will continue to evaluate warranty claims experience and service inventory levels and adjust estimates as appropriate.</w:t>
      </w:r>
    </w:p>
    <w:p>
      <w:pPr>
        <w:pStyle w:val="TextBody"/>
        <w:widowControl/>
        <w:bidi w:val="0"/>
        <w:spacing w:before="200" w:after="200"/>
        <w:ind w:left="0" w:right="0" w:hanging="0"/>
        <w:jc w:val="lef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LIQUIDITY AND CAPITAL RESOURCES</w:t>
      </w:r>
    </w:p>
    <w:p>
      <w:pPr>
        <w:pStyle w:val="TextBody"/>
        <w:widowControl/>
        <w:bidi w:val="0"/>
        <w:spacing w:before="0" w:after="0"/>
        <w:ind w:left="0" w:right="0" w:hanging="0"/>
        <w:jc w:val="left"/>
        <w:rPr>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As of </w:t>
      </w:r>
      <w:bookmarkStart w:id="437" w:name="fs_3WAWSJQBN400000000000000000000FM"/>
      <w:bookmarkEnd w:id="437"/>
      <w:r>
        <w:rPr>
          <w:rFonts w:ascii="Times New Roman" w:hAnsi="Times New Roman"/>
          <w:b w:val="false"/>
          <w:i w:val="false"/>
          <w:caps w:val="false"/>
          <w:smallCaps w:val="false"/>
          <w:color w:val="000000"/>
          <w:spacing w:val="0"/>
          <w:sz w:val="20"/>
        </w:rPr>
        <w:t>September 30, 2025, our cash and cash equivalents were approximately $</w:t>
      </w:r>
      <w:bookmarkStart w:id="438" w:name="fs_ET7CU1RTCG00000000000000000000fs"/>
      <w:bookmarkEnd w:id="438"/>
      <w:r>
        <w:rPr>
          <w:rFonts w:ascii="Times New Roman" w:hAnsi="Times New Roman"/>
          <w:b w:val="false"/>
          <w:i w:val="false"/>
          <w:caps w:val="false"/>
          <w:smallCaps w:val="false"/>
          <w:color w:val="000000"/>
          <w:spacing w:val="0"/>
          <w:sz w:val="20"/>
        </w:rPr>
        <w:t>0.8</w:t>
      </w:r>
      <w:r>
        <w:rPr>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million compared to $</w:t>
      </w:r>
      <w:bookmarkStart w:id="439" w:name="fs_4Y4GQ4ULWW00000000000000000000fs"/>
      <w:bookmarkEnd w:id="439"/>
      <w:r>
        <w:rPr>
          <w:rFonts w:ascii="Times New Roman" w:hAnsi="Times New Roman"/>
          <w:b w:val="false"/>
          <w:i w:val="false"/>
          <w:caps w:val="false"/>
          <w:smallCaps w:val="false"/>
          <w:color w:val="000000"/>
          <w:spacing w:val="0"/>
          <w:sz w:val="20"/>
        </w:rPr>
        <w:t>1.4</w:t>
      </w:r>
      <w:r>
        <w:rPr>
          <w:rFonts w:ascii="Times New Roman" w:hAnsi="Times New Roman"/>
          <w:b w:val="false"/>
          <w:i w:val="false"/>
          <w:caps w:val="false"/>
          <w:smallCaps w:val="false"/>
          <w:color w:val="000000"/>
          <w:spacing w:val="0"/>
          <w:sz w:val="20"/>
        </w:rPr>
        <w:t> million as of </w:t>
      </w:r>
      <w:bookmarkStart w:id="440" w:name="fs_QL6APJYZ4000000000000000000000FM"/>
      <w:bookmarkEnd w:id="440"/>
      <w:r>
        <w:rPr>
          <w:rFonts w:ascii="Times New Roman" w:hAnsi="Times New Roman"/>
          <w:b w:val="false"/>
          <w:i w:val="false"/>
          <w:caps w:val="false"/>
          <w:smallCaps w:val="false"/>
          <w:color w:val="000000"/>
          <w:spacing w:val="0"/>
          <w:sz w:val="20"/>
        </w:rPr>
        <w:t>December 31, 2024. Our working capital was $</w:t>
      </w:r>
      <w:bookmarkStart w:id="441" w:name="fs_7AEPN51UBK00000000000000000000FM"/>
      <w:bookmarkEnd w:id="441"/>
      <w:r>
        <w:rPr>
          <w:rFonts w:ascii="Times New Roman" w:hAnsi="Times New Roman"/>
          <w:b w:val="false"/>
          <w:i w:val="false"/>
          <w:caps w:val="false"/>
          <w:smallCaps w:val="false"/>
          <w:color w:val="000000"/>
          <w:spacing w:val="0"/>
          <w:sz w:val="20"/>
        </w:rPr>
        <w:t>4.8</w:t>
      </w:r>
      <w:r>
        <w:rPr>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million and $</w:t>
      </w:r>
      <w:bookmarkStart w:id="442" w:name="fs_Z7KSJ2941C00000000000000000000fs"/>
      <w:bookmarkEnd w:id="442"/>
      <w:r>
        <w:rPr>
          <w:rFonts w:ascii="Times New Roman" w:hAnsi="Times New Roman"/>
          <w:b w:val="false"/>
          <w:i w:val="false"/>
          <w:caps w:val="false"/>
          <w:smallCaps w:val="false"/>
          <w:color w:val="000000"/>
          <w:spacing w:val="0"/>
          <w:sz w:val="20"/>
        </w:rPr>
        <w:t>15.2</w:t>
      </w:r>
      <w:r>
        <w:rPr>
          <w:rFonts w:ascii="Times New Roman" w:hAnsi="Times New Roman"/>
          <w:b w:val="false"/>
          <w:i w:val="false"/>
          <w:caps w:val="false"/>
          <w:smallCaps w:val="false"/>
          <w:color w:val="000000"/>
          <w:spacing w:val="0"/>
          <w:sz w:val="20"/>
        </w:rPr>
        <w:t> million as of </w:t>
      </w:r>
      <w:bookmarkStart w:id="443" w:name="fs_1ALT360TK000000000000000000000FM"/>
      <w:bookmarkEnd w:id="443"/>
      <w:r>
        <w:rPr>
          <w:rFonts w:ascii="Times New Roman" w:hAnsi="Times New Roman"/>
          <w:b w:val="false"/>
          <w:i w:val="false"/>
          <w:caps w:val="false"/>
          <w:smallCaps w:val="false"/>
          <w:color w:val="000000"/>
          <w:spacing w:val="0"/>
          <w:sz w:val="20"/>
        </w:rPr>
        <w:t>September 30, 2025</w:t>
      </w:r>
      <w:r>
        <w:rPr>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and </w:t>
      </w:r>
      <w:bookmarkStart w:id="444" w:name="fs_FAMHFL6E2800000000000000000000FM"/>
      <w:bookmarkEnd w:id="444"/>
      <w:r>
        <w:rPr>
          <w:rFonts w:ascii="Times New Roman" w:hAnsi="Times New Roman"/>
          <w:b w:val="false"/>
          <w:i w:val="false"/>
          <w:caps w:val="false"/>
          <w:smallCaps w:val="false"/>
          <w:color w:val="000000"/>
          <w:spacing w:val="0"/>
          <w:sz w:val="20"/>
        </w:rPr>
        <w:t>December 31, 2024, respectively. </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both"/>
        <w:rPr>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Cash used in </w:t>
      </w:r>
      <w:r>
        <w:rPr>
          <w:b w:val="false"/>
          <w:i w:val="false"/>
          <w:caps w:val="false"/>
          <w:smallCaps w:val="false"/>
          <w:color w:val="000000"/>
          <w:spacing w:val="0"/>
          <w:sz w:val="20"/>
        </w:rPr>
        <w:t>opera</w:t>
      </w:r>
      <w:r>
        <w:rPr>
          <w:rFonts w:ascii="Times New Roman" w:hAnsi="Times New Roman"/>
          <w:b w:val="false"/>
          <w:i w:val="false"/>
          <w:caps w:val="false"/>
          <w:smallCaps w:val="false"/>
          <w:color w:val="000000"/>
          <w:spacing w:val="0"/>
          <w:sz w:val="20"/>
        </w:rPr>
        <w:t>ting activities was approximately ($</w:t>
      </w:r>
      <w:bookmarkStart w:id="445" w:name="fs_BHV6M46SOW00000000000000000000FM"/>
      <w:bookmarkEnd w:id="445"/>
      <w:r>
        <w:rPr>
          <w:rFonts w:ascii="Times New Roman" w:hAnsi="Times New Roman"/>
          <w:b w:val="false"/>
          <w:i w:val="false"/>
          <w:caps w:val="false"/>
          <w:smallCaps w:val="false"/>
          <w:color w:val="000000"/>
          <w:spacing w:val="0"/>
          <w:sz w:val="20"/>
        </w:rPr>
        <w:t>3.3) million in the </w:t>
      </w:r>
      <w:bookmarkStart w:id="446" w:name="fs_TTWRKG2COG00000000000000000000FM"/>
      <w:bookmarkEnd w:id="446"/>
      <w:r>
        <w:rPr>
          <w:rFonts w:ascii="Times New Roman" w:hAnsi="Times New Roman"/>
          <w:b w:val="false"/>
          <w:i w:val="false"/>
          <w:caps w:val="false"/>
          <w:smallCaps w:val="false"/>
          <w:color w:val="000000"/>
          <w:spacing w:val="0"/>
          <w:sz w:val="20"/>
        </w:rPr>
        <w:t>nine months ended September 30, 2025</w:t>
      </w:r>
      <w:r>
        <w:rPr>
          <w:rFonts w:ascii="Times New Roman" w:hAnsi="Times New Roman"/>
          <w:b w:val="false"/>
          <w:i w:val="false"/>
          <w:caps w:val="false"/>
          <w:smallCaps w:val="false"/>
          <w:color w:val="000000"/>
          <w:spacing w:val="0"/>
          <w:sz w:val="20"/>
        </w:rPr>
        <w:t>, an increase of approximately $</w:t>
      </w:r>
      <w:bookmarkStart w:id="447" w:name="fs_RUWHX06TY800000000000000000000FM"/>
      <w:bookmarkEnd w:id="447"/>
      <w:r>
        <w:rPr>
          <w:rFonts w:ascii="Times New Roman" w:hAnsi="Times New Roman"/>
          <w:b w:val="false"/>
          <w:i w:val="false"/>
          <w:caps w:val="false"/>
          <w:smallCaps w:val="false"/>
          <w:color w:val="000000"/>
          <w:spacing w:val="0"/>
          <w:sz w:val="20"/>
        </w:rPr>
        <w:t>1.2 million from ($</w:t>
      </w:r>
      <w:bookmarkStart w:id="448" w:name="fs_7IX2AVL3E800000000000000000000fs"/>
      <w:bookmarkEnd w:id="448"/>
      <w:r>
        <w:rPr>
          <w:rFonts w:ascii="Times New Roman" w:hAnsi="Times New Roman"/>
          <w:b w:val="false"/>
          <w:i w:val="false"/>
          <w:caps w:val="false"/>
          <w:smallCaps w:val="false"/>
          <w:color w:val="000000"/>
          <w:spacing w:val="0"/>
          <w:sz w:val="20"/>
        </w:rPr>
        <w:t>2.1</w:t>
      </w:r>
      <w:r>
        <w:rPr>
          <w:rFonts w:ascii="Times New Roman" w:hAnsi="Times New Roman"/>
          <w:b w:val="false"/>
          <w:i w:val="false"/>
          <w:caps w:val="false"/>
          <w:smallCaps w:val="false"/>
          <w:color w:val="000000"/>
          <w:spacing w:val="0"/>
          <w:sz w:val="20"/>
        </w:rPr>
        <w:t>) million of cash used in operating activities in the </w:t>
      </w:r>
      <w:bookmarkStart w:id="449" w:name="fs_IV7RZGUTJ400000000000000000000fs"/>
      <w:bookmarkEnd w:id="449"/>
      <w:r>
        <w:rPr>
          <w:rFonts w:ascii="Times New Roman" w:hAnsi="Times New Roman"/>
          <w:b w:val="false"/>
          <w:i w:val="false"/>
          <w:caps w:val="false"/>
          <w:smallCaps w:val="false"/>
          <w:color w:val="000000"/>
          <w:spacing w:val="0"/>
          <w:sz w:val="20"/>
        </w:rPr>
        <w:t>nine months ended September 30, 2024. </w:t>
      </w:r>
      <w:r>
        <w:rPr>
          <w:rFonts w:ascii="times new roman;times" w:hAnsi="times new roman;times"/>
          <w:b w:val="false"/>
          <w:i w:val="false"/>
          <w:caps w:val="false"/>
          <w:smallCaps w:val="false"/>
          <w:color w:val="000000"/>
          <w:spacing w:val="0"/>
          <w:sz w:val="20"/>
        </w:rPr>
        <w:t>The increase in cash used was primarily due to increased legal and transaction fees to complete a strategic transaction.</w:t>
      </w:r>
    </w:p>
    <w:p>
      <w:pPr>
        <w:pStyle w:val="TextBody"/>
        <w:widowControl/>
        <w:bidi w:val="0"/>
        <w:spacing w:before="0" w:after="0"/>
        <w:ind w:left="0" w:right="0" w:hanging="0"/>
        <w:jc w:val="left"/>
        <w:rPr/>
      </w:pPr>
      <w:r>
        <w:rPr/>
      </w:r>
    </w:p>
    <w:p>
      <w:pPr>
        <w:pStyle w:val="TextBody"/>
        <w:widowControl/>
        <w:bidi w:val="0"/>
        <w:spacing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Cash provided by (used in) investing activities was ($</w:t>
      </w:r>
      <w:bookmarkStart w:id="450" w:name="fs_393MAM9NSW00000000000000000000fs"/>
      <w:bookmarkEnd w:id="450"/>
      <w:r>
        <w:rPr>
          <w:rFonts w:ascii="times new roman;times" w:hAnsi="times new roman;times"/>
          <w:b w:val="false"/>
          <w:i w:val="false"/>
          <w:caps w:val="false"/>
          <w:smallCaps w:val="false"/>
          <w:color w:val="000000"/>
          <w:spacing w:val="0"/>
          <w:sz w:val="20"/>
        </w:rPr>
        <w:t xml:space="preserve">0.0) million for the </w:t>
      </w:r>
      <w:bookmarkStart w:id="451" w:name="fs_WNXMI3HCJK00000000000000000000FM"/>
      <w:bookmarkEnd w:id="451"/>
      <w:r>
        <w:rPr>
          <w:rFonts w:ascii="times new roman;times" w:hAnsi="times new roman;times"/>
          <w:b w:val="false"/>
          <w:i w:val="false"/>
          <w:caps w:val="false"/>
          <w:smallCaps w:val="false"/>
          <w:color w:val="000000"/>
          <w:spacing w:val="0"/>
          <w:sz w:val="20"/>
        </w:rPr>
        <w:t>nine months ended September 30, 2025, compared to $</w:t>
      </w:r>
      <w:bookmarkStart w:id="452" w:name="fs_13G9XUXX2800000000000000000000fs"/>
      <w:bookmarkEnd w:id="452"/>
      <w:r>
        <w:rPr>
          <w:rFonts w:ascii="times new roman;times" w:hAnsi="times new roman;times"/>
          <w:b w:val="false"/>
          <w:i w:val="false"/>
          <w:caps w:val="false"/>
          <w:smallCaps w:val="false"/>
          <w:color w:val="000000"/>
          <w:spacing w:val="0"/>
          <w:sz w:val="20"/>
        </w:rPr>
        <w:t xml:space="preserve">2.9 million for the </w:t>
      </w:r>
      <w:bookmarkStart w:id="453" w:name="fs_20TS0XUYO000000000000000000000FM"/>
      <w:bookmarkEnd w:id="453"/>
      <w:r>
        <w:rPr>
          <w:rFonts w:ascii="times new roman;times" w:hAnsi="times new roman;times"/>
          <w:b w:val="false"/>
          <w:i w:val="false"/>
          <w:caps w:val="false"/>
          <w:smallCaps w:val="false"/>
          <w:color w:val="000000"/>
          <w:spacing w:val="0"/>
          <w:sz w:val="20"/>
        </w:rPr>
        <w:t xml:space="preserve">nine months ended September 30, 2024. The decrease in cash provided by investing activities for the comparative period primarily reflects the liquidation of the Company’s investment portfolio during </w:t>
      </w:r>
      <w:bookmarkStart w:id="454" w:name="fs_O89R1MA5Z400000000000000000000fs"/>
      <w:bookmarkEnd w:id="454"/>
      <w:r>
        <w:rPr>
          <w:rFonts w:ascii="times new roman;times" w:hAnsi="times new roman;times"/>
          <w:b w:val="false"/>
          <w:i w:val="false"/>
          <w:caps w:val="false"/>
          <w:smallCaps w:val="false"/>
          <w:color w:val="000000"/>
          <w:spacing w:val="0"/>
          <w:sz w:val="20"/>
        </w:rPr>
        <w:t>2024, which generated $3.</w:t>
      </w:r>
      <w:r>
        <w:rPr>
          <w:rFonts w:ascii="times new roman;times" w:hAnsi="times new roman;times"/>
          <w:b w:val="false"/>
          <w:i w:val="false"/>
          <w:caps w:val="false"/>
          <w:smallCaps w:val="false"/>
          <w:color w:val="000000"/>
          <w:spacing w:val="0"/>
          <w:sz w:val="20"/>
        </w:rPr>
        <w:t>2</w:t>
      </w:r>
      <w:r>
        <w:rPr>
          <w:rFonts w:ascii="times new roman;times" w:hAnsi="times new roman;times"/>
          <w:b w:val="false"/>
          <w:i w:val="false"/>
          <w:caps w:val="false"/>
          <w:smallCaps w:val="false"/>
          <w:color w:val="000000"/>
          <w:spacing w:val="0"/>
          <w:sz w:val="20"/>
        </w:rPr>
        <w:t> million of proceeds in the prior year, less amounts paid for property, plant, equipment and software.</w:t>
      </w:r>
    </w:p>
    <w:p>
      <w:pPr>
        <w:pStyle w:val="TextBody"/>
        <w:widowControl/>
        <w:bidi w:val="0"/>
        <w:spacing w:before="0" w:after="0"/>
        <w:ind w:left="0" w:right="0" w:hanging="0"/>
        <w:jc w:val="left"/>
        <w:rPr/>
      </w:pPr>
      <w:r>
        <w:rPr/>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Cash provided by financing activities in the </w:t>
      </w:r>
      <w:bookmarkStart w:id="455" w:name="fs_U1LBDKGADS00000000000000000000FM"/>
      <w:bookmarkEnd w:id="455"/>
      <w:r>
        <w:rPr>
          <w:rFonts w:ascii="times new roman;times" w:hAnsi="times new roman;times"/>
          <w:b w:val="false"/>
          <w:i w:val="false"/>
          <w:caps w:val="false"/>
          <w:smallCaps w:val="false"/>
          <w:color w:val="000000"/>
          <w:spacing w:val="0"/>
          <w:sz w:val="20"/>
        </w:rPr>
        <w:t>nine months ended September 30, 2025</w:t>
      </w:r>
      <w:r>
        <w:rPr>
          <w:rFonts w:ascii="times new roman;times" w:hAnsi="times new roman;times"/>
          <w:b w:val="false"/>
          <w:i w:val="false"/>
          <w:caps w:val="false"/>
          <w:smallCaps w:val="false"/>
          <w:color w:val="000000"/>
          <w:spacing w:val="0"/>
          <w:sz w:val="20"/>
        </w:rPr>
        <w:t> was $</w:t>
      </w:r>
      <w:bookmarkStart w:id="456" w:name="fs_77M4GUSGVK00000000000000000000FM"/>
      <w:bookmarkEnd w:id="456"/>
      <w:r>
        <w:rPr>
          <w:rFonts w:ascii="times new roman;times" w:hAnsi="times new roman;times"/>
          <w:b w:val="false"/>
          <w:i w:val="false"/>
          <w:caps w:val="false"/>
          <w:smallCaps w:val="false"/>
          <w:color w:val="000000"/>
          <w:spacing w:val="0"/>
          <w:sz w:val="20"/>
        </w:rPr>
        <w:t>4.0</w:t>
      </w:r>
      <w:r>
        <w:rPr>
          <w:rFonts w:ascii="times new roman;times" w:hAnsi="times new roman;times"/>
          <w:b w:val="false"/>
          <w:i w:val="false"/>
          <w:caps w:val="false"/>
          <w:smallCaps w:val="false"/>
          <w:color w:val="000000"/>
          <w:spacing w:val="0"/>
          <w:sz w:val="20"/>
        </w:rPr>
        <w:t> million compared to ($</w:t>
      </w:r>
      <w:bookmarkStart w:id="457" w:name="fs_RR3I5KFNW000000000000000000000fs"/>
      <w:bookmarkEnd w:id="457"/>
      <w:r>
        <w:rPr>
          <w:rFonts w:ascii="times new roman;times" w:hAnsi="times new roman;times"/>
          <w:b w:val="false"/>
          <w:i w:val="false"/>
          <w:caps w:val="false"/>
          <w:smallCaps w:val="false"/>
          <w:color w:val="000000"/>
          <w:spacing w:val="0"/>
          <w:sz w:val="20"/>
        </w:rPr>
        <w:t>14.5</w:t>
      </w:r>
      <w:r>
        <w:rPr>
          <w:rFonts w:ascii="times new roman;times" w:hAnsi="times new roman;times"/>
          <w:b w:val="false"/>
          <w:i w:val="false"/>
          <w:caps w:val="false"/>
          <w:smallCaps w:val="false"/>
          <w:color w:val="000000"/>
          <w:spacing w:val="0"/>
          <w:sz w:val="20"/>
        </w:rPr>
        <w:t>) million of cash used by financing activities in the </w:t>
      </w:r>
      <w:bookmarkStart w:id="458" w:name="fs_KLTHDXL2EO00000000000000000000FM"/>
      <w:bookmarkEnd w:id="458"/>
      <w:r>
        <w:rPr>
          <w:rFonts w:ascii="times new roman;times" w:hAnsi="times new roman;times"/>
          <w:b w:val="false"/>
          <w:i w:val="false"/>
          <w:caps w:val="false"/>
          <w:smallCaps w:val="false"/>
          <w:color w:val="000000"/>
          <w:spacing w:val="0"/>
          <w:sz w:val="20"/>
        </w:rPr>
        <w:t>nine months ended September 30, 2024. The </w:t>
      </w:r>
      <w:bookmarkStart w:id="459" w:name="fs_9G4BGRLBSW00000000000000000000fs"/>
      <w:bookmarkEnd w:id="459"/>
      <w:r>
        <w:rPr>
          <w:rFonts w:ascii="times new roman;times" w:hAnsi="times new roman;times"/>
          <w:b w:val="false"/>
          <w:i w:val="false"/>
          <w:caps w:val="false"/>
          <w:smallCaps w:val="false"/>
          <w:color w:val="000000"/>
          <w:spacing w:val="0"/>
          <w:sz w:val="20"/>
        </w:rPr>
        <w:t>2025</w:t>
      </w:r>
      <w:r>
        <w:rPr>
          <w:rFonts w:ascii="times new roman;times" w:hAnsi="times new roman;times"/>
          <w:b w:val="false"/>
          <w:i w:val="false"/>
          <w:caps w:val="false"/>
          <w:smallCaps w:val="false"/>
          <w:color w:val="000000"/>
          <w:spacing w:val="0"/>
          <w:sz w:val="20"/>
        </w:rPr>
        <w:t xml:space="preserve"> amount was comprised primarily of a stock sale and the sale of a convertible note, as discussed in Note(s) </w:t>
      </w:r>
      <w:bookmarkStart w:id="460" w:name="fs_PUNZR8KSKW00000000000000000000fs"/>
      <w:bookmarkEnd w:id="460"/>
      <w:r>
        <w:rPr>
          <w:rFonts w:ascii="times new roman;times" w:hAnsi="times new roman;times"/>
          <w:b w:val="false"/>
          <w:i w:val="false"/>
          <w:caps w:val="false"/>
          <w:smallCaps w:val="false"/>
          <w:color w:val="000000"/>
          <w:spacing w:val="0"/>
          <w:sz w:val="20"/>
        </w:rPr>
        <w:t xml:space="preserve">1, </w:t>
      </w:r>
      <w:bookmarkStart w:id="461" w:name="fs_3FSG6AWIPC00000000000000000000fs"/>
      <w:bookmarkEnd w:id="461"/>
      <w:r>
        <w:rPr>
          <w:rFonts w:ascii="times new roman;times" w:hAnsi="times new roman;times"/>
          <w:b w:val="false"/>
          <w:i w:val="false"/>
          <w:caps w:val="false"/>
          <w:smallCaps w:val="false"/>
          <w:color w:val="000000"/>
          <w:spacing w:val="0"/>
          <w:sz w:val="20"/>
        </w:rPr>
        <w:t xml:space="preserve">3, </w:t>
      </w:r>
      <w:bookmarkStart w:id="462" w:name="fs_5BSNJ210LC00000000000000000000fs"/>
      <w:bookmarkEnd w:id="462"/>
      <w:r>
        <w:rPr>
          <w:rFonts w:ascii="times new roman;times" w:hAnsi="times new roman;times"/>
          <w:b w:val="false"/>
          <w:i w:val="false"/>
          <w:caps w:val="false"/>
          <w:smallCaps w:val="false"/>
          <w:color w:val="000000"/>
          <w:spacing w:val="0"/>
          <w:sz w:val="20"/>
        </w:rPr>
        <w:t xml:space="preserve">4, </w:t>
      </w:r>
      <w:bookmarkStart w:id="463" w:name="fs_Z9JHFFO0JK00000000000000000000fs"/>
      <w:bookmarkEnd w:id="463"/>
      <w:r>
        <w:rPr>
          <w:rFonts w:ascii="times new roman;times" w:hAnsi="times new roman;times"/>
          <w:b w:val="false"/>
          <w:i w:val="false"/>
          <w:caps w:val="false"/>
          <w:smallCaps w:val="false"/>
          <w:color w:val="000000"/>
          <w:spacing w:val="0"/>
          <w:sz w:val="20"/>
        </w:rPr>
        <w:t xml:space="preserve">11 and </w:t>
      </w:r>
      <w:bookmarkStart w:id="464" w:name="fs_CEEZC7KFCW00000000000000000000fs"/>
      <w:bookmarkEnd w:id="464"/>
      <w:r>
        <w:rPr>
          <w:rFonts w:ascii="times new roman;times" w:hAnsi="times new roman;times"/>
          <w:b w:val="false"/>
          <w:i w:val="false"/>
          <w:caps w:val="false"/>
          <w:smallCaps w:val="false"/>
          <w:color w:val="000000"/>
          <w:spacing w:val="0"/>
          <w:sz w:val="20"/>
        </w:rPr>
        <w:t>12 above, and our discussion in the following paragraphs.</w:t>
      </w:r>
    </w:p>
    <w:p>
      <w:pPr>
        <w:pStyle w:val="TextBody"/>
        <w:widowControl/>
        <w:bidi w:val="0"/>
        <w:spacing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In September 2025, the Company’s Board of Directors approved a plan (the “Strategic Plan”) to seek the sale of a significant portion of the Company’s operating assets related to its product business, reduce the Company’s continuing operations to warranty and product support, and position the Company as a reverse merger vehicle for a possible strategic transaction (a “Strategic Transaction”). Accordingly, as of </w:t>
      </w:r>
      <w:bookmarkStart w:id="465" w:name="fs_9CMN5SJAGW00000000000000000000FM"/>
      <w:bookmarkEnd w:id="465"/>
      <w:r>
        <w:rPr>
          <w:rFonts w:ascii="times new roman;times" w:hAnsi="times new roman;times"/>
          <w:sz w:val="20"/>
        </w:rPr>
        <w:t xml:space="preserve">September 30, 2025, the Company classified the related disposal group of assets as held for sale, measured at the lower of carrying amount or fair value less costs to sell. After quarter-end, on October 24, 2025, the Company closed the sale of certain inventory and intellectual property for cash consideration (see Subsequent Events). Pursuant to the terms of the Class A Redeemable Preferred Stock issued in July 2025, net proceeds from a qualifying asset sale are payable to Class A holders upon redemption (see Note </w:t>
      </w:r>
      <w:bookmarkStart w:id="466" w:name="fs_3HAQCUJ30G00000000000000000000fs"/>
      <w:bookmarkEnd w:id="466"/>
      <w:r>
        <w:rPr>
          <w:rFonts w:ascii="times new roman;times" w:hAnsi="times new roman;times"/>
          <w:sz w:val="20"/>
        </w:rPr>
        <w:t>3 — Class A Redeemable Preferred (Temporary Equity)). As a result, the asset-sale proceeds will not be available to fund ongoing operations other than for permitted transaction costs and restructuring activities.</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These conditions, including (i) historical operating losses and negative operating cash flows, (ii) limited liquidity at </w:t>
      </w:r>
      <w:bookmarkStart w:id="467" w:name="fs_IKDF4GX3LC00000000000000000000FM"/>
      <w:bookmarkEnd w:id="467"/>
      <w:r>
        <w:rPr>
          <w:rFonts w:ascii="times new roman;times" w:hAnsi="times new roman;times"/>
          <w:sz w:val="20"/>
        </w:rPr>
        <w:t xml:space="preserve">September 30, 2025, (iii) the requirement to redeem Class A from asset-sale net proceeds, and (iv) the Company’s go-forward profile consisting primarily of warranty support, public-company compliance, and restructuring activities, raise substantial doubt about the Company’s ability to continue as a going concern within </w:t>
      </w:r>
      <w:bookmarkStart w:id="468" w:name="fs_U06YH62MK000000000000000000000fs"/>
      <w:bookmarkEnd w:id="468"/>
      <w:r>
        <w:rPr>
          <w:rFonts w:ascii="times new roman;times" w:hAnsi="times new roman;times"/>
          <w:sz w:val="20"/>
        </w:rPr>
        <w:t xml:space="preserve">one year after the issuance of these financial statements. </w:t>
      </w:r>
    </w:p>
    <w:p>
      <w:pPr>
        <w:pStyle w:val="TextBody"/>
        <w:bidi w:val="0"/>
        <w:spacing w:lineRule="auto" w:line="288" w:before="0" w:after="0"/>
        <w:ind w:left="0" w:right="0" w:hanging="0"/>
        <w:jc w:val="both"/>
        <w:rPr/>
      </w:pPr>
      <w:r>
        <w:rPr/>
      </w:r>
    </w:p>
    <w:p>
      <w:pPr>
        <w:pStyle w:val="TextBody"/>
        <w:widowControl/>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Management is (a) executing a structured </w:t>
      </w:r>
      <w:r>
        <w:rPr>
          <w:rFonts w:ascii="times new roman;times" w:hAnsi="times new roman;times"/>
          <w:b w:val="false"/>
          <w:i w:val="false"/>
          <w:caps w:val="false"/>
          <w:smallCaps w:val="false"/>
          <w:color w:val="000000"/>
          <w:spacing w:val="0"/>
          <w:sz w:val="20"/>
        </w:rPr>
        <w:t>restructuring</w:t>
      </w:r>
      <w:r>
        <w:rPr>
          <w:rFonts w:ascii="times new roman;times" w:hAnsi="times new roman;times"/>
          <w:sz w:val="20"/>
        </w:rPr>
        <w:t xml:space="preserve">, including monetization of residual assets not included in the sale (e.g., fixed assets, leaseholds) and collection of accounts receivable and prepaids; (b) maintaining a lean corporate infrastructure to satisfy reporting and governance requirements; (c) administering warranty obligations with a small service inventory and technical support team; (d) managing and, where feasible, terminating or assigning facility leases to reduce ongoing cash burn; (e) completing the Class A redemption in accordance with its terms; and (f) evaluating additional financing or strategic alternatives as necessary to satisfy obligations as they come due. There can be no assurance these plans will be successful, timely, or sufficient to alleviate the conditions raising substantial doubt. </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Accordingly, management has concluded that substantial doubt exists about the Company’s ability to continue as a going concern for the </w:t>
      </w:r>
      <w:bookmarkStart w:id="469" w:name="fs_TJ97OVJAIO00000000000000000000fs"/>
      <w:bookmarkEnd w:id="469"/>
      <w:r>
        <w:rPr>
          <w:rFonts w:ascii="times new roman;times" w:hAnsi="times new roman;times"/>
          <w:sz w:val="20"/>
        </w:rPr>
        <w:t xml:space="preserve">twelve-month period following the issuance of these unaudited condensed consolidated financial statements. The financial statements do not include any adjustments to the carrying amounts and classification of assets and liabilities that might result if the Company were unable to continue as a going concern. </w:t>
      </w:r>
    </w:p>
    <w:p>
      <w:pPr>
        <w:pStyle w:val="TextBody"/>
        <w:bidi w:val="0"/>
        <w:spacing w:lineRule="auto" w:line="288" w:before="0" w:after="0"/>
        <w:ind w:left="0" w:right="0" w:hanging="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bookmarkStart w:id="470" w:name="PageBreakNo25"/>
            <w:bookmarkEnd w:id="470"/>
            <w:r>
              <w:rPr>
                <w:sz w:val="20"/>
              </w:rPr>
              <w:t>25</w:t>
            </w:r>
          </w:p>
        </w:tc>
      </w:tr>
    </w:tbl>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0" w:after="0"/>
        <w:jc w:val="left"/>
        <w:rPr/>
      </w:pPr>
      <w:r>
        <w:rPr/>
      </w:r>
    </w:p>
    <w:p>
      <w:pPr>
        <w:pStyle w:val="TextBody"/>
        <w:bidi w:val="0"/>
        <w:spacing w:before="0" w:after="0"/>
        <w:jc w:val="left"/>
        <w:rPr/>
      </w:pPr>
      <w:hyperlink w:anchor="TOC">
        <w:r>
          <w:rPr>
            <w:rStyle w:val="InternetLink"/>
            <w:sz w:val="20"/>
          </w:rPr>
          <w:t>Table of Contents</w:t>
        </w:r>
      </w:hyperlink>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In furtherance of the Asset Sale pursuit, the Company completed a </w:t>
      </w:r>
      <w:bookmarkStart w:id="471" w:name="fs_REKJDQ7EWW00000000000000000000fs"/>
      <w:bookmarkEnd w:id="471"/>
      <w:r>
        <w:rPr>
          <w:rFonts w:ascii="times new roman;times" w:hAnsi="times new roman;times"/>
          <w:sz w:val="20"/>
        </w:rPr>
        <w:t xml:space="preserve">one-time special stock dividend of Class A Redeemable Preferred Stock, payable July 18, 2025 to holders of record of our common stock on July 11, 2025, which entitles holders of the Class A Redeemable Preferred Stock to </w:t>
      </w:r>
      <w:bookmarkStart w:id="472" w:name="fs_7GM24JAG5S00000000000000000000fs"/>
      <w:bookmarkEnd w:id="472"/>
      <w:r>
        <w:rPr>
          <w:rFonts w:ascii="times new roman;times" w:hAnsi="times new roman;times"/>
          <w:sz w:val="20"/>
        </w:rPr>
        <w:t>100% of net proceeds from any Asset Sale upon redemption. This structure aligns stockholder interests with the strategic process but depends on the successful completion of the Asset Sale for value realization.</w:t>
      </w:r>
    </w:p>
    <w:p>
      <w:pPr>
        <w:pStyle w:val="TextBody"/>
        <w:bidi w:val="0"/>
        <w:spacing w:lineRule="auto" w:line="288" w:before="200" w:after="0"/>
        <w:ind w:left="0" w:right="0" w:hanging="0"/>
        <w:jc w:val="both"/>
        <w:rPr>
          <w:rFonts w:ascii="times new roman;times" w:hAnsi="times new roman;times"/>
          <w:sz w:val="20"/>
        </w:rPr>
      </w:pPr>
      <w:r>
        <w:rPr>
          <w:rFonts w:ascii="times new roman;times" w:hAnsi="times new roman;times"/>
          <w:sz w:val="20"/>
        </w:rPr>
        <w:t xml:space="preserve">As of </w:t>
      </w:r>
      <w:bookmarkStart w:id="473" w:name="fs_TJPUXIL9HS00000000000000000000FM"/>
      <w:bookmarkEnd w:id="473"/>
      <w:r>
        <w:rPr>
          <w:rFonts w:ascii="times new roman;times" w:hAnsi="times new roman;times"/>
          <w:sz w:val="20"/>
        </w:rPr>
        <w:t xml:space="preserve">September 30, 2025, First Finance Ltd. beneficially owned approximately </w:t>
      </w:r>
      <w:bookmarkStart w:id="474" w:name="fs_4L2EOQ6AZK00000000000000000000fs"/>
      <w:bookmarkEnd w:id="474"/>
      <w:r>
        <w:rPr>
          <w:rFonts w:ascii="times new roman;times" w:hAnsi="times new roman;times"/>
          <w:sz w:val="20"/>
        </w:rPr>
        <w:t xml:space="preserve">32.4% of our common stock on an as-converted basis and has the right to nominate </w:t>
      </w:r>
      <w:bookmarkStart w:id="475" w:name="fs_785DSMPOU800000000000000000000fs"/>
      <w:bookmarkEnd w:id="475"/>
      <w:r>
        <w:rPr>
          <w:rFonts w:ascii="times new roman;times" w:hAnsi="times new roman;times"/>
          <w:sz w:val="20"/>
        </w:rPr>
        <w:t>two directors to our Board. This concentration may influence strategic decisions, including the ongoing restructuring and possible Strategic Transactions, and could affect our ability to attract alternative financing or partners.</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As of </w:t>
      </w:r>
      <w:bookmarkStart w:id="476" w:name="fs_N4YTH1Z2VK00000000000000000000FM"/>
      <w:bookmarkEnd w:id="476"/>
      <w:r>
        <w:rPr>
          <w:rFonts w:ascii="times new roman;times" w:hAnsi="times new roman;times"/>
          <w:sz w:val="20"/>
        </w:rPr>
        <w:t xml:space="preserve">September 30, 2025, we had no open purchase orders. </w:t>
      </w:r>
    </w:p>
    <w:p>
      <w:pPr>
        <w:pStyle w:val="TextBody"/>
        <w:widowControl/>
        <w:bidi w:val="0"/>
        <w:spacing w:before="0" w:after="0"/>
        <w:ind w:left="0" w:right="0" w:hanging="0"/>
        <w:jc w:val="left"/>
        <w:rPr/>
      </w:pPr>
      <w:r>
        <w:rPr/>
      </w:r>
    </w:p>
    <w:p>
      <w:pPr>
        <w:pStyle w:val="TextBody"/>
        <w:widowControl/>
        <w:bidi w:val="0"/>
        <w:spacing w:before="0" w:after="0"/>
        <w:ind w:left="0" w:right="0" w:hanging="0"/>
        <w:jc w:val="left"/>
        <w:rPr>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As of </w:t>
      </w:r>
      <w:bookmarkStart w:id="477" w:name="fs_A094FJIQFK00000000000000000000FM"/>
      <w:bookmarkEnd w:id="477"/>
      <w:r>
        <w:rPr>
          <w:rFonts w:ascii="Times New Roman" w:hAnsi="Times New Roman"/>
          <w:b w:val="false"/>
          <w:i w:val="false"/>
          <w:caps w:val="false"/>
          <w:smallCaps w:val="false"/>
          <w:color w:val="000000"/>
          <w:spacing w:val="0"/>
          <w:sz w:val="20"/>
        </w:rPr>
        <w:t>September 30, 2025</w:t>
      </w:r>
      <w:r>
        <w:rPr>
          <w:rFonts w:ascii="Times New Roman" w:hAnsi="Times New Roman"/>
          <w:b w:val="false"/>
          <w:i w:val="false"/>
          <w:caps w:val="false"/>
          <w:smallCaps w:val="false"/>
          <w:color w:val="000000"/>
          <w:spacing w:val="0"/>
          <w:sz w:val="20"/>
        </w:rPr>
        <w:t>, we had inventory totaling $</w:t>
      </w:r>
      <w:bookmarkStart w:id="478" w:name="fs_ABE6UJUT4W00000000000000000000FM"/>
      <w:bookmarkEnd w:id="478"/>
      <w:r>
        <w:rPr>
          <w:rFonts w:ascii="Times New Roman" w:hAnsi="Times New Roman"/>
          <w:b w:val="false"/>
          <w:i w:val="false"/>
          <w:caps w:val="false"/>
          <w:smallCaps w:val="false"/>
          <w:color w:val="000000"/>
          <w:spacing w:val="0"/>
          <w:sz w:val="20"/>
        </w:rPr>
        <w:t>0.4</w:t>
      </w:r>
      <w:r>
        <w:rPr>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million, of which non-current inventory accounted for $</w:t>
      </w:r>
      <w:bookmarkStart w:id="479" w:name="fs_CA804M78HC00000000000000000000FM"/>
      <w:bookmarkEnd w:id="479"/>
      <w:r>
        <w:rPr>
          <w:rFonts w:ascii="Times New Roman" w:hAnsi="Times New Roman"/>
          <w:b w:val="false"/>
          <w:i w:val="false"/>
          <w:caps w:val="false"/>
          <w:smallCaps w:val="false"/>
          <w:color w:val="000000"/>
          <w:spacing w:val="0"/>
          <w:sz w:val="20"/>
        </w:rPr>
        <w:t>0.0</w:t>
      </w:r>
      <w:r>
        <w:rPr>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million. This compares to total inventories of $</w:t>
      </w:r>
      <w:bookmarkStart w:id="480" w:name="fs_K8L0WCGKOW00000000000000000000FM"/>
      <w:bookmarkEnd w:id="480"/>
      <w:r>
        <w:rPr>
          <w:rFonts w:ascii="Times New Roman" w:hAnsi="Times New Roman"/>
          <w:b w:val="false"/>
          <w:i w:val="false"/>
          <w:caps w:val="false"/>
          <w:smallCaps w:val="false"/>
          <w:color w:val="000000"/>
          <w:spacing w:val="0"/>
          <w:sz w:val="20"/>
        </w:rPr>
        <w:t>0.4</w:t>
      </w:r>
      <w:r>
        <w:rPr>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million, which includes non-current inventory of $</w:t>
      </w:r>
      <w:bookmarkStart w:id="481" w:name="fs_NCCGV80QS000000000000000000000FM"/>
      <w:bookmarkEnd w:id="481"/>
      <w:r>
        <w:rPr>
          <w:rFonts w:ascii="Times New Roman" w:hAnsi="Times New Roman"/>
          <w:b w:val="false"/>
          <w:i w:val="false"/>
          <w:caps w:val="false"/>
          <w:smallCaps w:val="false"/>
          <w:color w:val="000000"/>
          <w:spacing w:val="0"/>
          <w:sz w:val="20"/>
        </w:rPr>
        <w:t>0.0</w:t>
      </w:r>
      <w:r>
        <w:rPr>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million as of </w:t>
      </w:r>
      <w:bookmarkStart w:id="482" w:name="fs_BMO5W823B400000000000000000000FM"/>
      <w:bookmarkEnd w:id="482"/>
      <w:r>
        <w:rPr>
          <w:rFonts w:ascii="Times New Roman" w:hAnsi="Times New Roman"/>
          <w:b w:val="false"/>
          <w:i w:val="false"/>
          <w:caps w:val="false"/>
          <w:smallCaps w:val="false"/>
          <w:color w:val="000000"/>
          <w:spacing w:val="0"/>
          <w:sz w:val="20"/>
        </w:rPr>
        <w:t>December 31, 2024</w:t>
      </w:r>
      <w:r>
        <w:rPr>
          <w:rFonts w:ascii="Times New Roman" w:hAnsi="Times New Roman"/>
          <w:b w:val="false"/>
          <w:i w:val="false"/>
          <w:caps w:val="false"/>
          <w:smallCaps w:val="false"/>
          <w:color w:val="000000"/>
          <w:spacing w:val="0"/>
          <w:sz w:val="20"/>
        </w:rPr>
        <w:t>.</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left"/>
        <w:rPr>
          <w:rFonts w:ascii="Times New Roman;serif" w:hAnsi="Times New Roman;serif"/>
          <w:b/>
          <w:i w:val="false"/>
          <w:caps w:val="false"/>
          <w:smallCaps w:val="false"/>
          <w:color w:val="000000"/>
          <w:spacing w:val="0"/>
          <w:sz w:val="20"/>
        </w:rPr>
      </w:pPr>
      <w:r>
        <w:rPr>
          <w:rFonts w:ascii="Times New Roman;serif" w:hAnsi="Times New Roman;serif"/>
          <w:b/>
          <w:i w:val="false"/>
          <w:caps w:val="false"/>
          <w:smallCaps w:val="false"/>
          <w:color w:val="000000"/>
          <w:spacing w:val="0"/>
          <w:sz w:val="20"/>
        </w:rPr>
        <w:t>Contractual Obligations and Commitments</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left"/>
        <w:rPr>
          <w:b w:val="false"/>
          <w:i w:val="false"/>
          <w:caps w:val="false"/>
          <w:smallCaps w:val="false"/>
          <w:color w:val="212529"/>
          <w:spacing w:val="0"/>
          <w:sz w:val="20"/>
        </w:rPr>
      </w:pPr>
      <w:r>
        <w:rPr>
          <w:b w:val="false"/>
          <w:i w:val="false"/>
          <w:caps w:val="false"/>
          <w:smallCaps w:val="false"/>
          <w:color w:val="212529"/>
          <w:spacing w:val="0"/>
          <w:sz w:val="20"/>
        </w:rPr>
        <w:t>The following table summarizes our contractual obligations as of </w:t>
      </w:r>
      <w:bookmarkStart w:id="483" w:name="fs_V5VD40AYG000000000000000000000FM"/>
      <w:bookmarkEnd w:id="483"/>
      <w:r>
        <w:rPr>
          <w:b w:val="false"/>
          <w:i w:val="false"/>
          <w:caps w:val="false"/>
          <w:smallCaps w:val="false"/>
          <w:color w:val="212529"/>
          <w:spacing w:val="0"/>
          <w:sz w:val="20"/>
        </w:rPr>
        <w:t>September 30, 2025 (in millions):</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3086"/>
        <w:gridCol w:w="161"/>
        <w:gridCol w:w="228"/>
        <w:gridCol w:w="448"/>
        <w:gridCol w:w="161"/>
        <w:gridCol w:w="161"/>
        <w:gridCol w:w="372"/>
        <w:gridCol w:w="821"/>
        <w:gridCol w:w="161"/>
        <w:gridCol w:w="161"/>
        <w:gridCol w:w="346"/>
        <w:gridCol w:w="767"/>
        <w:gridCol w:w="161"/>
        <w:gridCol w:w="161"/>
        <w:gridCol w:w="359"/>
        <w:gridCol w:w="753"/>
        <w:gridCol w:w="161"/>
        <w:gridCol w:w="161"/>
        <w:gridCol w:w="456"/>
        <w:gridCol w:w="958"/>
        <w:gridCol w:w="162"/>
      </w:tblGrid>
      <w:tr>
        <w:trPr/>
        <w:tc>
          <w:tcPr>
            <w:tcW w:w="3086" w:type="dxa"/>
            <w:tcBorders/>
            <w:vAlign w:val="bottom"/>
          </w:tcPr>
          <w:p>
            <w:pPr>
              <w:pStyle w:val="TableContents"/>
              <w:bidi w:val="0"/>
              <w:spacing w:before="0" w:after="0"/>
              <w:ind w:left="0" w:right="0" w:hanging="0"/>
              <w:jc w:val="center"/>
              <w:rPr/>
            </w:pPr>
            <w:r>
              <w:rPr/>
              <w:t xml:space="preserve">  </w:t>
            </w:r>
          </w:p>
        </w:tc>
        <w:tc>
          <w:tcPr>
            <w:tcW w:w="161" w:type="dxa"/>
            <w:tcBorders/>
            <w:vAlign w:val="bottom"/>
          </w:tcPr>
          <w:p>
            <w:pPr>
              <w:pStyle w:val="TableContents"/>
              <w:bidi w:val="0"/>
              <w:spacing w:before="0" w:after="0"/>
              <w:ind w:left="0" w:right="0" w:hanging="0"/>
              <w:jc w:val="left"/>
              <w:rPr>
                <w:color w:val="000000"/>
              </w:rPr>
            </w:pPr>
            <w:r>
              <w:rPr>
                <w:color w:val="000000"/>
              </w:rPr>
              <w:t> </w:t>
            </w:r>
          </w:p>
        </w:tc>
        <w:tc>
          <w:tcPr>
            <w:tcW w:w="6796" w:type="dxa"/>
            <w:gridSpan w:val="18"/>
            <w:tcBorders/>
            <w:vAlign w:val="bottom"/>
          </w:tcPr>
          <w:p>
            <w:pPr>
              <w:pStyle w:val="TableContents"/>
              <w:bidi w:val="0"/>
              <w:spacing w:before="0" w:after="0"/>
              <w:ind w:left="0" w:right="0" w:hanging="0"/>
              <w:jc w:val="center"/>
              <w:rPr>
                <w:rFonts w:ascii="times new roman;times" w:hAnsi="times new roman;times"/>
                <w:b/>
                <w:color w:val="000000"/>
                <w:sz w:val="20"/>
              </w:rPr>
            </w:pPr>
            <w:r>
              <w:rPr>
                <w:rFonts w:ascii="times new roman;times" w:hAnsi="times new roman;times"/>
                <w:b/>
                <w:color w:val="000000"/>
                <w:sz w:val="20"/>
              </w:rPr>
              <w:t>Payment Due by Period</w:t>
            </w:r>
          </w:p>
        </w:tc>
        <w:tc>
          <w:tcPr>
            <w:tcW w:w="162" w:type="dxa"/>
            <w:tcBorders/>
            <w:vAlign w:val="bottom"/>
          </w:tcPr>
          <w:p>
            <w:pPr>
              <w:pStyle w:val="TableContents"/>
              <w:bidi w:val="0"/>
              <w:spacing w:before="0" w:after="0"/>
              <w:ind w:left="0" w:right="0" w:hanging="0"/>
              <w:jc w:val="left"/>
              <w:rPr>
                <w:color w:val="000000"/>
              </w:rPr>
            </w:pPr>
            <w:r>
              <w:rPr>
                <w:color w:val="000000"/>
              </w:rPr>
              <w:t> </w:t>
            </w:r>
          </w:p>
        </w:tc>
      </w:tr>
      <w:tr>
        <w:trPr/>
        <w:tc>
          <w:tcPr>
            <w:tcW w:w="3086" w:type="dxa"/>
            <w:tcBorders/>
            <w:vAlign w:val="bottom"/>
          </w:tcPr>
          <w:p>
            <w:pPr>
              <w:pStyle w:val="TableContents"/>
              <w:pBdr/>
              <w:bidi w:val="0"/>
              <w:spacing w:before="0" w:after="0"/>
              <w:ind w:left="0" w:right="0" w:hanging="0"/>
              <w:jc w:val="center"/>
              <w:rPr>
                <w:color w:val="000000"/>
              </w:rPr>
            </w:pPr>
            <w:r>
              <w:rPr>
                <w:color w:val="000000"/>
              </w:rPr>
              <w:t> </w:t>
            </w:r>
          </w:p>
        </w:tc>
        <w:tc>
          <w:tcPr>
            <w:tcW w:w="161" w:type="dxa"/>
            <w:tcBorders/>
            <w:vAlign w:val="bottom"/>
          </w:tcPr>
          <w:p>
            <w:pPr>
              <w:pStyle w:val="TableContents"/>
              <w:pBdr/>
              <w:bidi w:val="0"/>
              <w:spacing w:before="0" w:after="0"/>
              <w:ind w:left="0" w:right="0" w:hanging="0"/>
              <w:jc w:val="left"/>
              <w:rPr>
                <w:color w:val="000000"/>
              </w:rPr>
            </w:pPr>
            <w:r>
              <w:rPr>
                <w:color w:val="000000"/>
              </w:rPr>
              <w:t> </w:t>
            </w:r>
          </w:p>
        </w:tc>
        <w:tc>
          <w:tcPr>
            <w:tcW w:w="676" w:type="dxa"/>
            <w:gridSpan w:val="2"/>
            <w:tcBorders/>
            <w:vAlign w:val="bottom"/>
          </w:tcPr>
          <w:p>
            <w:pPr>
              <w:pStyle w:val="TableContents"/>
              <w:pBdr/>
              <w:bidi w:val="0"/>
              <w:spacing w:before="0" w:after="0"/>
              <w:ind w:left="0" w:right="0" w:hanging="0"/>
              <w:jc w:val="center"/>
              <w:rPr>
                <w:rFonts w:ascii="times new roman;times" w:hAnsi="times new roman;times"/>
                <w:b/>
                <w:color w:val="000000"/>
                <w:sz w:val="20"/>
              </w:rPr>
            </w:pPr>
            <w:r>
              <w:rPr>
                <w:rFonts w:ascii="times new roman;times" w:hAnsi="times new roman;times"/>
                <w:b/>
                <w:color w:val="000000"/>
                <w:sz w:val="20"/>
              </w:rPr>
              <w:t>Total</w:t>
            </w:r>
          </w:p>
        </w:tc>
        <w:tc>
          <w:tcPr>
            <w:tcW w:w="161" w:type="dxa"/>
            <w:tcBorders/>
            <w:vAlign w:val="bottom"/>
          </w:tcPr>
          <w:p>
            <w:pPr>
              <w:pStyle w:val="TableContents"/>
              <w:pBdr/>
              <w:bidi w:val="0"/>
              <w:spacing w:before="0" w:after="0"/>
              <w:ind w:left="0" w:right="0" w:hanging="0"/>
              <w:jc w:val="left"/>
              <w:rPr>
                <w:color w:val="000000"/>
              </w:rPr>
            </w:pPr>
            <w:r>
              <w:rPr>
                <w:color w:val="000000"/>
              </w:rPr>
              <w:t> </w:t>
            </w:r>
          </w:p>
        </w:tc>
        <w:tc>
          <w:tcPr>
            <w:tcW w:w="161" w:type="dxa"/>
            <w:tcBorders/>
            <w:vAlign w:val="bottom"/>
          </w:tcPr>
          <w:p>
            <w:pPr>
              <w:pStyle w:val="TableContents"/>
              <w:pBdr/>
              <w:bidi w:val="0"/>
              <w:spacing w:before="0" w:after="0"/>
              <w:ind w:left="0" w:right="0" w:hanging="0"/>
              <w:jc w:val="left"/>
              <w:rPr>
                <w:color w:val="000000"/>
              </w:rPr>
            </w:pPr>
            <w:r>
              <w:rPr>
                <w:color w:val="000000"/>
              </w:rPr>
              <w:t> </w:t>
            </w:r>
          </w:p>
        </w:tc>
        <w:tc>
          <w:tcPr>
            <w:tcW w:w="1193" w:type="dxa"/>
            <w:gridSpan w:val="2"/>
            <w:tcBorders/>
            <w:vAlign w:val="bottom"/>
          </w:tcPr>
          <w:p>
            <w:pPr>
              <w:pStyle w:val="TableContents"/>
              <w:pBdr/>
              <w:bidi w:val="0"/>
              <w:spacing w:lineRule="auto" w:line="264" w:before="0" w:after="0"/>
              <w:ind w:left="0" w:right="0" w:hanging="0"/>
              <w:jc w:val="center"/>
              <w:rPr>
                <w:rFonts w:ascii="times new roman;times" w:hAnsi="times new roman;times"/>
                <w:b/>
                <w:color w:val="000000"/>
                <w:sz w:val="20"/>
              </w:rPr>
            </w:pPr>
            <w:r>
              <w:rPr>
                <w:rFonts w:ascii="times new roman;times" w:hAnsi="times new roman;times"/>
                <w:b/>
                <w:color w:val="000000"/>
                <w:sz w:val="20"/>
              </w:rPr>
              <w:t>Less Than</w:t>
            </w:r>
          </w:p>
          <w:p>
            <w:pPr>
              <w:pStyle w:val="TableContents"/>
              <w:pBdr/>
              <w:bidi w:val="0"/>
              <w:spacing w:lineRule="auto" w:line="264" w:before="0" w:after="0"/>
              <w:ind w:left="0" w:right="0" w:hanging="0"/>
              <w:jc w:val="center"/>
              <w:rPr>
                <w:rFonts w:ascii="times new roman;times" w:hAnsi="times new roman;times"/>
                <w:b/>
                <w:color w:val="000000"/>
                <w:sz w:val="20"/>
              </w:rPr>
            </w:pPr>
            <w:bookmarkStart w:id="484" w:name="fs_EETEKOBUXC00000000000000000000fs"/>
            <w:bookmarkEnd w:id="484"/>
            <w:r>
              <w:rPr>
                <w:rFonts w:ascii="times new roman;times" w:hAnsi="times new roman;times"/>
                <w:b/>
                <w:color w:val="000000"/>
                <w:sz w:val="20"/>
              </w:rPr>
              <w:t>1</w:t>
            </w:r>
            <w:r>
              <w:rPr>
                <w:rFonts w:ascii="times new roman;times" w:hAnsi="times new roman;times"/>
                <w:b/>
                <w:color w:val="000000"/>
                <w:sz w:val="20"/>
              </w:rPr>
              <w:t> Year</w:t>
            </w:r>
          </w:p>
        </w:tc>
        <w:tc>
          <w:tcPr>
            <w:tcW w:w="161" w:type="dxa"/>
            <w:tcBorders/>
            <w:vAlign w:val="bottom"/>
          </w:tcPr>
          <w:p>
            <w:pPr>
              <w:pStyle w:val="TableContents"/>
              <w:pBdr/>
              <w:bidi w:val="0"/>
              <w:spacing w:before="0" w:after="0"/>
              <w:ind w:left="0" w:right="0" w:hanging="0"/>
              <w:jc w:val="left"/>
              <w:rPr>
                <w:color w:val="000000"/>
              </w:rPr>
            </w:pPr>
            <w:r>
              <w:rPr>
                <w:color w:val="000000"/>
              </w:rPr>
              <w:t> </w:t>
            </w:r>
          </w:p>
        </w:tc>
        <w:tc>
          <w:tcPr>
            <w:tcW w:w="161" w:type="dxa"/>
            <w:tcBorders/>
            <w:vAlign w:val="bottom"/>
          </w:tcPr>
          <w:p>
            <w:pPr>
              <w:pStyle w:val="TableContents"/>
              <w:pBdr/>
              <w:bidi w:val="0"/>
              <w:spacing w:before="0" w:after="0"/>
              <w:ind w:left="0" w:right="0" w:hanging="0"/>
              <w:jc w:val="left"/>
              <w:rPr>
                <w:color w:val="000000"/>
              </w:rPr>
            </w:pPr>
            <w:r>
              <w:rPr>
                <w:color w:val="000000"/>
              </w:rPr>
              <w:t> </w:t>
            </w:r>
          </w:p>
        </w:tc>
        <w:tc>
          <w:tcPr>
            <w:tcW w:w="1113" w:type="dxa"/>
            <w:gridSpan w:val="2"/>
            <w:tcBorders/>
            <w:vAlign w:val="bottom"/>
          </w:tcPr>
          <w:p>
            <w:pPr>
              <w:pStyle w:val="TableContents"/>
              <w:pBdr/>
              <w:bidi w:val="0"/>
              <w:spacing w:before="0" w:after="0"/>
              <w:ind w:left="0" w:right="0" w:hanging="0"/>
              <w:jc w:val="center"/>
              <w:rPr>
                <w:rFonts w:ascii="times new roman;times" w:hAnsi="times new roman;times"/>
                <w:b/>
                <w:color w:val="000000"/>
                <w:sz w:val="20"/>
              </w:rPr>
            </w:pPr>
            <w:bookmarkStart w:id="485" w:name="fs_9YS8HL82B400000000000000000000fs"/>
            <w:bookmarkEnd w:id="485"/>
            <w:r>
              <w:rPr>
                <w:rFonts w:ascii="times new roman;times" w:hAnsi="times new roman;times"/>
                <w:b/>
                <w:color w:val="000000"/>
                <w:sz w:val="20"/>
              </w:rPr>
              <w:t>1</w:t>
            </w:r>
            <w:r>
              <w:rPr>
                <w:rFonts w:ascii="times new roman;times" w:hAnsi="times new roman;times"/>
                <w:b/>
                <w:color w:val="000000"/>
                <w:sz w:val="20"/>
              </w:rPr>
              <w:t>-</w:t>
            </w:r>
            <w:bookmarkStart w:id="486" w:name="fs_DTMBIU1EFK00000000000000000000fs"/>
            <w:bookmarkEnd w:id="486"/>
            <w:r>
              <w:rPr>
                <w:rFonts w:ascii="times new roman;times" w:hAnsi="times new roman;times"/>
                <w:b/>
                <w:color w:val="000000"/>
                <w:sz w:val="20"/>
              </w:rPr>
              <w:t>3</w:t>
            </w:r>
            <w:r>
              <w:rPr>
                <w:rFonts w:ascii="times new roman;times" w:hAnsi="times new roman;times"/>
                <w:b/>
                <w:color w:val="000000"/>
                <w:sz w:val="20"/>
              </w:rPr>
              <w:t> Years</w:t>
            </w:r>
          </w:p>
        </w:tc>
        <w:tc>
          <w:tcPr>
            <w:tcW w:w="161" w:type="dxa"/>
            <w:tcBorders/>
            <w:vAlign w:val="bottom"/>
          </w:tcPr>
          <w:p>
            <w:pPr>
              <w:pStyle w:val="TableContents"/>
              <w:pBdr/>
              <w:bidi w:val="0"/>
              <w:spacing w:before="0" w:after="0"/>
              <w:ind w:left="0" w:right="0" w:hanging="0"/>
              <w:jc w:val="left"/>
              <w:rPr>
                <w:color w:val="000000"/>
              </w:rPr>
            </w:pPr>
            <w:r>
              <w:rPr>
                <w:color w:val="000000"/>
              </w:rPr>
              <w:t> </w:t>
            </w:r>
          </w:p>
        </w:tc>
        <w:tc>
          <w:tcPr>
            <w:tcW w:w="161" w:type="dxa"/>
            <w:tcBorders/>
            <w:vAlign w:val="bottom"/>
          </w:tcPr>
          <w:p>
            <w:pPr>
              <w:pStyle w:val="TableContents"/>
              <w:pBdr/>
              <w:bidi w:val="0"/>
              <w:spacing w:before="0" w:after="0"/>
              <w:ind w:left="0" w:right="0" w:hanging="0"/>
              <w:jc w:val="left"/>
              <w:rPr>
                <w:color w:val="000000"/>
              </w:rPr>
            </w:pPr>
            <w:r>
              <w:rPr>
                <w:color w:val="000000"/>
              </w:rPr>
              <w:t> </w:t>
            </w:r>
          </w:p>
        </w:tc>
        <w:tc>
          <w:tcPr>
            <w:tcW w:w="1112" w:type="dxa"/>
            <w:gridSpan w:val="2"/>
            <w:tcBorders/>
            <w:vAlign w:val="bottom"/>
          </w:tcPr>
          <w:p>
            <w:pPr>
              <w:pStyle w:val="TableContents"/>
              <w:pBdr/>
              <w:bidi w:val="0"/>
              <w:spacing w:before="0" w:after="0"/>
              <w:ind w:left="0" w:right="0" w:hanging="0"/>
              <w:jc w:val="center"/>
              <w:rPr>
                <w:rFonts w:ascii="times new roman;times" w:hAnsi="times new roman;times"/>
                <w:b/>
                <w:color w:val="000000"/>
                <w:sz w:val="20"/>
              </w:rPr>
            </w:pPr>
            <w:bookmarkStart w:id="487" w:name="fs_0EPQGV716O00000000000000000000fs"/>
            <w:bookmarkEnd w:id="487"/>
            <w:r>
              <w:rPr>
                <w:rFonts w:ascii="times new roman;times" w:hAnsi="times new roman;times"/>
                <w:b/>
                <w:color w:val="000000"/>
                <w:sz w:val="20"/>
              </w:rPr>
              <w:t>3</w:t>
            </w:r>
            <w:r>
              <w:rPr>
                <w:rFonts w:ascii="times new roman;times" w:hAnsi="times new roman;times"/>
                <w:b/>
                <w:color w:val="000000"/>
                <w:sz w:val="20"/>
              </w:rPr>
              <w:t>-</w:t>
            </w:r>
            <w:bookmarkStart w:id="488" w:name="fs_ORCS5LT60W00000000000000000000fs"/>
            <w:bookmarkEnd w:id="488"/>
            <w:r>
              <w:rPr>
                <w:rFonts w:ascii="times new roman;times" w:hAnsi="times new roman;times"/>
                <w:b/>
                <w:color w:val="000000"/>
                <w:sz w:val="20"/>
              </w:rPr>
              <w:t>5</w:t>
            </w:r>
            <w:r>
              <w:rPr>
                <w:rFonts w:ascii="times new roman;times" w:hAnsi="times new roman;times"/>
                <w:b/>
                <w:color w:val="000000"/>
                <w:sz w:val="20"/>
              </w:rPr>
              <w:t> Years</w:t>
            </w:r>
          </w:p>
        </w:tc>
        <w:tc>
          <w:tcPr>
            <w:tcW w:w="161" w:type="dxa"/>
            <w:tcBorders/>
            <w:vAlign w:val="bottom"/>
          </w:tcPr>
          <w:p>
            <w:pPr>
              <w:pStyle w:val="TableContents"/>
              <w:pBdr/>
              <w:bidi w:val="0"/>
              <w:spacing w:before="0" w:after="0"/>
              <w:ind w:left="0" w:right="0" w:hanging="0"/>
              <w:jc w:val="left"/>
              <w:rPr>
                <w:color w:val="000000"/>
              </w:rPr>
            </w:pPr>
            <w:r>
              <w:rPr>
                <w:color w:val="000000"/>
              </w:rPr>
              <w:t> </w:t>
            </w:r>
          </w:p>
        </w:tc>
        <w:tc>
          <w:tcPr>
            <w:tcW w:w="161" w:type="dxa"/>
            <w:tcBorders/>
            <w:vAlign w:val="bottom"/>
          </w:tcPr>
          <w:p>
            <w:pPr>
              <w:pStyle w:val="TableContents"/>
              <w:pBdr/>
              <w:bidi w:val="0"/>
              <w:spacing w:before="0" w:after="0"/>
              <w:ind w:left="0" w:right="0" w:hanging="0"/>
              <w:jc w:val="left"/>
              <w:rPr>
                <w:color w:val="000000"/>
              </w:rPr>
            </w:pPr>
            <w:r>
              <w:rPr>
                <w:color w:val="000000"/>
              </w:rPr>
              <w:t> </w:t>
            </w:r>
          </w:p>
        </w:tc>
        <w:tc>
          <w:tcPr>
            <w:tcW w:w="1414" w:type="dxa"/>
            <w:gridSpan w:val="2"/>
            <w:tcBorders/>
            <w:vAlign w:val="bottom"/>
          </w:tcPr>
          <w:p>
            <w:pPr>
              <w:pStyle w:val="TableContents"/>
              <w:pBdr/>
              <w:bidi w:val="0"/>
              <w:spacing w:lineRule="auto" w:line="264" w:before="0" w:after="0"/>
              <w:ind w:left="0" w:right="0" w:hanging="0"/>
              <w:jc w:val="center"/>
              <w:rPr>
                <w:rFonts w:ascii="times new roman;times" w:hAnsi="times new roman;times"/>
                <w:b/>
                <w:color w:val="000000"/>
                <w:sz w:val="20"/>
              </w:rPr>
            </w:pPr>
            <w:r>
              <w:rPr>
                <w:rFonts w:ascii="times new roman;times" w:hAnsi="times new roman;times"/>
                <w:b/>
                <w:color w:val="000000"/>
                <w:sz w:val="20"/>
              </w:rPr>
              <w:t>More than </w:t>
            </w:r>
            <w:bookmarkStart w:id="489" w:name="fs_TMLOZ3QPZ400000000000000000000fs"/>
            <w:bookmarkEnd w:id="489"/>
            <w:r>
              <w:rPr>
                <w:rFonts w:ascii="times new roman;times" w:hAnsi="times new roman;times"/>
                <w:b/>
                <w:color w:val="000000"/>
                <w:sz w:val="20"/>
              </w:rPr>
              <w:t>5</w:t>
            </w:r>
          </w:p>
          <w:p>
            <w:pPr>
              <w:pStyle w:val="TableContents"/>
              <w:pBdr/>
              <w:bidi w:val="0"/>
              <w:spacing w:lineRule="auto" w:line="264" w:before="0" w:after="0"/>
              <w:ind w:left="0" w:right="0" w:hanging="0"/>
              <w:jc w:val="center"/>
              <w:rPr>
                <w:rFonts w:ascii="times new roman;times" w:hAnsi="times new roman;times"/>
                <w:b/>
                <w:color w:val="000000"/>
                <w:sz w:val="20"/>
              </w:rPr>
            </w:pPr>
            <w:r>
              <w:rPr>
                <w:rFonts w:ascii="times new roman;times" w:hAnsi="times new roman;times"/>
                <w:b/>
                <w:color w:val="000000"/>
                <w:sz w:val="20"/>
              </w:rPr>
              <w:t>years</w:t>
            </w:r>
          </w:p>
        </w:tc>
        <w:tc>
          <w:tcPr>
            <w:tcW w:w="162" w:type="dxa"/>
            <w:tcBorders/>
            <w:vAlign w:val="bottom"/>
          </w:tcPr>
          <w:p>
            <w:pPr>
              <w:pStyle w:val="TableContents"/>
              <w:pBdr/>
              <w:bidi w:val="0"/>
              <w:spacing w:before="0" w:after="0"/>
              <w:ind w:left="0" w:right="0" w:hanging="0"/>
              <w:jc w:val="left"/>
              <w:rPr>
                <w:color w:val="000000"/>
              </w:rPr>
            </w:pPr>
            <w:r>
              <w:rPr>
                <w:color w:val="000000"/>
              </w:rPr>
              <w:t> </w:t>
            </w:r>
          </w:p>
        </w:tc>
      </w:tr>
      <w:tr>
        <w:trPr/>
        <w:tc>
          <w:tcPr>
            <w:tcW w:w="3086" w:type="dxa"/>
            <w:tcBorders/>
            <w:shd w:fill="CCEEFF" w:val="clear"/>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Operating lease obligations </w:t>
            </w:r>
          </w:p>
        </w:tc>
        <w:tc>
          <w:tcPr>
            <w:tcW w:w="161"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228" w:type="dxa"/>
            <w:tcBorders/>
            <w:shd w:fill="CCEEFF" w:val="clear"/>
            <w:vAlign w:val="bottom"/>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 </w:t>
            </w:r>
          </w:p>
        </w:tc>
        <w:tc>
          <w:tcPr>
            <w:tcW w:w="448" w:type="dxa"/>
            <w:tcBorders/>
            <w:shd w:fill="CCEEFF" w:val="clear"/>
            <w:vAlign w:val="bottom"/>
          </w:tcPr>
          <w:p>
            <w:pPr>
              <w:pStyle w:val="TableContents"/>
              <w:bidi w:val="0"/>
              <w:spacing w:before="0" w:after="0"/>
              <w:ind w:left="0" w:right="0" w:hanging="0"/>
              <w:jc w:val="right"/>
              <w:rPr>
                <w:rFonts w:ascii="times new roman;times" w:hAnsi="times new roman;times"/>
                <w:color w:val="000000"/>
                <w:sz w:val="20"/>
              </w:rPr>
            </w:pPr>
            <w:bookmarkStart w:id="490" w:name="fs_LRDF8N5IMO00000000000000000000fs"/>
            <w:bookmarkEnd w:id="490"/>
            <w:r>
              <w:rPr>
                <w:rFonts w:ascii="times new roman;times" w:hAnsi="times new roman;times"/>
                <w:color w:val="000000"/>
                <w:sz w:val="20"/>
              </w:rPr>
              <w:t>0.6</w:t>
            </w:r>
          </w:p>
        </w:tc>
        <w:tc>
          <w:tcPr>
            <w:tcW w:w="161"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161"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372" w:type="dxa"/>
            <w:tcBorders/>
            <w:shd w:fill="CCEEFF" w:val="clear"/>
            <w:vAlign w:val="bottom"/>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 </w:t>
            </w:r>
          </w:p>
        </w:tc>
        <w:tc>
          <w:tcPr>
            <w:tcW w:w="821" w:type="dxa"/>
            <w:tcBorders/>
            <w:shd w:fill="CCEEFF" w:val="clear"/>
            <w:vAlign w:val="bottom"/>
          </w:tcPr>
          <w:p>
            <w:pPr>
              <w:pStyle w:val="TableContents"/>
              <w:bidi w:val="0"/>
              <w:spacing w:before="0" w:after="0"/>
              <w:ind w:left="0" w:right="0" w:hanging="0"/>
              <w:jc w:val="right"/>
              <w:rPr>
                <w:rFonts w:ascii="times new roman;times" w:hAnsi="times new roman;times"/>
                <w:color w:val="000000"/>
                <w:sz w:val="20"/>
              </w:rPr>
            </w:pPr>
            <w:bookmarkStart w:id="491" w:name="fs_FT6ZGRIFM800000000000000000000fs"/>
            <w:bookmarkEnd w:id="491"/>
            <w:r>
              <w:rPr>
                <w:rFonts w:ascii="times new roman;times" w:hAnsi="times new roman;times"/>
                <w:color w:val="000000"/>
                <w:sz w:val="20"/>
              </w:rPr>
              <w:t>0.2</w:t>
            </w:r>
          </w:p>
        </w:tc>
        <w:tc>
          <w:tcPr>
            <w:tcW w:w="161"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161"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346" w:type="dxa"/>
            <w:tcBorders/>
            <w:shd w:fill="CCEEFF" w:val="clear"/>
            <w:vAlign w:val="bottom"/>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 </w:t>
            </w:r>
          </w:p>
        </w:tc>
        <w:tc>
          <w:tcPr>
            <w:tcW w:w="767" w:type="dxa"/>
            <w:tcBorders/>
            <w:shd w:fill="CCEEFF" w:val="clear"/>
            <w:vAlign w:val="bottom"/>
          </w:tcPr>
          <w:p>
            <w:pPr>
              <w:pStyle w:val="TableContents"/>
              <w:bidi w:val="0"/>
              <w:spacing w:before="0" w:after="0"/>
              <w:ind w:left="0" w:right="0" w:hanging="0"/>
              <w:jc w:val="right"/>
              <w:rPr>
                <w:rFonts w:ascii="times new roman;times" w:hAnsi="times new roman;times"/>
                <w:color w:val="000000"/>
                <w:sz w:val="20"/>
              </w:rPr>
            </w:pPr>
            <w:bookmarkStart w:id="492" w:name="fs_BBGQKXRLWW00000000000000000000fs"/>
            <w:bookmarkEnd w:id="492"/>
            <w:r>
              <w:rPr>
                <w:rFonts w:ascii="times new roman;times" w:hAnsi="times new roman;times"/>
                <w:color w:val="000000"/>
                <w:sz w:val="20"/>
              </w:rPr>
              <w:t>0.4</w:t>
            </w:r>
          </w:p>
        </w:tc>
        <w:tc>
          <w:tcPr>
            <w:tcW w:w="161"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161" w:type="dxa"/>
            <w:tcBorders/>
            <w:shd w:fill="CCEEFF" w:val="clear"/>
            <w:vAlign w:val="bottom"/>
          </w:tcPr>
          <w:p>
            <w:pPr>
              <w:pStyle w:val="TableContents"/>
              <w:bidi w:val="0"/>
              <w:spacing w:before="0" w:after="0"/>
              <w:ind w:left="0" w:right="0" w:hanging="0"/>
              <w:jc w:val="right"/>
              <w:rPr>
                <w:color w:val="000000"/>
              </w:rPr>
            </w:pPr>
            <w:r>
              <w:rPr>
                <w:color w:val="000000"/>
              </w:rPr>
              <w:t xml:space="preserve">  </w:t>
            </w:r>
          </w:p>
        </w:tc>
        <w:tc>
          <w:tcPr>
            <w:tcW w:w="359" w:type="dxa"/>
            <w:tcBorders/>
            <w:shd w:fill="CCEEFF" w:val="clear"/>
            <w:vAlign w:val="bottom"/>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 </w:t>
            </w:r>
          </w:p>
        </w:tc>
        <w:tc>
          <w:tcPr>
            <w:tcW w:w="753" w:type="dxa"/>
            <w:tcBorders/>
            <w:shd w:fill="CCEEFF" w:val="clear"/>
            <w:vAlign w:val="bottom"/>
          </w:tcPr>
          <w:p>
            <w:pPr>
              <w:pStyle w:val="TableContents"/>
              <w:bidi w:val="0"/>
              <w:spacing w:before="0" w:after="0"/>
              <w:ind w:left="0" w:right="0" w:hanging="0"/>
              <w:jc w:val="right"/>
              <w:rPr>
                <w:color w:val="000000"/>
              </w:rPr>
            </w:pPr>
            <w:bookmarkStart w:id="493" w:name="fs_JKZBHOOIPS00000000000000000000fs"/>
            <w:bookmarkEnd w:id="493"/>
            <w:r>
              <w:rPr>
                <w:color w:val="000000"/>
              </w:rPr>
              <w:t>—</w:t>
            </w:r>
          </w:p>
        </w:tc>
        <w:tc>
          <w:tcPr>
            <w:tcW w:w="161"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161" w:type="dxa"/>
            <w:tcBorders/>
            <w:shd w:fill="CCEEFF" w:val="clear"/>
            <w:vAlign w:val="bottom"/>
          </w:tcPr>
          <w:p>
            <w:pPr>
              <w:pStyle w:val="TableContents"/>
              <w:bidi w:val="0"/>
              <w:spacing w:before="0" w:after="0"/>
              <w:ind w:left="0" w:right="0" w:hanging="0"/>
              <w:jc w:val="right"/>
              <w:rPr>
                <w:color w:val="000000"/>
              </w:rPr>
            </w:pPr>
            <w:r>
              <w:rPr>
                <w:color w:val="000000"/>
              </w:rPr>
              <w:t xml:space="preserve">  </w:t>
            </w:r>
          </w:p>
        </w:tc>
        <w:tc>
          <w:tcPr>
            <w:tcW w:w="456" w:type="dxa"/>
            <w:tcBorders/>
            <w:shd w:fill="CCEEFF" w:val="clear"/>
            <w:vAlign w:val="bottom"/>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 </w:t>
            </w:r>
          </w:p>
        </w:tc>
        <w:tc>
          <w:tcPr>
            <w:tcW w:w="958" w:type="dxa"/>
            <w:tcBorders/>
            <w:shd w:fill="CCEEFF" w:val="clear"/>
            <w:vAlign w:val="bottom"/>
          </w:tcPr>
          <w:p>
            <w:pPr>
              <w:pStyle w:val="TableContents"/>
              <w:bidi w:val="0"/>
              <w:spacing w:before="0" w:after="0"/>
              <w:ind w:left="0" w:right="0" w:hanging="0"/>
              <w:jc w:val="right"/>
              <w:rPr>
                <w:color w:val="000000"/>
              </w:rPr>
            </w:pPr>
            <w:bookmarkStart w:id="494" w:name="fs_B3F5VVOHGW00000000000000000000fs"/>
            <w:bookmarkEnd w:id="494"/>
            <w:r>
              <w:rPr>
                <w:color w:val="000000"/>
              </w:rPr>
              <w:t>—</w:t>
            </w:r>
          </w:p>
        </w:tc>
        <w:tc>
          <w:tcPr>
            <w:tcW w:w="162"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r>
      <w:tr>
        <w:trPr/>
        <w:tc>
          <w:tcPr>
            <w:tcW w:w="3086" w:type="dxa"/>
            <w:tcBorders/>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Purchase obligations </w:t>
            </w:r>
          </w:p>
        </w:tc>
        <w:tc>
          <w:tcPr>
            <w:tcW w:w="161" w:type="dxa"/>
            <w:tcBorders/>
            <w:vAlign w:val="bottom"/>
          </w:tcPr>
          <w:p>
            <w:pPr>
              <w:pStyle w:val="TableContents"/>
              <w:bidi w:val="0"/>
              <w:spacing w:before="0" w:after="0"/>
              <w:ind w:left="0" w:right="0" w:hanging="0"/>
              <w:jc w:val="left"/>
              <w:rPr>
                <w:color w:val="000000"/>
              </w:rPr>
            </w:pPr>
            <w:r>
              <w:rPr>
                <w:color w:val="000000"/>
              </w:rPr>
              <w:t xml:space="preserve">  </w:t>
            </w:r>
          </w:p>
        </w:tc>
        <w:tc>
          <w:tcPr>
            <w:tcW w:w="228" w:type="dxa"/>
            <w:tcBorders/>
            <w:vAlign w:val="bottom"/>
          </w:tcPr>
          <w:p>
            <w:pPr>
              <w:pStyle w:val="TableContents"/>
              <w:bidi w:val="0"/>
              <w:spacing w:before="0" w:after="0"/>
              <w:ind w:left="0" w:right="0" w:hanging="0"/>
              <w:jc w:val="left"/>
              <w:rPr>
                <w:color w:val="000000"/>
              </w:rPr>
            </w:pPr>
            <w:r>
              <w:rPr>
                <w:color w:val="000000"/>
              </w:rPr>
              <w:t xml:space="preserve">  </w:t>
            </w:r>
          </w:p>
        </w:tc>
        <w:tc>
          <w:tcPr>
            <w:tcW w:w="448" w:type="dxa"/>
            <w:tcBorders/>
            <w:vAlign w:val="bottom"/>
          </w:tcPr>
          <w:p>
            <w:pPr>
              <w:pStyle w:val="TableContents"/>
              <w:bidi w:val="0"/>
              <w:spacing w:before="0" w:after="0"/>
              <w:ind w:left="0" w:right="0" w:hanging="0"/>
              <w:jc w:val="right"/>
              <w:rPr>
                <w:color w:val="000000"/>
              </w:rPr>
            </w:pPr>
            <w:bookmarkStart w:id="495" w:name="fs_E57UFFDLB400000000000000000000fs"/>
            <w:bookmarkEnd w:id="495"/>
            <w:r>
              <w:rPr>
                <w:color w:val="000000"/>
              </w:rPr>
              <w:t>—</w:t>
            </w:r>
          </w:p>
        </w:tc>
        <w:tc>
          <w:tcPr>
            <w:tcW w:w="161" w:type="dxa"/>
            <w:tcBorders/>
            <w:vAlign w:val="bottom"/>
          </w:tcPr>
          <w:p>
            <w:pPr>
              <w:pStyle w:val="TableContents"/>
              <w:bidi w:val="0"/>
              <w:spacing w:before="0" w:after="0"/>
              <w:ind w:left="0" w:right="0" w:hanging="0"/>
              <w:jc w:val="left"/>
              <w:rPr>
                <w:color w:val="000000"/>
              </w:rPr>
            </w:pPr>
            <w:r>
              <w:rPr>
                <w:color w:val="000000"/>
              </w:rPr>
              <w:t xml:space="preserve">  </w:t>
            </w:r>
          </w:p>
        </w:tc>
        <w:tc>
          <w:tcPr>
            <w:tcW w:w="161" w:type="dxa"/>
            <w:tcBorders/>
            <w:vAlign w:val="bottom"/>
          </w:tcPr>
          <w:p>
            <w:pPr>
              <w:pStyle w:val="TableContents"/>
              <w:bidi w:val="0"/>
              <w:spacing w:before="0" w:after="0"/>
              <w:ind w:left="0" w:right="0" w:hanging="0"/>
              <w:jc w:val="left"/>
              <w:rPr>
                <w:color w:val="000000"/>
              </w:rPr>
            </w:pPr>
            <w:r>
              <w:rPr>
                <w:color w:val="000000"/>
              </w:rPr>
              <w:t xml:space="preserve">  </w:t>
            </w:r>
          </w:p>
        </w:tc>
        <w:tc>
          <w:tcPr>
            <w:tcW w:w="372" w:type="dxa"/>
            <w:tcBorders/>
            <w:vAlign w:val="bottom"/>
          </w:tcPr>
          <w:p>
            <w:pPr>
              <w:pStyle w:val="TableContents"/>
              <w:bidi w:val="0"/>
              <w:spacing w:before="0" w:after="0"/>
              <w:ind w:left="0" w:right="0" w:hanging="0"/>
              <w:jc w:val="left"/>
              <w:rPr>
                <w:color w:val="000000"/>
              </w:rPr>
            </w:pPr>
            <w:r>
              <w:rPr>
                <w:color w:val="000000"/>
              </w:rPr>
              <w:t xml:space="preserve">  </w:t>
            </w:r>
          </w:p>
        </w:tc>
        <w:tc>
          <w:tcPr>
            <w:tcW w:w="821" w:type="dxa"/>
            <w:tcBorders/>
            <w:vAlign w:val="bottom"/>
          </w:tcPr>
          <w:p>
            <w:pPr>
              <w:pStyle w:val="TableContents"/>
              <w:bidi w:val="0"/>
              <w:spacing w:before="0" w:after="0"/>
              <w:ind w:left="0" w:right="0" w:hanging="0"/>
              <w:jc w:val="right"/>
              <w:rPr>
                <w:color w:val="000000"/>
              </w:rPr>
            </w:pPr>
            <w:bookmarkStart w:id="496" w:name="fs_ZE8RNHVG0000000000000000000000fs"/>
            <w:bookmarkEnd w:id="496"/>
            <w:r>
              <w:rPr>
                <w:color w:val="000000"/>
              </w:rPr>
              <w:t>—</w:t>
            </w:r>
          </w:p>
        </w:tc>
        <w:tc>
          <w:tcPr>
            <w:tcW w:w="161" w:type="dxa"/>
            <w:tcBorders/>
            <w:vAlign w:val="bottom"/>
          </w:tcPr>
          <w:p>
            <w:pPr>
              <w:pStyle w:val="TableContents"/>
              <w:bidi w:val="0"/>
              <w:spacing w:before="0" w:after="0"/>
              <w:ind w:left="0" w:right="0" w:hanging="0"/>
              <w:jc w:val="left"/>
              <w:rPr>
                <w:color w:val="000000"/>
              </w:rPr>
            </w:pPr>
            <w:r>
              <w:rPr>
                <w:color w:val="000000"/>
              </w:rPr>
              <w:t xml:space="preserve">  </w:t>
            </w:r>
          </w:p>
        </w:tc>
        <w:tc>
          <w:tcPr>
            <w:tcW w:w="161" w:type="dxa"/>
            <w:tcBorders/>
            <w:vAlign w:val="bottom"/>
          </w:tcPr>
          <w:p>
            <w:pPr>
              <w:pStyle w:val="TableContents"/>
              <w:bidi w:val="0"/>
              <w:spacing w:before="0" w:after="0"/>
              <w:ind w:left="0" w:right="0" w:hanging="0"/>
              <w:jc w:val="left"/>
              <w:rPr>
                <w:color w:val="000000"/>
              </w:rPr>
            </w:pPr>
            <w:r>
              <w:rPr>
                <w:color w:val="000000"/>
              </w:rPr>
              <w:t xml:space="preserve">  </w:t>
            </w:r>
          </w:p>
        </w:tc>
        <w:tc>
          <w:tcPr>
            <w:tcW w:w="346" w:type="dxa"/>
            <w:tcBorders/>
            <w:vAlign w:val="bottom"/>
          </w:tcPr>
          <w:p>
            <w:pPr>
              <w:pStyle w:val="TableContents"/>
              <w:bidi w:val="0"/>
              <w:spacing w:before="0" w:after="0"/>
              <w:ind w:left="0" w:right="0" w:hanging="0"/>
              <w:jc w:val="left"/>
              <w:rPr>
                <w:color w:val="000000"/>
              </w:rPr>
            </w:pPr>
            <w:r>
              <w:rPr>
                <w:color w:val="000000"/>
              </w:rPr>
              <w:t xml:space="preserve">  </w:t>
            </w:r>
          </w:p>
        </w:tc>
        <w:tc>
          <w:tcPr>
            <w:tcW w:w="767" w:type="dxa"/>
            <w:tcBorders/>
            <w:vAlign w:val="bottom"/>
          </w:tcPr>
          <w:p>
            <w:pPr>
              <w:pStyle w:val="TableContents"/>
              <w:bidi w:val="0"/>
              <w:spacing w:before="0" w:after="0"/>
              <w:ind w:left="0" w:right="0" w:hanging="0"/>
              <w:jc w:val="right"/>
              <w:rPr>
                <w:color w:val="000000"/>
              </w:rPr>
            </w:pPr>
            <w:bookmarkStart w:id="497" w:name="fs_D1A93PAWU800000000000000000000fs"/>
            <w:bookmarkEnd w:id="497"/>
            <w:r>
              <w:rPr>
                <w:color w:val="000000"/>
              </w:rPr>
              <w:t>—</w:t>
            </w:r>
          </w:p>
        </w:tc>
        <w:tc>
          <w:tcPr>
            <w:tcW w:w="161" w:type="dxa"/>
            <w:tcBorders/>
            <w:vAlign w:val="bottom"/>
          </w:tcPr>
          <w:p>
            <w:pPr>
              <w:pStyle w:val="TableContents"/>
              <w:bidi w:val="0"/>
              <w:spacing w:before="0" w:after="0"/>
              <w:ind w:left="0" w:right="0" w:hanging="0"/>
              <w:jc w:val="left"/>
              <w:rPr>
                <w:color w:val="000000"/>
              </w:rPr>
            </w:pPr>
            <w:r>
              <w:rPr>
                <w:color w:val="000000"/>
              </w:rPr>
              <w:t xml:space="preserve">  </w:t>
            </w:r>
          </w:p>
        </w:tc>
        <w:tc>
          <w:tcPr>
            <w:tcW w:w="161" w:type="dxa"/>
            <w:tcBorders/>
            <w:vAlign w:val="bottom"/>
          </w:tcPr>
          <w:p>
            <w:pPr>
              <w:pStyle w:val="TableContents"/>
              <w:bidi w:val="0"/>
              <w:spacing w:before="0" w:after="0"/>
              <w:ind w:left="0" w:right="0" w:hanging="0"/>
              <w:jc w:val="right"/>
              <w:rPr>
                <w:color w:val="000000"/>
              </w:rPr>
            </w:pPr>
            <w:r>
              <w:rPr>
                <w:color w:val="000000"/>
              </w:rPr>
              <w:t xml:space="preserve">  </w:t>
            </w:r>
          </w:p>
        </w:tc>
        <w:tc>
          <w:tcPr>
            <w:tcW w:w="359" w:type="dxa"/>
            <w:tcBorders/>
            <w:vAlign w:val="bottom"/>
          </w:tcPr>
          <w:p>
            <w:pPr>
              <w:pStyle w:val="TableContents"/>
              <w:bidi w:val="0"/>
              <w:spacing w:before="0" w:after="0"/>
              <w:ind w:left="0" w:right="0" w:hanging="0"/>
              <w:jc w:val="left"/>
              <w:rPr>
                <w:color w:val="000000"/>
              </w:rPr>
            </w:pPr>
            <w:r>
              <w:rPr>
                <w:color w:val="000000"/>
              </w:rPr>
              <w:t xml:space="preserve">  </w:t>
            </w:r>
          </w:p>
        </w:tc>
        <w:tc>
          <w:tcPr>
            <w:tcW w:w="753" w:type="dxa"/>
            <w:tcBorders/>
            <w:vAlign w:val="bottom"/>
          </w:tcPr>
          <w:p>
            <w:pPr>
              <w:pStyle w:val="TableContents"/>
              <w:bidi w:val="0"/>
              <w:spacing w:before="0" w:after="0"/>
              <w:ind w:left="0" w:right="0" w:hanging="0"/>
              <w:jc w:val="right"/>
              <w:rPr>
                <w:color w:val="000000"/>
              </w:rPr>
            </w:pPr>
            <w:bookmarkStart w:id="498" w:name="fs_TBV559FXFK00000000000000000000fs"/>
            <w:bookmarkEnd w:id="498"/>
            <w:r>
              <w:rPr>
                <w:color w:val="000000"/>
              </w:rPr>
              <w:t>—</w:t>
            </w:r>
          </w:p>
        </w:tc>
        <w:tc>
          <w:tcPr>
            <w:tcW w:w="161" w:type="dxa"/>
            <w:tcBorders/>
            <w:vAlign w:val="bottom"/>
          </w:tcPr>
          <w:p>
            <w:pPr>
              <w:pStyle w:val="TableContents"/>
              <w:bidi w:val="0"/>
              <w:spacing w:before="0" w:after="0"/>
              <w:ind w:left="0" w:right="0" w:hanging="0"/>
              <w:jc w:val="left"/>
              <w:rPr>
                <w:color w:val="000000"/>
              </w:rPr>
            </w:pPr>
            <w:r>
              <w:rPr>
                <w:color w:val="000000"/>
              </w:rPr>
              <w:t xml:space="preserve">  </w:t>
            </w:r>
          </w:p>
        </w:tc>
        <w:tc>
          <w:tcPr>
            <w:tcW w:w="161" w:type="dxa"/>
            <w:tcBorders/>
            <w:vAlign w:val="bottom"/>
          </w:tcPr>
          <w:p>
            <w:pPr>
              <w:pStyle w:val="TableContents"/>
              <w:bidi w:val="0"/>
              <w:spacing w:before="0" w:after="0"/>
              <w:ind w:left="0" w:right="0" w:hanging="0"/>
              <w:jc w:val="right"/>
              <w:rPr>
                <w:color w:val="000000"/>
              </w:rPr>
            </w:pPr>
            <w:r>
              <w:rPr>
                <w:color w:val="000000"/>
              </w:rPr>
              <w:t xml:space="preserve">  </w:t>
            </w:r>
          </w:p>
        </w:tc>
        <w:tc>
          <w:tcPr>
            <w:tcW w:w="456" w:type="dxa"/>
            <w:tcBorders/>
            <w:vAlign w:val="bottom"/>
          </w:tcPr>
          <w:p>
            <w:pPr>
              <w:pStyle w:val="TableContents"/>
              <w:bidi w:val="0"/>
              <w:spacing w:before="0" w:after="0"/>
              <w:ind w:left="0" w:right="0" w:hanging="0"/>
              <w:jc w:val="left"/>
              <w:rPr>
                <w:color w:val="000000"/>
              </w:rPr>
            </w:pPr>
            <w:r>
              <w:rPr>
                <w:color w:val="000000"/>
              </w:rPr>
              <w:t xml:space="preserve">  </w:t>
            </w:r>
          </w:p>
        </w:tc>
        <w:tc>
          <w:tcPr>
            <w:tcW w:w="958" w:type="dxa"/>
            <w:tcBorders/>
            <w:vAlign w:val="bottom"/>
          </w:tcPr>
          <w:p>
            <w:pPr>
              <w:pStyle w:val="TableContents"/>
              <w:bidi w:val="0"/>
              <w:spacing w:before="0" w:after="0"/>
              <w:ind w:left="0" w:right="0" w:hanging="0"/>
              <w:jc w:val="right"/>
              <w:rPr>
                <w:color w:val="000000"/>
              </w:rPr>
            </w:pPr>
            <w:bookmarkStart w:id="499" w:name="fs_ST092NKYF400000000000000000000fs"/>
            <w:bookmarkEnd w:id="499"/>
            <w:r>
              <w:rPr>
                <w:color w:val="000000"/>
              </w:rPr>
              <w:t>—</w:t>
            </w:r>
          </w:p>
        </w:tc>
        <w:tc>
          <w:tcPr>
            <w:tcW w:w="162" w:type="dxa"/>
            <w:tcBorders/>
            <w:vAlign w:val="bottom"/>
          </w:tcPr>
          <w:p>
            <w:pPr>
              <w:pStyle w:val="TableContents"/>
              <w:bidi w:val="0"/>
              <w:spacing w:before="0" w:after="0"/>
              <w:ind w:left="0" w:right="0" w:hanging="0"/>
              <w:jc w:val="left"/>
              <w:rPr>
                <w:color w:val="000000"/>
              </w:rPr>
            </w:pPr>
            <w:r>
              <w:rPr>
                <w:color w:val="000000"/>
              </w:rPr>
              <w:t xml:space="preserve">  </w:t>
            </w:r>
          </w:p>
        </w:tc>
      </w:tr>
      <w:tr>
        <w:trPr/>
        <w:tc>
          <w:tcPr>
            <w:tcW w:w="3086" w:type="dxa"/>
            <w:tcBorders/>
            <w:shd w:fill="CCEEFF" w:val="clear"/>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Total </w:t>
            </w:r>
          </w:p>
        </w:tc>
        <w:tc>
          <w:tcPr>
            <w:tcW w:w="161"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228" w:type="dxa"/>
            <w:tcBorders/>
            <w:shd w:fill="CCEEFF" w:val="clear"/>
            <w:vAlign w:val="bottom"/>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 </w:t>
            </w:r>
          </w:p>
        </w:tc>
        <w:tc>
          <w:tcPr>
            <w:tcW w:w="448" w:type="dxa"/>
            <w:tcBorders/>
            <w:shd w:fill="CCEEFF" w:val="clear"/>
            <w:vAlign w:val="bottom"/>
          </w:tcPr>
          <w:p>
            <w:pPr>
              <w:pStyle w:val="TableContents"/>
              <w:bidi w:val="0"/>
              <w:spacing w:before="0" w:after="0"/>
              <w:ind w:left="0" w:right="0" w:hanging="0"/>
              <w:jc w:val="right"/>
              <w:rPr>
                <w:rFonts w:ascii="times new roman;times" w:hAnsi="times new roman;times"/>
                <w:color w:val="000000"/>
                <w:sz w:val="20"/>
              </w:rPr>
            </w:pPr>
            <w:bookmarkStart w:id="500" w:name="fs_8DU3RMM01S00000000000000000000fs"/>
            <w:bookmarkEnd w:id="500"/>
            <w:r>
              <w:rPr>
                <w:rFonts w:ascii="times new roman;times" w:hAnsi="times new roman;times"/>
                <w:color w:val="000000"/>
                <w:sz w:val="20"/>
              </w:rPr>
              <w:t>0.6</w:t>
            </w:r>
          </w:p>
        </w:tc>
        <w:tc>
          <w:tcPr>
            <w:tcW w:w="161"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161"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372" w:type="dxa"/>
            <w:tcBorders/>
            <w:shd w:fill="CCEEFF" w:val="clear"/>
            <w:vAlign w:val="bottom"/>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 </w:t>
            </w:r>
          </w:p>
        </w:tc>
        <w:tc>
          <w:tcPr>
            <w:tcW w:w="821" w:type="dxa"/>
            <w:tcBorders/>
            <w:shd w:fill="CCEEFF" w:val="clear"/>
            <w:vAlign w:val="bottom"/>
          </w:tcPr>
          <w:p>
            <w:pPr>
              <w:pStyle w:val="TableContents"/>
              <w:bidi w:val="0"/>
              <w:spacing w:before="0" w:after="0"/>
              <w:ind w:left="0" w:right="0" w:hanging="0"/>
              <w:jc w:val="right"/>
              <w:rPr>
                <w:rFonts w:ascii="times new roman;times" w:hAnsi="times new roman;times"/>
                <w:color w:val="000000"/>
                <w:sz w:val="20"/>
              </w:rPr>
            </w:pPr>
            <w:bookmarkStart w:id="501" w:name="fs_2ZB1GLI6LC00000000000000000000fs"/>
            <w:bookmarkEnd w:id="501"/>
            <w:r>
              <w:rPr>
                <w:rFonts w:ascii="times new roman;times" w:hAnsi="times new roman;times"/>
                <w:color w:val="000000"/>
                <w:sz w:val="20"/>
              </w:rPr>
              <w:t>0.2</w:t>
            </w:r>
          </w:p>
        </w:tc>
        <w:tc>
          <w:tcPr>
            <w:tcW w:w="161"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161"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346" w:type="dxa"/>
            <w:tcBorders/>
            <w:shd w:fill="CCEEFF" w:val="clear"/>
            <w:vAlign w:val="bottom"/>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 </w:t>
            </w:r>
          </w:p>
        </w:tc>
        <w:tc>
          <w:tcPr>
            <w:tcW w:w="767" w:type="dxa"/>
            <w:tcBorders/>
            <w:shd w:fill="CCEEFF" w:val="clear"/>
            <w:vAlign w:val="bottom"/>
          </w:tcPr>
          <w:p>
            <w:pPr>
              <w:pStyle w:val="TableContents"/>
              <w:bidi w:val="0"/>
              <w:spacing w:before="0" w:after="0"/>
              <w:ind w:left="0" w:right="0" w:hanging="0"/>
              <w:jc w:val="right"/>
              <w:rPr>
                <w:rFonts w:ascii="times new roman;times" w:hAnsi="times new roman;times"/>
                <w:color w:val="000000"/>
                <w:sz w:val="20"/>
              </w:rPr>
            </w:pPr>
            <w:bookmarkStart w:id="502" w:name="fs_R2RWFN269S00000000000000000000fs"/>
            <w:bookmarkEnd w:id="502"/>
            <w:r>
              <w:rPr>
                <w:rFonts w:ascii="times new roman;times" w:hAnsi="times new roman;times"/>
                <w:color w:val="000000"/>
                <w:sz w:val="20"/>
              </w:rPr>
              <w:t>0.4</w:t>
            </w:r>
          </w:p>
        </w:tc>
        <w:tc>
          <w:tcPr>
            <w:tcW w:w="161"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161" w:type="dxa"/>
            <w:tcBorders/>
            <w:shd w:fill="CCEEFF" w:val="clear"/>
            <w:vAlign w:val="bottom"/>
          </w:tcPr>
          <w:p>
            <w:pPr>
              <w:pStyle w:val="TableContents"/>
              <w:bidi w:val="0"/>
              <w:spacing w:before="0" w:after="0"/>
              <w:ind w:left="0" w:right="0" w:hanging="0"/>
              <w:jc w:val="right"/>
              <w:rPr>
                <w:color w:val="000000"/>
              </w:rPr>
            </w:pPr>
            <w:r>
              <w:rPr>
                <w:color w:val="000000"/>
              </w:rPr>
              <w:t xml:space="preserve">  </w:t>
            </w:r>
          </w:p>
        </w:tc>
        <w:tc>
          <w:tcPr>
            <w:tcW w:w="359" w:type="dxa"/>
            <w:tcBorders/>
            <w:shd w:fill="CCEEFF" w:val="clear"/>
            <w:vAlign w:val="bottom"/>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 </w:t>
            </w:r>
          </w:p>
        </w:tc>
        <w:tc>
          <w:tcPr>
            <w:tcW w:w="753" w:type="dxa"/>
            <w:tcBorders/>
            <w:shd w:fill="CCEEFF" w:val="clear"/>
            <w:vAlign w:val="bottom"/>
          </w:tcPr>
          <w:p>
            <w:pPr>
              <w:pStyle w:val="TableContents"/>
              <w:bidi w:val="0"/>
              <w:spacing w:before="0" w:after="0"/>
              <w:ind w:left="0" w:right="0" w:hanging="0"/>
              <w:jc w:val="right"/>
              <w:rPr>
                <w:color w:val="000000"/>
              </w:rPr>
            </w:pPr>
            <w:bookmarkStart w:id="503" w:name="fs_XGBQQFWS0W00000000000000000000fs"/>
            <w:bookmarkEnd w:id="503"/>
            <w:r>
              <w:rPr>
                <w:color w:val="000000"/>
              </w:rPr>
              <w:t>—</w:t>
            </w:r>
          </w:p>
        </w:tc>
        <w:tc>
          <w:tcPr>
            <w:tcW w:w="161"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161" w:type="dxa"/>
            <w:tcBorders/>
            <w:shd w:fill="CCEEFF" w:val="clear"/>
            <w:vAlign w:val="bottom"/>
          </w:tcPr>
          <w:p>
            <w:pPr>
              <w:pStyle w:val="TableContents"/>
              <w:bidi w:val="0"/>
              <w:spacing w:before="0" w:after="0"/>
              <w:ind w:left="0" w:right="0" w:hanging="0"/>
              <w:jc w:val="right"/>
              <w:rPr>
                <w:color w:val="000000"/>
              </w:rPr>
            </w:pPr>
            <w:r>
              <w:rPr>
                <w:color w:val="000000"/>
              </w:rPr>
              <w:t xml:space="preserve">  </w:t>
            </w:r>
          </w:p>
        </w:tc>
        <w:tc>
          <w:tcPr>
            <w:tcW w:w="456" w:type="dxa"/>
            <w:tcBorders/>
            <w:shd w:fill="CCEEFF" w:val="clear"/>
            <w:vAlign w:val="bottom"/>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 </w:t>
            </w:r>
          </w:p>
        </w:tc>
        <w:tc>
          <w:tcPr>
            <w:tcW w:w="958" w:type="dxa"/>
            <w:tcBorders/>
            <w:shd w:fill="CCEEFF" w:val="clear"/>
            <w:vAlign w:val="bottom"/>
          </w:tcPr>
          <w:p>
            <w:pPr>
              <w:pStyle w:val="TableContents"/>
              <w:bidi w:val="0"/>
              <w:spacing w:before="0" w:after="0"/>
              <w:ind w:left="0" w:right="0" w:hanging="0"/>
              <w:jc w:val="right"/>
              <w:rPr>
                <w:color w:val="000000"/>
              </w:rPr>
            </w:pPr>
            <w:bookmarkStart w:id="504" w:name="fs_2A920KFECW00000000000000000000fs"/>
            <w:bookmarkEnd w:id="504"/>
            <w:r>
              <w:rPr>
                <w:color w:val="000000"/>
              </w:rPr>
              <w:t>—</w:t>
            </w:r>
          </w:p>
        </w:tc>
        <w:tc>
          <w:tcPr>
            <w:tcW w:w="162"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r>
    </w:tbl>
    <w:p>
      <w:pPr>
        <w:pStyle w:val="TextBody"/>
        <w:widowControl/>
        <w:bidi w:val="0"/>
        <w:spacing w:before="0" w:after="0"/>
        <w:jc w:val="left"/>
        <w:rPr>
          <w:b w:val="false"/>
          <w:b w:val="false"/>
          <w:bCs w:val="false"/>
          <w:i w:val="false"/>
          <w:i w:val="false"/>
          <w:iCs w:val="false"/>
          <w:caps w:val="false"/>
          <w:smallCaps w:val="false"/>
          <w:color w:val="000000"/>
          <w:spacing w:val="0"/>
          <w:sz w:val="20"/>
          <w:szCs w:val="20"/>
        </w:rPr>
      </w:pPr>
      <w:r>
        <w:rPr>
          <w:b w:val="false"/>
          <w:bCs w:val="false"/>
          <w:i w:val="false"/>
          <w:iCs w:val="false"/>
          <w:caps w:val="false"/>
          <w:smallCaps w:val="false"/>
          <w:color w:val="000000"/>
          <w:spacing w:val="0"/>
          <w:sz w:val="20"/>
          <w:szCs w:val="20"/>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left"/>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OFF-BALANCE SHEET ARRANGEMENTS</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We have no off-balance-sheet arrangements that have or are reasonably likely to have a current or future material effect on our financial condition, changes in financial conditions, revenues or expenses, results of operations, liquidity, capital expenditures or capital resources, results of operations or liquidity.   </w:t>
      </w:r>
    </w:p>
    <w:p>
      <w:pPr>
        <w:pStyle w:val="TextBody"/>
        <w:widowControl/>
        <w:bidi w:val="0"/>
        <w:spacing w:before="0" w:after="0"/>
        <w:ind w:left="0" w:right="0" w:hanging="0"/>
        <w:jc w:val="left"/>
        <w:rPr/>
      </w:pPr>
      <w:r>
        <w:rPr/>
      </w:r>
    </w:p>
    <w:p>
      <w:pPr>
        <w:pStyle w:val="TextBody"/>
        <w:widowControl/>
        <w:bidi w:val="0"/>
        <w:spacing w:before="0" w:after="0"/>
        <w:ind w:left="0" w:right="0" w:hanging="0"/>
        <w:jc w:val="left"/>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CRITICAL ACCOUNTING POLICIES AND ESTIMATES</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Our discussion and analysis are based on unaudited condensed consolidated financial statements prepared in accordance with U.S. GAAP. The preparation of these financial statements requires management to make estimates and assumptions that affect reported amounts of assets, liabilities, revenues, expenses, and related disclosures. Actual results could differ materially from those estimates. The estimates that we believe involve the most judgment and have the most significant potential to materially affect our results are summarized below; see the referenced notes for additional information.</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i/>
          <w:sz w:val="20"/>
        </w:rPr>
      </w:pPr>
      <w:r>
        <w:rPr>
          <w:rFonts w:ascii="times new roman;times" w:hAnsi="times new roman;times"/>
          <w:i/>
          <w:sz w:val="20"/>
        </w:rPr>
        <w:t xml:space="preserve">Held for sale measurement and impairment (ASC </w:t>
      </w:r>
      <w:bookmarkStart w:id="505" w:name="fs_6C6VBV5J5S00000000000000000000fs"/>
      <w:bookmarkEnd w:id="505"/>
      <w:r>
        <w:rPr>
          <w:rFonts w:ascii="times new roman;times" w:hAnsi="times new roman;times"/>
          <w:i/>
          <w:sz w:val="20"/>
        </w:rPr>
        <w:t xml:space="preserve">360) </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As of </w:t>
      </w:r>
      <w:bookmarkStart w:id="506" w:name="fs_4ISL3U1Y9C00000000000000000000FM"/>
      <w:bookmarkEnd w:id="506"/>
      <w:r>
        <w:rPr>
          <w:rFonts w:ascii="times new roman;times" w:hAnsi="times new roman;times"/>
          <w:sz w:val="20"/>
        </w:rPr>
        <w:t xml:space="preserve">September 30, 2025, we classified a disposal group of assets (intellectual property and certain inventories) as held for sale and measured it at the lower of carrying amount or fair value less costs to sell (FVLCTS). The determination of FVLCTS involves significant judgment, including consideration of an executed asset purchase agreement, market-participant assumptions, condition and salability of inventory, and estimated transaction costs. Changes in these inputs, including final closing adjustments, could result in additional impairment or reversal within discontinued operations. </w:t>
      </w:r>
      <w:r>
        <w:rPr>
          <w:rFonts w:ascii="times new roman;times" w:hAnsi="times new roman;times"/>
          <w:i/>
          <w:sz w:val="20"/>
        </w:rPr>
        <w:t xml:space="preserve">See Note </w:t>
      </w:r>
      <w:bookmarkStart w:id="507" w:name="fs_9VDMQ4Y9Q800000000000000000000fs"/>
      <w:bookmarkEnd w:id="507"/>
      <w:r>
        <w:rPr>
          <w:rFonts w:ascii="times new roman;times" w:hAnsi="times new roman;times"/>
          <w:i/>
          <w:sz w:val="20"/>
        </w:rPr>
        <w:t xml:space="preserve">2 — Discontinued Operations and Assets Held for Sale. </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i/>
          <w:sz w:val="20"/>
        </w:rPr>
      </w:pPr>
      <w:r>
        <w:rPr>
          <w:rFonts w:ascii="times new roman;times" w:hAnsi="times new roman;times"/>
          <w:i/>
          <w:sz w:val="20"/>
        </w:rPr>
        <w:t xml:space="preserve">Discontinued operations presentation (ASC </w:t>
      </w:r>
      <w:bookmarkStart w:id="508" w:name="fs_MY3TQIBRN400000000000000000000fs"/>
      <w:bookmarkEnd w:id="508"/>
      <w:r>
        <w:rPr>
          <w:rFonts w:ascii="times new roman;times" w:hAnsi="times new roman;times"/>
          <w:i/>
          <w:sz w:val="20"/>
        </w:rPr>
        <w:t>205-</w:t>
      </w:r>
      <w:bookmarkStart w:id="509" w:name="fs_LZMJU1NEY800000000000000000000fs"/>
      <w:bookmarkEnd w:id="509"/>
      <w:r>
        <w:rPr>
          <w:rFonts w:ascii="times new roman;times" w:hAnsi="times new roman;times"/>
          <w:i/>
          <w:sz w:val="20"/>
        </w:rPr>
        <w:t xml:space="preserve">20) </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We determined that disposal of the product business represents a strategic shift with a major effect on operations and financial results. Accordingly, we present the disposed component as discontinued operations for all periods shown. This requires management judgment in identifying direct vs. indirect costs, ceasing depreciation/amortization within the disposal group of assets, and recasting prior periods. </w:t>
      </w:r>
      <w:r>
        <w:rPr>
          <w:rFonts w:ascii="times new roman;times" w:hAnsi="times new roman;times"/>
          <w:i/>
          <w:sz w:val="20"/>
        </w:rPr>
        <w:t xml:space="preserve">See Note </w:t>
      </w:r>
      <w:bookmarkStart w:id="510" w:name="fs_OGD7XDA5MO00000000000000000000fs"/>
      <w:bookmarkEnd w:id="510"/>
      <w:r>
        <w:rPr>
          <w:rFonts w:ascii="times new roman;times" w:hAnsi="times new roman;times"/>
          <w:i/>
          <w:sz w:val="20"/>
        </w:rPr>
        <w:t>2.</w:t>
      </w:r>
    </w:p>
    <w:p>
      <w:pPr>
        <w:pStyle w:val="TextBody"/>
        <w:bidi w:val="0"/>
        <w:spacing w:lineRule="auto" w:line="288" w:before="0" w:after="0"/>
        <w:ind w:left="0" w:right="0" w:hanging="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bookmarkStart w:id="511" w:name="PageBreakNo26"/>
            <w:bookmarkEnd w:id="511"/>
            <w:r>
              <w:rPr>
                <w:sz w:val="20"/>
              </w:rPr>
              <w:t>26</w:t>
            </w:r>
          </w:p>
        </w:tc>
      </w:tr>
    </w:tbl>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0" w:after="0"/>
        <w:jc w:val="left"/>
        <w:rPr/>
      </w:pPr>
      <w:r>
        <w:rPr/>
      </w:r>
    </w:p>
    <w:p>
      <w:pPr>
        <w:pStyle w:val="TextBody"/>
        <w:bidi w:val="0"/>
        <w:spacing w:before="0" w:after="0"/>
        <w:jc w:val="left"/>
        <w:rPr/>
      </w:pPr>
      <w:hyperlink w:anchor="TOC">
        <w:r>
          <w:rPr>
            <w:rStyle w:val="InternetLink"/>
            <w:sz w:val="20"/>
          </w:rPr>
          <w:t>Table of Contents</w:t>
        </w:r>
      </w:hyperlink>
    </w:p>
    <w:p>
      <w:pPr>
        <w:pStyle w:val="TextBody"/>
        <w:bidi w:val="0"/>
        <w:spacing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i/>
          <w:sz w:val="20"/>
        </w:rPr>
      </w:pPr>
      <w:r>
        <w:rPr>
          <w:rFonts w:ascii="times new roman;times" w:hAnsi="times new roman;times"/>
          <w:i/>
          <w:sz w:val="20"/>
        </w:rPr>
        <w:t xml:space="preserve">Warranty obligations (ASC </w:t>
      </w:r>
      <w:bookmarkStart w:id="512" w:name="fs_GAJ6HIV75S00000000000000000000fs"/>
      <w:bookmarkEnd w:id="512"/>
      <w:r>
        <w:rPr>
          <w:rFonts w:ascii="times new roman;times" w:hAnsi="times new roman;times"/>
          <w:i/>
          <w:sz w:val="20"/>
        </w:rPr>
        <w:t xml:space="preserve">460) </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We retained responsibility for legacy product warranties. The warranty liability reflects estimates of expected claim rates, parts and labor costs, and logistics, informed by historical experience and current product information. Actual experience could differ, requiring increases or decreases to the liability and impacting continuing operations. </w:t>
      </w:r>
      <w:r>
        <w:rPr>
          <w:rFonts w:ascii="times new roman;times" w:hAnsi="times new roman;times"/>
          <w:i/>
          <w:sz w:val="20"/>
        </w:rPr>
        <w:t xml:space="preserve">See Note </w:t>
      </w:r>
      <w:bookmarkStart w:id="513" w:name="fs_FQH0MQ150W00000000000000000000fs"/>
      <w:bookmarkEnd w:id="513"/>
      <w:r>
        <w:rPr>
          <w:rFonts w:ascii="times new roman;times" w:hAnsi="times new roman;times"/>
          <w:i/>
          <w:sz w:val="20"/>
        </w:rPr>
        <w:t xml:space="preserve">1 and MD&amp;A — Continuing Operations. </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i/>
          <w:sz w:val="20"/>
        </w:rPr>
      </w:pPr>
      <w:r>
        <w:rPr>
          <w:rFonts w:ascii="times new roman;times" w:hAnsi="times new roman;times"/>
          <w:i/>
          <w:sz w:val="20"/>
        </w:rPr>
        <w:t xml:space="preserve">Going concern (ASC </w:t>
      </w:r>
      <w:bookmarkStart w:id="514" w:name="fs_BO6IKFEL2800000000000000000000fs"/>
      <w:bookmarkEnd w:id="514"/>
      <w:r>
        <w:rPr>
          <w:rFonts w:ascii="times new roman;times" w:hAnsi="times new roman;times"/>
          <w:i/>
          <w:sz w:val="20"/>
        </w:rPr>
        <w:t>205-</w:t>
      </w:r>
      <w:bookmarkStart w:id="515" w:name="fs_FY2JVWXBKW00000000000000000000fs"/>
      <w:bookmarkEnd w:id="515"/>
      <w:r>
        <w:rPr>
          <w:rFonts w:ascii="times new roman;times" w:hAnsi="times new roman;times"/>
          <w:i/>
          <w:sz w:val="20"/>
        </w:rPr>
        <w:t xml:space="preserve">40) </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We evaluate conditions and events that raise substantial doubt about our ability to continue as a going concern within </w:t>
      </w:r>
      <w:bookmarkStart w:id="516" w:name="fs_GE4D7M4QTC00000000000000000000fs"/>
      <w:bookmarkEnd w:id="516"/>
      <w:r>
        <w:rPr>
          <w:rFonts w:ascii="times new roman;times" w:hAnsi="times new roman;times"/>
          <w:sz w:val="20"/>
        </w:rPr>
        <w:t xml:space="preserve">one year after financial statement issuance, including historical losses, liquidity levels, the requirement to redeem Class A from net asset-sale proceeds, and the profile of continuing operations (warranty, public-company costs, restructuring). Our conclusions require judgment about the timing and success of plans (asset monetization, lease exits, financing). </w:t>
      </w:r>
      <w:r>
        <w:rPr>
          <w:rFonts w:ascii="times new roman;times" w:hAnsi="times new roman;times"/>
          <w:i/>
          <w:sz w:val="20"/>
        </w:rPr>
        <w:t xml:space="preserve">See Note </w:t>
      </w:r>
      <w:bookmarkStart w:id="517" w:name="fs_PSKUKUTODS00000000000000000000fs"/>
      <w:bookmarkEnd w:id="517"/>
      <w:r>
        <w:rPr>
          <w:rFonts w:ascii="times new roman;times" w:hAnsi="times new roman;times"/>
          <w:i/>
          <w:sz w:val="20"/>
        </w:rPr>
        <w:t xml:space="preserve">1 — Going Concern and Liquidity. </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i/>
          <w:sz w:val="20"/>
        </w:rPr>
      </w:pPr>
      <w:r>
        <w:rPr>
          <w:rFonts w:ascii="times new roman;times" w:hAnsi="times new roman;times"/>
          <w:i/>
          <w:sz w:val="20"/>
        </w:rPr>
        <w:t xml:space="preserve">Temporary equity — Class A Redeemable Preferred (ASC </w:t>
      </w:r>
      <w:bookmarkStart w:id="518" w:name="fs_80OVN0T1I800000000000000000000fs"/>
      <w:bookmarkEnd w:id="518"/>
      <w:r>
        <w:rPr>
          <w:rFonts w:ascii="times new roman;times" w:hAnsi="times new roman;times"/>
          <w:i/>
          <w:sz w:val="20"/>
        </w:rPr>
        <w:t>480-10-S</w:t>
      </w:r>
      <w:bookmarkStart w:id="519" w:name="fs_SUU1MMWJB400000000000000000000fs"/>
      <w:bookmarkEnd w:id="519"/>
      <w:r>
        <w:rPr>
          <w:rFonts w:ascii="times new roman;times" w:hAnsi="times new roman;times"/>
          <w:i/>
          <w:sz w:val="20"/>
        </w:rPr>
        <w:t xml:space="preserve">99) </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Class A is mandatorily redeemable upon a qualifying asset sale for </w:t>
      </w:r>
      <w:bookmarkStart w:id="520" w:name="fs_BJN52V3JQO00000000000000000000fs"/>
      <w:bookmarkEnd w:id="520"/>
      <w:r>
        <w:rPr>
          <w:rFonts w:ascii="times new roman;times" w:hAnsi="times new roman;times"/>
          <w:sz w:val="20"/>
        </w:rPr>
        <w:t xml:space="preserve">100% of net proceeds and is presented in temporary equity. Judgment is required to assess accretion to redemption value (e.g., when redemption becomes probable and reasonably estimable) and to evaluate EPS participation. </w:t>
      </w:r>
      <w:r>
        <w:rPr>
          <w:rFonts w:ascii="times new roman;times" w:hAnsi="times new roman;times"/>
          <w:i/>
          <w:sz w:val="20"/>
        </w:rPr>
        <w:t xml:space="preserve">See Note </w:t>
      </w:r>
      <w:bookmarkStart w:id="521" w:name="fs_OV19LZO57400000000000000000000fs"/>
      <w:bookmarkEnd w:id="521"/>
      <w:r>
        <w:rPr>
          <w:rFonts w:ascii="times new roman;times" w:hAnsi="times new roman;times"/>
          <w:i/>
          <w:sz w:val="20"/>
        </w:rPr>
        <w:t xml:space="preserve">3 — Class A Redeemable Preferred. </w:t>
      </w:r>
    </w:p>
    <w:p>
      <w:pPr>
        <w:pStyle w:val="TextBody"/>
        <w:bidi w:val="0"/>
        <w:spacing w:lineRule="auto" w:line="288" w:before="0" w:after="0"/>
        <w:ind w:left="0" w:right="0" w:hanging="0"/>
        <w:jc w:val="both"/>
        <w:rPr/>
      </w:pPr>
      <w:r>
        <w:rPr/>
      </w:r>
    </w:p>
    <w:p>
      <w:pPr>
        <w:pStyle w:val="TextBody"/>
        <w:widowControl/>
        <w:bidi w:val="0"/>
        <w:spacing w:lineRule="auto" w:line="288" w:before="0" w:after="0"/>
        <w:ind w:left="0" w:right="0" w:hanging="0"/>
        <w:jc w:val="both"/>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RECENT ACCOUNTING PRONOUNCEMENTS</w:t>
      </w:r>
    </w:p>
    <w:p>
      <w:pPr>
        <w:pStyle w:val="TextBody"/>
        <w:widowControl/>
        <w:bidi w:val="0"/>
        <w:spacing w:lineRule="auto" w:line="288" w:before="0" w:after="0"/>
        <w:ind w:left="0" w:right="0" w:hanging="0"/>
        <w:jc w:val="both"/>
        <w:rPr>
          <w:caps w:val="false"/>
          <w:smallCaps w:val="false"/>
          <w:color w:val="000000"/>
          <w:spacing w:val="0"/>
        </w:rPr>
      </w:pPr>
      <w:r>
        <w:rPr>
          <w:caps w:val="false"/>
          <w:smallCaps w:val="false"/>
          <w:color w:val="000000"/>
          <w:spacing w:val="0"/>
        </w:rPr>
        <w:t> </w:t>
      </w:r>
    </w:p>
    <w:p>
      <w:pPr>
        <w:pStyle w:val="TextBody"/>
        <w:widowControl/>
        <w:bidi w:val="0"/>
        <w:spacing w:lineRule="auto" w:line="288"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For a discussion of recent accounting pronouncements, see Note </w:t>
      </w:r>
      <w:bookmarkStart w:id="522" w:name="fs_ASF45IBM8000000000000000000000fs"/>
      <w:bookmarkEnd w:id="522"/>
      <w:r>
        <w:rPr>
          <w:rFonts w:ascii="times new roman;times" w:hAnsi="times new roman;times"/>
          <w:b w:val="false"/>
          <w:i w:val="false"/>
          <w:caps w:val="false"/>
          <w:smallCaps w:val="false"/>
          <w:color w:val="000000"/>
          <w:spacing w:val="0"/>
          <w:sz w:val="20"/>
        </w:rPr>
        <w:t>1</w:t>
      </w:r>
      <w:r>
        <w:rPr>
          <w:rFonts w:ascii="times new roman;times" w:hAnsi="times new roman;times"/>
          <w:b w:val="false"/>
          <w:i w:val="false"/>
          <w:caps w:val="false"/>
          <w:smallCaps w:val="false"/>
          <w:color w:val="000000"/>
          <w:spacing w:val="0"/>
          <w:sz w:val="20"/>
        </w:rPr>
        <w:t>: “Business Description, Basis of Presentation and Significant Accounting Policies” in the notes to our unaudited condensed consolidated financial statements included under Item </w:t>
      </w:r>
      <w:bookmarkStart w:id="523" w:name="fs_YWPLDUCFBK00000000000000000000fs"/>
      <w:bookmarkEnd w:id="523"/>
      <w:r>
        <w:rPr>
          <w:rFonts w:ascii="times new roman;times" w:hAnsi="times new roman;times"/>
          <w:b w:val="false"/>
          <w:i w:val="false"/>
          <w:caps w:val="false"/>
          <w:smallCaps w:val="false"/>
          <w:color w:val="000000"/>
          <w:spacing w:val="0"/>
          <w:sz w:val="20"/>
        </w:rPr>
        <w:t>1</w:t>
      </w:r>
      <w:r>
        <w:rPr>
          <w:rFonts w:ascii="times new roman;times" w:hAnsi="times new roman;times"/>
          <w:b w:val="false"/>
          <w:i w:val="false"/>
          <w:caps w:val="false"/>
          <w:smallCaps w:val="false"/>
          <w:color w:val="000000"/>
          <w:spacing w:val="0"/>
          <w:sz w:val="20"/>
        </w:rPr>
        <w:t> of this Form 10-Q.</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i/>
          <w:sz w:val="20"/>
        </w:rPr>
      </w:pPr>
      <w:r>
        <w:rPr>
          <w:rFonts w:ascii="times new roman;times" w:hAnsi="times new roman;times"/>
          <w:i/>
          <w:sz w:val="20"/>
        </w:rPr>
        <w:t>Discontinued Operations</w:t>
      </w:r>
    </w:p>
    <w:p>
      <w:pPr>
        <w:pStyle w:val="TextBody"/>
        <w:widowControl/>
        <w:bidi w:val="0"/>
        <w:spacing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10205" w:type="dxa"/>
        <w:jc w:val="left"/>
        <w:tblInd w:w="0" w:type="dxa"/>
        <w:tblLayout w:type="fixed"/>
        <w:tblCellMar>
          <w:top w:w="0" w:type="dxa"/>
          <w:left w:w="0" w:type="dxa"/>
          <w:bottom w:w="0" w:type="dxa"/>
          <w:right w:w="0" w:type="dxa"/>
        </w:tblCellMar>
      </w:tblPr>
      <w:tblGrid>
        <w:gridCol w:w="2049"/>
        <w:gridCol w:w="60"/>
        <w:gridCol w:w="144"/>
        <w:gridCol w:w="754"/>
        <w:gridCol w:w="92"/>
        <w:gridCol w:w="69"/>
        <w:gridCol w:w="144"/>
        <w:gridCol w:w="632"/>
        <w:gridCol w:w="92"/>
        <w:gridCol w:w="69"/>
        <w:gridCol w:w="261"/>
        <w:gridCol w:w="1731"/>
        <w:gridCol w:w="80"/>
        <w:gridCol w:w="23"/>
        <w:gridCol w:w="145"/>
        <w:gridCol w:w="758"/>
        <w:gridCol w:w="93"/>
        <w:gridCol w:w="26"/>
        <w:gridCol w:w="145"/>
        <w:gridCol w:w="636"/>
        <w:gridCol w:w="93"/>
        <w:gridCol w:w="26"/>
        <w:gridCol w:w="108"/>
        <w:gridCol w:w="1884"/>
        <w:gridCol w:w="91"/>
      </w:tblGrid>
      <w:tr>
        <w:trPr/>
        <w:tc>
          <w:tcPr>
            <w:tcW w:w="20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988" w:type="dxa"/>
            <w:gridSpan w:val="10"/>
            <w:tcBorders/>
            <w:vAlign w:val="center"/>
          </w:tcPr>
          <w:p>
            <w:pPr>
              <w:pStyle w:val="TableContents"/>
              <w:bidi w:val="0"/>
              <w:spacing w:before="0" w:after="0"/>
              <w:ind w:left="0" w:right="0" w:hanging="0"/>
              <w:jc w:val="center"/>
              <w:rPr>
                <w:rFonts w:ascii="times new roman;times" w:hAnsi="times new roman;times"/>
                <w:b/>
                <w:sz w:val="20"/>
              </w:rPr>
            </w:pPr>
            <w:bookmarkStart w:id="524" w:name="fs_CGS6IWCX1S00000000000000000000FM"/>
            <w:bookmarkEnd w:id="524"/>
            <w:r>
              <w:rPr>
                <w:rFonts w:ascii="times new roman;times" w:hAnsi="times new roman;times"/>
                <w:b/>
                <w:sz w:val="20"/>
              </w:rPr>
              <w:t>Three months ended September 30,</w:t>
            </w:r>
          </w:p>
        </w:tc>
        <w:tc>
          <w:tcPr>
            <w:tcW w:w="80" w:type="dxa"/>
            <w:tcBorders/>
            <w:vAlign w:val="center"/>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ind w:left="0" w:right="0" w:hanging="0"/>
              <w:jc w:val="left"/>
              <w:rPr/>
            </w:pPr>
            <w:r>
              <w:rPr/>
            </w:r>
          </w:p>
        </w:tc>
        <w:tc>
          <w:tcPr>
            <w:tcW w:w="3914" w:type="dxa"/>
            <w:gridSpan w:val="10"/>
            <w:tcBorders/>
            <w:vAlign w:val="center"/>
          </w:tcPr>
          <w:p>
            <w:pPr>
              <w:pStyle w:val="TableContents"/>
              <w:bidi w:val="0"/>
              <w:spacing w:before="0" w:after="283"/>
              <w:ind w:left="0" w:right="0" w:hanging="0"/>
              <w:jc w:val="center"/>
              <w:rPr>
                <w:rFonts w:ascii="times new roman;times" w:hAnsi="times new roman;times"/>
                <w:b/>
                <w:sz w:val="20"/>
              </w:rPr>
            </w:pPr>
            <w:bookmarkStart w:id="525" w:name="fs_QSJ7EZMVA800000000000000000000FM"/>
            <w:bookmarkEnd w:id="525"/>
            <w:r>
              <w:rPr>
                <w:rFonts w:ascii="times new roman;times" w:hAnsi="times new roman;times"/>
                <w:b/>
                <w:sz w:val="20"/>
              </w:rPr>
              <w:t>Nine months ended September 30,</w:t>
            </w:r>
          </w:p>
        </w:tc>
        <w:tc>
          <w:tcPr>
            <w:tcW w:w="91" w:type="dxa"/>
            <w:tcBorders/>
            <w:vAlign w:val="center"/>
          </w:tcPr>
          <w:p>
            <w:pPr>
              <w:pStyle w:val="TableContents"/>
              <w:bidi w:val="0"/>
              <w:spacing w:before="0" w:after="283"/>
              <w:ind w:left="0" w:right="0" w:hanging="0"/>
              <w:jc w:val="left"/>
              <w:rPr/>
            </w:pPr>
            <w:r>
              <w:rPr/>
            </w:r>
          </w:p>
        </w:tc>
      </w:tr>
      <w:tr>
        <w:trPr/>
        <w:tc>
          <w:tcPr>
            <w:tcW w:w="2049" w:type="dxa"/>
            <w:tcBorders/>
            <w:vAlign w:val="center"/>
          </w:tcPr>
          <w:p>
            <w:pPr>
              <w:pStyle w:val="TableContents"/>
              <w:widowControl/>
              <w:bidi w:val="0"/>
              <w:spacing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(dollars in thousands)</w:t>
            </w:r>
          </w:p>
        </w:tc>
        <w:tc>
          <w:tcPr>
            <w:tcW w:w="60" w:type="dxa"/>
            <w:tcBorders/>
            <w:vAlign w:val="center"/>
          </w:tcPr>
          <w:p>
            <w:pPr>
              <w:pStyle w:val="TableContents"/>
              <w:bidi w:val="0"/>
              <w:spacing w:before="0" w:after="283"/>
              <w:ind w:left="0" w:right="0" w:hanging="0"/>
              <w:jc w:val="left"/>
              <w:rPr>
                <w:sz w:val="4"/>
                <w:szCs w:val="4"/>
              </w:rPr>
            </w:pPr>
            <w:r>
              <w:rPr>
                <w:sz w:val="4"/>
                <w:szCs w:val="4"/>
              </w:rPr>
            </w:r>
          </w:p>
        </w:tc>
        <w:tc>
          <w:tcPr>
            <w:tcW w:w="898" w:type="dxa"/>
            <w:gridSpan w:val="2"/>
            <w:tcBorders/>
            <w:vAlign w:val="center"/>
          </w:tcPr>
          <w:p>
            <w:pPr>
              <w:pStyle w:val="TableContents"/>
              <w:pBdr/>
              <w:bidi w:val="0"/>
              <w:spacing w:before="0" w:after="0"/>
              <w:ind w:left="0" w:right="0" w:hanging="0"/>
              <w:jc w:val="center"/>
              <w:rPr>
                <w:rFonts w:ascii="times new roman;times" w:hAnsi="times new roman;times"/>
                <w:b/>
                <w:sz w:val="20"/>
              </w:rPr>
            </w:pPr>
            <w:bookmarkStart w:id="526" w:name="fs_70ZGQAZUV400000000000000000000fs"/>
            <w:bookmarkEnd w:id="526"/>
            <w:r>
              <w:rPr>
                <w:rFonts w:ascii="times new roman;times" w:hAnsi="times new roman;times"/>
                <w:b/>
                <w:sz w:val="20"/>
              </w:rPr>
              <w:t>2025</w:t>
            </w:r>
          </w:p>
        </w:tc>
        <w:tc>
          <w:tcPr>
            <w:tcW w:w="92" w:type="dxa"/>
            <w:tcBorders/>
            <w:vAlign w:val="center"/>
          </w:tcPr>
          <w:p>
            <w:pPr>
              <w:pStyle w:val="TableContents"/>
              <w:bidi w:val="0"/>
              <w:spacing w:before="0" w:after="0"/>
              <w:ind w:left="0" w:right="0" w:hanging="0"/>
              <w:jc w:val="left"/>
              <w:rPr/>
            </w:pPr>
            <w:r>
              <w:rPr/>
              <w:t> </w:t>
            </w:r>
          </w:p>
        </w:tc>
        <w:tc>
          <w:tcPr>
            <w:tcW w:w="69" w:type="dxa"/>
            <w:tcBorders/>
            <w:vAlign w:val="center"/>
          </w:tcPr>
          <w:p>
            <w:pPr>
              <w:pStyle w:val="TableContents"/>
              <w:bidi w:val="0"/>
              <w:spacing w:before="0" w:after="0"/>
              <w:ind w:left="0" w:right="0" w:hanging="0"/>
              <w:jc w:val="left"/>
              <w:rPr/>
            </w:pPr>
            <w:r>
              <w:rPr/>
              <w:t> </w:t>
            </w:r>
          </w:p>
        </w:tc>
        <w:tc>
          <w:tcPr>
            <w:tcW w:w="776" w:type="dxa"/>
            <w:gridSpan w:val="2"/>
            <w:tcBorders/>
            <w:vAlign w:val="center"/>
          </w:tcPr>
          <w:p>
            <w:pPr>
              <w:pStyle w:val="TableContents"/>
              <w:pBdr/>
              <w:bidi w:val="0"/>
              <w:spacing w:before="0" w:after="0"/>
              <w:ind w:left="0" w:right="0" w:hanging="0"/>
              <w:jc w:val="center"/>
              <w:rPr>
                <w:rFonts w:ascii="times new roman;times" w:hAnsi="times new roman;times"/>
                <w:b/>
                <w:sz w:val="20"/>
              </w:rPr>
            </w:pPr>
            <w:bookmarkStart w:id="527" w:name="fs_3AOSLKOB4G00000000000000000000fs"/>
            <w:bookmarkEnd w:id="527"/>
            <w:r>
              <w:rPr>
                <w:rFonts w:ascii="times new roman;times" w:hAnsi="times new roman;times"/>
                <w:b/>
                <w:sz w:val="20"/>
              </w:rPr>
              <w:t>2024</w:t>
            </w:r>
          </w:p>
        </w:tc>
        <w:tc>
          <w:tcPr>
            <w:tcW w:w="92" w:type="dxa"/>
            <w:tcBorders/>
            <w:vAlign w:val="center"/>
          </w:tcPr>
          <w:p>
            <w:pPr>
              <w:pStyle w:val="TableContents"/>
              <w:bidi w:val="0"/>
              <w:spacing w:before="0" w:after="0"/>
              <w:ind w:left="0" w:right="0" w:hanging="0"/>
              <w:jc w:val="left"/>
              <w:rPr/>
            </w:pPr>
            <w:r>
              <w:rPr/>
              <w:t> </w:t>
            </w:r>
          </w:p>
        </w:tc>
        <w:tc>
          <w:tcPr>
            <w:tcW w:w="69" w:type="dxa"/>
            <w:tcBorders/>
            <w:vAlign w:val="center"/>
          </w:tcPr>
          <w:p>
            <w:pPr>
              <w:pStyle w:val="TableContents"/>
              <w:bidi w:val="0"/>
              <w:spacing w:before="0" w:after="0"/>
              <w:ind w:left="0" w:right="0" w:hanging="0"/>
              <w:jc w:val="left"/>
              <w:rPr/>
            </w:pPr>
            <w:r>
              <w:rPr/>
              <w:t> </w:t>
            </w:r>
          </w:p>
        </w:tc>
        <w:tc>
          <w:tcPr>
            <w:tcW w:w="1992" w:type="dxa"/>
            <w:gridSpan w:val="2"/>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Change Favorable (Adverse) in %</w:t>
            </w:r>
          </w:p>
        </w:tc>
        <w:tc>
          <w:tcPr>
            <w:tcW w:w="80" w:type="dxa"/>
            <w:tcBorders/>
            <w:vAlign w:val="center"/>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ind w:left="0" w:right="0" w:hanging="0"/>
              <w:jc w:val="left"/>
              <w:rPr/>
            </w:pPr>
            <w:r>
              <w:rPr/>
            </w:r>
          </w:p>
        </w:tc>
        <w:tc>
          <w:tcPr>
            <w:tcW w:w="903" w:type="dxa"/>
            <w:gridSpan w:val="2"/>
            <w:tcBorders/>
            <w:vAlign w:val="center"/>
          </w:tcPr>
          <w:p>
            <w:pPr>
              <w:pStyle w:val="TableContents"/>
              <w:bidi w:val="0"/>
              <w:spacing w:before="0" w:after="0"/>
              <w:ind w:left="0" w:right="0" w:hanging="0"/>
              <w:jc w:val="center"/>
              <w:rPr>
                <w:rFonts w:ascii="times new roman;times" w:hAnsi="times new roman;times"/>
                <w:b/>
                <w:sz w:val="20"/>
              </w:rPr>
            </w:pPr>
            <w:bookmarkStart w:id="528" w:name="fs_0KVWT3P1W000000000000000000000fs"/>
            <w:bookmarkEnd w:id="528"/>
            <w:r>
              <w:rPr>
                <w:rFonts w:ascii="times new roman;times" w:hAnsi="times new roman;times"/>
                <w:b/>
                <w:sz w:val="20"/>
              </w:rPr>
              <w:t>2025</w:t>
            </w:r>
          </w:p>
        </w:tc>
        <w:tc>
          <w:tcPr>
            <w:tcW w:w="93" w:type="dxa"/>
            <w:tcBorders/>
            <w:vAlign w:val="center"/>
          </w:tcPr>
          <w:p>
            <w:pPr>
              <w:pStyle w:val="TableContents"/>
              <w:bidi w:val="0"/>
              <w:spacing w:before="0" w:after="283"/>
              <w:ind w:left="0" w:right="0" w:hanging="0"/>
              <w:jc w:val="left"/>
              <w:rPr/>
            </w:pPr>
            <w:r>
              <w:rPr/>
            </w:r>
          </w:p>
        </w:tc>
        <w:tc>
          <w:tcPr>
            <w:tcW w:w="26" w:type="dxa"/>
            <w:tcBorders/>
            <w:vAlign w:val="center"/>
          </w:tcPr>
          <w:p>
            <w:pPr>
              <w:pStyle w:val="TableContents"/>
              <w:bidi w:val="0"/>
              <w:spacing w:before="0" w:after="283"/>
              <w:ind w:left="0" w:right="0" w:hanging="0"/>
              <w:jc w:val="left"/>
              <w:rPr/>
            </w:pPr>
            <w:r>
              <w:rPr/>
            </w:r>
          </w:p>
        </w:tc>
        <w:tc>
          <w:tcPr>
            <w:tcW w:w="781" w:type="dxa"/>
            <w:gridSpan w:val="2"/>
            <w:tcBorders/>
            <w:vAlign w:val="center"/>
          </w:tcPr>
          <w:p>
            <w:pPr>
              <w:pStyle w:val="TableContents"/>
              <w:bidi w:val="0"/>
              <w:spacing w:before="0" w:after="0"/>
              <w:ind w:left="0" w:right="0" w:hanging="0"/>
              <w:jc w:val="center"/>
              <w:rPr>
                <w:rFonts w:ascii="times new roman;times" w:hAnsi="times new roman;times"/>
                <w:b/>
                <w:sz w:val="20"/>
              </w:rPr>
            </w:pPr>
            <w:bookmarkStart w:id="529" w:name="fs_JIE0FND5E800000000000000000000fs"/>
            <w:bookmarkEnd w:id="529"/>
            <w:r>
              <w:rPr>
                <w:rFonts w:ascii="times new roman;times" w:hAnsi="times new roman;times"/>
                <w:b/>
                <w:sz w:val="20"/>
              </w:rPr>
              <w:t>2024</w:t>
            </w:r>
          </w:p>
        </w:tc>
        <w:tc>
          <w:tcPr>
            <w:tcW w:w="93" w:type="dxa"/>
            <w:tcBorders/>
            <w:vAlign w:val="center"/>
          </w:tcPr>
          <w:p>
            <w:pPr>
              <w:pStyle w:val="TableContents"/>
              <w:bidi w:val="0"/>
              <w:spacing w:before="0" w:after="283"/>
              <w:ind w:left="0" w:right="0" w:hanging="0"/>
              <w:jc w:val="left"/>
              <w:rPr/>
            </w:pPr>
            <w:r>
              <w:rPr/>
            </w:r>
          </w:p>
        </w:tc>
        <w:tc>
          <w:tcPr>
            <w:tcW w:w="26" w:type="dxa"/>
            <w:tcBorders/>
            <w:vAlign w:val="center"/>
          </w:tcPr>
          <w:p>
            <w:pPr>
              <w:pStyle w:val="TableContents"/>
              <w:bidi w:val="0"/>
              <w:spacing w:before="0" w:after="283"/>
              <w:ind w:left="0" w:right="0" w:hanging="0"/>
              <w:jc w:val="left"/>
              <w:rPr/>
            </w:pPr>
            <w:r>
              <w:rPr/>
            </w:r>
          </w:p>
        </w:tc>
        <w:tc>
          <w:tcPr>
            <w:tcW w:w="1992" w:type="dxa"/>
            <w:gridSpan w:val="2"/>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Change Favorable (Adverse) in %</w:t>
            </w:r>
          </w:p>
        </w:tc>
        <w:tc>
          <w:tcPr>
            <w:tcW w:w="91" w:type="dxa"/>
            <w:tcBorders/>
            <w:vAlign w:val="center"/>
          </w:tcPr>
          <w:p>
            <w:pPr>
              <w:pStyle w:val="TableContents"/>
              <w:bidi w:val="0"/>
              <w:spacing w:before="0" w:after="283"/>
              <w:ind w:left="0" w:right="0" w:hanging="0"/>
              <w:jc w:val="left"/>
              <w:rPr/>
            </w:pPr>
            <w:r>
              <w:rPr/>
            </w:r>
          </w:p>
        </w:tc>
      </w:tr>
      <w:tr>
        <w:trPr/>
        <w:tc>
          <w:tcPr>
            <w:tcW w:w="2049" w:type="dxa"/>
            <w:tcBorders/>
            <w:shd w:fill="CCEEFF" w:val="clear"/>
            <w:vAlign w:val="bottom"/>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Revenue </w:t>
            </w:r>
          </w:p>
        </w:tc>
        <w:tc>
          <w:tcPr>
            <w:tcW w:w="60" w:type="dxa"/>
            <w:tcBorders/>
            <w:shd w:fill="CCEEFF" w:val="clear"/>
            <w:vAlign w:val="bottom"/>
          </w:tcPr>
          <w:p>
            <w:pPr>
              <w:pStyle w:val="TableContents"/>
              <w:bidi w:val="0"/>
              <w:spacing w:before="0" w:after="0"/>
              <w:ind w:left="0" w:right="0" w:hanging="0"/>
              <w:jc w:val="left"/>
              <w:rPr/>
            </w:pPr>
            <w:r>
              <w:rPr/>
              <w:t> </w:t>
            </w:r>
          </w:p>
        </w:tc>
        <w:tc>
          <w:tcPr>
            <w:tcW w:w="144" w:type="dxa"/>
            <w:tcBorders/>
            <w:shd w:fill="CCEEFF" w:val="clear"/>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754" w:type="dxa"/>
            <w:tcBorders/>
            <w:shd w:fill="CCEEFF" w:val="clear"/>
            <w:vAlign w:val="bottom"/>
          </w:tcPr>
          <w:p>
            <w:pPr>
              <w:pStyle w:val="TableContents"/>
              <w:bidi w:val="0"/>
              <w:spacing w:before="0" w:after="0"/>
              <w:ind w:left="0" w:right="0" w:hanging="0"/>
              <w:jc w:val="right"/>
              <w:rPr>
                <w:rFonts w:ascii="times new roman;times" w:hAnsi="times new roman;times"/>
                <w:sz w:val="20"/>
              </w:rPr>
            </w:pPr>
            <w:bookmarkStart w:id="530" w:name="fs_2RXH14WRI800000000000000000000fs"/>
            <w:bookmarkEnd w:id="530"/>
            <w:r>
              <w:rPr>
                <w:rFonts w:ascii="times new roman;times" w:hAnsi="times new roman;times"/>
                <w:sz w:val="20"/>
              </w:rPr>
              <w:t>1,262</w:t>
            </w:r>
          </w:p>
        </w:tc>
        <w:tc>
          <w:tcPr>
            <w:tcW w:w="92" w:type="dxa"/>
            <w:tcBorders/>
            <w:shd w:fill="CCEEFF" w:val="clear"/>
            <w:vAlign w:val="bottom"/>
          </w:tcPr>
          <w:p>
            <w:pPr>
              <w:pStyle w:val="TableContents"/>
              <w:bidi w:val="0"/>
              <w:spacing w:before="0" w:after="0"/>
              <w:ind w:left="0" w:right="0" w:hanging="0"/>
              <w:jc w:val="left"/>
              <w:rPr/>
            </w:pPr>
            <w:r>
              <w:rPr/>
              <w:t> </w:t>
            </w:r>
          </w:p>
        </w:tc>
        <w:tc>
          <w:tcPr>
            <w:tcW w:w="69" w:type="dxa"/>
            <w:tcBorders/>
            <w:shd w:fill="CCEEFF" w:val="clear"/>
            <w:vAlign w:val="bottom"/>
          </w:tcPr>
          <w:p>
            <w:pPr>
              <w:pStyle w:val="TableContents"/>
              <w:bidi w:val="0"/>
              <w:spacing w:before="0" w:after="0"/>
              <w:ind w:left="0" w:right="0" w:hanging="0"/>
              <w:jc w:val="left"/>
              <w:rPr/>
            </w:pPr>
            <w:r>
              <w:rPr/>
              <w:t> </w:t>
            </w:r>
          </w:p>
        </w:tc>
        <w:tc>
          <w:tcPr>
            <w:tcW w:w="144" w:type="dxa"/>
            <w:tcBorders/>
            <w:shd w:fill="CCEEFF" w:val="clear"/>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632" w:type="dxa"/>
            <w:tcBorders/>
            <w:shd w:fill="CCEEFF" w:val="clear"/>
            <w:vAlign w:val="bottom"/>
          </w:tcPr>
          <w:p>
            <w:pPr>
              <w:pStyle w:val="TableContents"/>
              <w:bidi w:val="0"/>
              <w:spacing w:before="0" w:after="0"/>
              <w:ind w:left="0" w:right="0" w:hanging="0"/>
              <w:jc w:val="right"/>
              <w:rPr>
                <w:rFonts w:ascii="times new roman;times" w:hAnsi="times new roman;times"/>
                <w:sz w:val="20"/>
              </w:rPr>
            </w:pPr>
            <w:bookmarkStart w:id="531" w:name="fs_C0ALYKJVPC00000000000000000000FM"/>
            <w:bookmarkEnd w:id="531"/>
            <w:r>
              <w:rPr>
                <w:rFonts w:ascii="times new roman;times" w:hAnsi="times new roman;times"/>
                <w:sz w:val="20"/>
              </w:rPr>
              <w:t>2,504</w:t>
            </w:r>
          </w:p>
        </w:tc>
        <w:tc>
          <w:tcPr>
            <w:tcW w:w="92" w:type="dxa"/>
            <w:tcBorders/>
            <w:shd w:fill="CCEEFF" w:val="clear"/>
            <w:vAlign w:val="bottom"/>
          </w:tcPr>
          <w:p>
            <w:pPr>
              <w:pStyle w:val="TableContents"/>
              <w:bidi w:val="0"/>
              <w:spacing w:before="0" w:after="0"/>
              <w:ind w:left="0" w:right="0" w:hanging="0"/>
              <w:jc w:val="left"/>
              <w:rPr/>
            </w:pPr>
            <w:r>
              <w:rPr/>
              <w:t> </w:t>
            </w:r>
          </w:p>
        </w:tc>
        <w:tc>
          <w:tcPr>
            <w:tcW w:w="69" w:type="dxa"/>
            <w:tcBorders/>
            <w:shd w:fill="CCEEFF" w:val="clear"/>
            <w:vAlign w:val="bottom"/>
          </w:tcPr>
          <w:p>
            <w:pPr>
              <w:pStyle w:val="TableContents"/>
              <w:bidi w:val="0"/>
              <w:spacing w:before="0" w:after="0"/>
              <w:ind w:left="0" w:right="0" w:hanging="0"/>
              <w:jc w:val="left"/>
              <w:rPr/>
            </w:pPr>
            <w:r>
              <w:rPr/>
              <w:t> </w:t>
            </w:r>
          </w:p>
        </w:tc>
        <w:tc>
          <w:tcPr>
            <w:tcW w:w="261" w:type="dxa"/>
            <w:tcBorders/>
            <w:shd w:fill="CCEEFF" w:val="clear"/>
            <w:vAlign w:val="bottom"/>
          </w:tcPr>
          <w:p>
            <w:pPr>
              <w:pStyle w:val="TableContents"/>
              <w:bidi w:val="0"/>
              <w:spacing w:before="0" w:after="0"/>
              <w:ind w:left="0" w:right="0" w:hanging="0"/>
              <w:jc w:val="left"/>
              <w:rPr/>
            </w:pPr>
            <w:r>
              <w:rPr/>
              <w:t> </w:t>
            </w:r>
          </w:p>
        </w:tc>
        <w:tc>
          <w:tcPr>
            <w:tcW w:w="1731" w:type="dxa"/>
            <w:tcBorders/>
            <w:shd w:fill="CCEEFF" w:val="clear"/>
            <w:vAlign w:val="bottom"/>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bookmarkStart w:id="532" w:name="fs_AA951UFLXC00000000000000000000fs"/>
            <w:bookmarkEnd w:id="532"/>
            <w:r>
              <w:rPr>
                <w:rFonts w:ascii="Times New Roman;Times;serif" w:hAnsi="Times New Roman;Times;serif"/>
                <w:sz w:val="20"/>
              </w:rPr>
              <w:t>50</w:t>
            </w:r>
          </w:p>
        </w:tc>
        <w:tc>
          <w:tcPr>
            <w:tcW w:w="80" w:type="dxa"/>
            <w:tcBorders/>
            <w:shd w:fill="CCEEFF" w:val="clear"/>
            <w:vAlign w:val="bottom"/>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 w:type="dxa"/>
            <w:tcBorders/>
            <w:shd w:fill="CCEEFF" w:val="clear"/>
            <w:vAlign w:val="center"/>
          </w:tcPr>
          <w:p>
            <w:pPr>
              <w:pStyle w:val="TableContents"/>
              <w:bidi w:val="0"/>
              <w:spacing w:before="0" w:after="283"/>
              <w:ind w:left="0" w:right="0" w:hanging="0"/>
              <w:jc w:val="left"/>
              <w:rPr/>
            </w:pPr>
            <w:r>
              <w:rPr/>
            </w:r>
          </w:p>
        </w:tc>
        <w:tc>
          <w:tcPr>
            <w:tcW w:w="145" w:type="dxa"/>
            <w:tcBorders/>
            <w:shd w:fill="CCEEFF" w:val="clear"/>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7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bookmarkStart w:id="533" w:name="fs_F5P5459PZ400000000000000000000fs"/>
            <w:bookmarkEnd w:id="533"/>
            <w:r>
              <w:rPr>
                <w:rFonts w:ascii="Times New Roman;Times;serif" w:hAnsi="Times New Roman;Times;serif"/>
                <w:sz w:val="20"/>
              </w:rPr>
              <w:t>5,491</w:t>
            </w:r>
          </w:p>
        </w:tc>
        <w:tc>
          <w:tcPr>
            <w:tcW w:w="93" w:type="dxa"/>
            <w:tcBorders/>
            <w:shd w:fill="CCEEFF" w:val="clear"/>
            <w:vAlign w:val="center"/>
          </w:tcPr>
          <w:p>
            <w:pPr>
              <w:pStyle w:val="TableContents"/>
              <w:bidi w:val="0"/>
              <w:spacing w:before="0" w:after="283"/>
              <w:ind w:left="0" w:right="0" w:hanging="0"/>
              <w:jc w:val="left"/>
              <w:rPr/>
            </w:pPr>
            <w:r>
              <w:rPr/>
            </w:r>
          </w:p>
        </w:tc>
        <w:tc>
          <w:tcPr>
            <w:tcW w:w="26" w:type="dxa"/>
            <w:tcBorders/>
            <w:shd w:fill="CCEEFF" w:val="clear"/>
            <w:vAlign w:val="center"/>
          </w:tcPr>
          <w:p>
            <w:pPr>
              <w:pStyle w:val="TableContents"/>
              <w:bidi w:val="0"/>
              <w:spacing w:before="0" w:after="283"/>
              <w:ind w:left="0" w:right="0" w:hanging="0"/>
              <w:jc w:val="left"/>
              <w:rPr/>
            </w:pPr>
            <w:r>
              <w:rPr/>
            </w:r>
          </w:p>
        </w:tc>
        <w:tc>
          <w:tcPr>
            <w:tcW w:w="145" w:type="dxa"/>
            <w:tcBorders/>
            <w:shd w:fill="CCEEFF" w:val="clear"/>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6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bookmarkStart w:id="534" w:name="fs_YQUMJSGJK000000000000000000000fs"/>
            <w:bookmarkEnd w:id="534"/>
            <w:r>
              <w:rPr>
                <w:rFonts w:ascii="Times New Roman;Times;serif" w:hAnsi="Times New Roman;Times;serif"/>
                <w:sz w:val="20"/>
              </w:rPr>
              <w:t>8,430</w:t>
            </w:r>
          </w:p>
        </w:tc>
        <w:tc>
          <w:tcPr>
            <w:tcW w:w="93" w:type="dxa"/>
            <w:tcBorders/>
            <w:shd w:fill="CCEEFF" w:val="clear"/>
            <w:vAlign w:val="center"/>
          </w:tcPr>
          <w:p>
            <w:pPr>
              <w:pStyle w:val="TableContents"/>
              <w:bidi w:val="0"/>
              <w:spacing w:before="0" w:after="283"/>
              <w:ind w:left="0" w:right="0" w:hanging="0"/>
              <w:jc w:val="left"/>
              <w:rPr/>
            </w:pPr>
            <w:r>
              <w:rPr/>
            </w:r>
          </w:p>
        </w:tc>
        <w:tc>
          <w:tcPr>
            <w:tcW w:w="26" w:type="dxa"/>
            <w:tcBorders/>
            <w:shd w:fill="CCEEFF" w:val="clear"/>
            <w:vAlign w:val="center"/>
          </w:tcPr>
          <w:p>
            <w:pPr>
              <w:pStyle w:val="TableContents"/>
              <w:bidi w:val="0"/>
              <w:spacing w:before="0" w:after="283"/>
              <w:ind w:left="0" w:right="0" w:hanging="0"/>
              <w:jc w:val="left"/>
              <w:rPr/>
            </w:pPr>
            <w:r>
              <w:rPr/>
            </w:r>
          </w:p>
        </w:tc>
        <w:tc>
          <w:tcPr>
            <w:tcW w:w="108" w:type="dxa"/>
            <w:tcBorders/>
            <w:shd w:fill="CCEEFF" w:val="clear"/>
            <w:vAlign w:val="center"/>
          </w:tcPr>
          <w:p>
            <w:pPr>
              <w:pStyle w:val="TableContents"/>
              <w:bidi w:val="0"/>
              <w:spacing w:before="0" w:after="283"/>
              <w:ind w:left="0" w:right="0" w:hanging="0"/>
              <w:jc w:val="left"/>
              <w:rPr/>
            </w:pPr>
            <w:r>
              <w:rPr/>
            </w:r>
          </w:p>
        </w:tc>
        <w:tc>
          <w:tcPr>
            <w:tcW w:w="18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bookmarkStart w:id="535" w:name="fs_V4V4VU6FE800000000000000000000fs"/>
            <w:bookmarkEnd w:id="535"/>
            <w:r>
              <w:rPr>
                <w:rFonts w:ascii="Times New Roman;Times;serif" w:hAnsi="Times New Roman;Times;serif"/>
                <w:sz w:val="20"/>
              </w:rPr>
              <w:t>35</w:t>
            </w:r>
          </w:p>
        </w:tc>
        <w:tc>
          <w:tcPr>
            <w:tcW w:w="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049"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Cost of goods sold </w:t>
            </w:r>
          </w:p>
        </w:tc>
        <w:tc>
          <w:tcPr>
            <w:tcW w:w="60" w:type="dxa"/>
            <w:tcBorders/>
            <w:vAlign w:val="center"/>
          </w:tcPr>
          <w:p>
            <w:pPr>
              <w:pStyle w:val="TableContents"/>
              <w:bidi w:val="0"/>
              <w:spacing w:before="0" w:after="0"/>
              <w:ind w:left="0" w:right="0" w:hanging="0"/>
              <w:jc w:val="left"/>
              <w:rPr/>
            </w:pPr>
            <w:r>
              <w:rPr/>
              <w:t> </w:t>
            </w:r>
          </w:p>
        </w:tc>
        <w:tc>
          <w:tcPr>
            <w:tcW w:w="144"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right"/>
              <w:rPr>
                <w:rFonts w:ascii="times new roman;times" w:hAnsi="times new roman;times"/>
                <w:sz w:val="20"/>
              </w:rPr>
            </w:pPr>
            <w:bookmarkStart w:id="536" w:name="fs_O3T56SEZGG00000000000000000000fs"/>
            <w:bookmarkEnd w:id="536"/>
            <w:r>
              <w:rPr>
                <w:rFonts w:ascii="times new roman;times" w:hAnsi="times new roman;times"/>
                <w:sz w:val="20"/>
              </w:rPr>
              <w:t>2,148</w:t>
            </w:r>
          </w:p>
        </w:tc>
        <w:tc>
          <w:tcPr>
            <w:tcW w:w="92" w:type="dxa"/>
            <w:tcBorders/>
            <w:vAlign w:val="center"/>
          </w:tcPr>
          <w:p>
            <w:pPr>
              <w:pStyle w:val="TableContents"/>
              <w:bidi w:val="0"/>
              <w:spacing w:before="0" w:after="0"/>
              <w:ind w:left="0" w:right="0" w:hanging="0"/>
              <w:jc w:val="left"/>
              <w:rPr/>
            </w:pPr>
            <w:r>
              <w:rPr/>
              <w:t> </w:t>
            </w:r>
          </w:p>
        </w:tc>
        <w:tc>
          <w:tcPr>
            <w:tcW w:w="69" w:type="dxa"/>
            <w:tcBorders/>
            <w:vAlign w:val="center"/>
          </w:tcPr>
          <w:p>
            <w:pPr>
              <w:pStyle w:val="TableContents"/>
              <w:bidi w:val="0"/>
              <w:spacing w:before="0" w:after="0"/>
              <w:ind w:left="0" w:right="0" w:hanging="0"/>
              <w:jc w:val="left"/>
              <w:rPr/>
            </w:pPr>
            <w:r>
              <w:rPr/>
              <w:t> </w:t>
            </w:r>
          </w:p>
        </w:tc>
        <w:tc>
          <w:tcPr>
            <w:tcW w:w="144" w:type="dxa"/>
            <w:tcBorders/>
            <w:vAlign w:val="center"/>
          </w:tcPr>
          <w:p>
            <w:pPr>
              <w:pStyle w:val="TableContents"/>
              <w:bidi w:val="0"/>
              <w:spacing w:before="0" w:after="0"/>
              <w:ind w:left="0" w:right="0" w:hanging="0"/>
              <w:jc w:val="left"/>
              <w:rPr/>
            </w:pPr>
            <w:r>
              <w:rPr/>
              <w:t> </w:t>
            </w:r>
          </w:p>
        </w:tc>
        <w:tc>
          <w:tcPr>
            <w:tcW w:w="632" w:type="dxa"/>
            <w:tcBorders/>
            <w:vAlign w:val="center"/>
          </w:tcPr>
          <w:p>
            <w:pPr>
              <w:pStyle w:val="TableContents"/>
              <w:bidi w:val="0"/>
              <w:spacing w:before="0" w:after="0"/>
              <w:ind w:left="0" w:right="0" w:hanging="0"/>
              <w:jc w:val="right"/>
              <w:rPr>
                <w:rFonts w:ascii="times new roman;times" w:hAnsi="times new roman;times"/>
                <w:sz w:val="20"/>
              </w:rPr>
            </w:pPr>
            <w:bookmarkStart w:id="537" w:name="fs_2C7HI8Q63400000000000000000000fs"/>
            <w:bookmarkEnd w:id="537"/>
            <w:r>
              <w:rPr>
                <w:rFonts w:ascii="times new roman;times" w:hAnsi="times new roman;times"/>
                <w:sz w:val="20"/>
              </w:rPr>
              <w:t>1,865</w:t>
            </w:r>
          </w:p>
        </w:tc>
        <w:tc>
          <w:tcPr>
            <w:tcW w:w="92" w:type="dxa"/>
            <w:tcBorders/>
            <w:vAlign w:val="center"/>
          </w:tcPr>
          <w:p>
            <w:pPr>
              <w:pStyle w:val="TableContents"/>
              <w:bidi w:val="0"/>
              <w:spacing w:before="0" w:after="0"/>
              <w:ind w:left="0" w:right="0" w:hanging="0"/>
              <w:jc w:val="left"/>
              <w:rPr/>
            </w:pPr>
            <w:r>
              <w:rPr/>
              <w:t> </w:t>
            </w:r>
          </w:p>
        </w:tc>
        <w:tc>
          <w:tcPr>
            <w:tcW w:w="69"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17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bookmarkStart w:id="538" w:name="fs_68201TTJQ800000000000000000000FM"/>
            <w:bookmarkEnd w:id="538"/>
            <w:r>
              <w:rPr>
                <w:rFonts w:ascii="Times New Roman;Times;serif" w:hAnsi="Times New Roman;Times;serif"/>
                <w:sz w:val="20"/>
              </w:rPr>
              <w:t>15</w:t>
            </w:r>
          </w:p>
        </w:tc>
        <w:tc>
          <w:tcPr>
            <w:tcW w:w="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 w:type="dxa"/>
            <w:tcBorders/>
            <w:vAlign w:val="center"/>
          </w:tcPr>
          <w:p>
            <w:pPr>
              <w:pStyle w:val="TableContents"/>
              <w:bidi w:val="0"/>
              <w:spacing w:before="0" w:after="283"/>
              <w:ind w:left="0" w:right="0" w:hanging="0"/>
              <w:jc w:val="left"/>
              <w:rPr/>
            </w:pPr>
            <w:r>
              <w:rPr/>
            </w:r>
          </w:p>
        </w:tc>
        <w:tc>
          <w:tcPr>
            <w:tcW w:w="145" w:type="dxa"/>
            <w:tcBorders/>
            <w:vAlign w:val="center"/>
          </w:tcPr>
          <w:p>
            <w:pPr>
              <w:pStyle w:val="TableContents"/>
              <w:bidi w:val="0"/>
              <w:spacing w:before="0" w:after="283"/>
              <w:ind w:left="0" w:right="0" w:hanging="0"/>
              <w:jc w:val="left"/>
              <w:rPr/>
            </w:pPr>
            <w:r>
              <w:rPr/>
            </w:r>
          </w:p>
        </w:tc>
        <w:tc>
          <w:tcPr>
            <w:tcW w:w="758" w:type="dxa"/>
            <w:tcBorders/>
            <w:vAlign w:val="center"/>
          </w:tcPr>
          <w:p>
            <w:pPr>
              <w:pStyle w:val="TableContents"/>
              <w:bidi w:val="0"/>
              <w:spacing w:before="0" w:after="0"/>
              <w:ind w:left="0" w:right="0" w:hanging="0"/>
              <w:jc w:val="right"/>
              <w:rPr>
                <w:rFonts w:ascii="Times New Roman;Times;serif" w:hAnsi="Times New Roman;Times;serif"/>
                <w:sz w:val="20"/>
              </w:rPr>
            </w:pPr>
            <w:bookmarkStart w:id="539" w:name="fs_VZQA1AK5VK00000000000000000000fs"/>
            <w:bookmarkEnd w:id="539"/>
            <w:r>
              <w:rPr>
                <w:rFonts w:ascii="Times New Roman;Times;serif" w:hAnsi="Times New Roman;Times;serif"/>
                <w:sz w:val="20"/>
              </w:rPr>
              <w:t>6,435</w:t>
            </w:r>
          </w:p>
        </w:tc>
        <w:tc>
          <w:tcPr>
            <w:tcW w:w="93" w:type="dxa"/>
            <w:tcBorders/>
            <w:vAlign w:val="center"/>
          </w:tcPr>
          <w:p>
            <w:pPr>
              <w:pStyle w:val="TableContents"/>
              <w:bidi w:val="0"/>
              <w:spacing w:before="0" w:after="283"/>
              <w:ind w:left="0" w:right="0" w:hanging="0"/>
              <w:jc w:val="left"/>
              <w:rPr/>
            </w:pPr>
            <w:r>
              <w:rPr/>
            </w:r>
          </w:p>
        </w:tc>
        <w:tc>
          <w:tcPr>
            <w:tcW w:w="26" w:type="dxa"/>
            <w:tcBorders/>
            <w:vAlign w:val="center"/>
          </w:tcPr>
          <w:p>
            <w:pPr>
              <w:pStyle w:val="TableContents"/>
              <w:bidi w:val="0"/>
              <w:spacing w:before="0" w:after="283"/>
              <w:ind w:left="0" w:right="0" w:hanging="0"/>
              <w:jc w:val="left"/>
              <w:rPr/>
            </w:pPr>
            <w:r>
              <w:rPr/>
            </w:r>
          </w:p>
        </w:tc>
        <w:tc>
          <w:tcPr>
            <w:tcW w:w="145" w:type="dxa"/>
            <w:tcBorders/>
            <w:vAlign w:val="center"/>
          </w:tcPr>
          <w:p>
            <w:pPr>
              <w:pStyle w:val="TableContents"/>
              <w:bidi w:val="0"/>
              <w:spacing w:before="0" w:after="283"/>
              <w:ind w:left="0" w:right="0" w:hanging="0"/>
              <w:jc w:val="left"/>
              <w:rPr/>
            </w:pPr>
            <w:r>
              <w:rPr/>
            </w:r>
          </w:p>
        </w:tc>
        <w:tc>
          <w:tcPr>
            <w:tcW w:w="636" w:type="dxa"/>
            <w:tcBorders/>
            <w:vAlign w:val="center"/>
          </w:tcPr>
          <w:p>
            <w:pPr>
              <w:pStyle w:val="TableContents"/>
              <w:bidi w:val="0"/>
              <w:spacing w:before="0" w:after="0"/>
              <w:ind w:left="0" w:right="0" w:hanging="0"/>
              <w:jc w:val="right"/>
              <w:rPr>
                <w:rFonts w:ascii="Times New Roman;Times;serif" w:hAnsi="Times New Roman;Times;serif"/>
                <w:sz w:val="20"/>
              </w:rPr>
            </w:pPr>
            <w:bookmarkStart w:id="540" w:name="fs_7USODZ4T8G00000000000000000000fs"/>
            <w:bookmarkEnd w:id="540"/>
            <w:r>
              <w:rPr>
                <w:rFonts w:ascii="Times New Roman;Times;serif" w:hAnsi="Times New Roman;Times;serif"/>
                <w:sz w:val="20"/>
              </w:rPr>
              <w:t>6,607</w:t>
            </w:r>
          </w:p>
        </w:tc>
        <w:tc>
          <w:tcPr>
            <w:tcW w:w="93" w:type="dxa"/>
            <w:tcBorders/>
            <w:vAlign w:val="center"/>
          </w:tcPr>
          <w:p>
            <w:pPr>
              <w:pStyle w:val="TableContents"/>
              <w:bidi w:val="0"/>
              <w:spacing w:before="0" w:after="283"/>
              <w:ind w:left="0" w:right="0" w:hanging="0"/>
              <w:jc w:val="left"/>
              <w:rPr/>
            </w:pPr>
            <w:r>
              <w:rPr/>
            </w:r>
          </w:p>
        </w:tc>
        <w:tc>
          <w:tcPr>
            <w:tcW w:w="26" w:type="dxa"/>
            <w:tcBorders/>
            <w:vAlign w:val="center"/>
          </w:tcPr>
          <w:p>
            <w:pPr>
              <w:pStyle w:val="TableContents"/>
              <w:bidi w:val="0"/>
              <w:spacing w:before="0" w:after="283"/>
              <w:ind w:left="0" w:right="0" w:hanging="0"/>
              <w:jc w:val="left"/>
              <w:rPr/>
            </w:pPr>
            <w:r>
              <w:rPr/>
            </w:r>
          </w:p>
        </w:tc>
        <w:tc>
          <w:tcPr>
            <w:tcW w:w="108" w:type="dxa"/>
            <w:tcBorders/>
            <w:vAlign w:val="center"/>
          </w:tcPr>
          <w:p>
            <w:pPr>
              <w:pStyle w:val="TableContents"/>
              <w:bidi w:val="0"/>
              <w:spacing w:before="0" w:after="283"/>
              <w:ind w:left="0" w:right="0" w:hanging="0"/>
              <w:jc w:val="left"/>
              <w:rPr/>
            </w:pPr>
            <w:r>
              <w:rPr/>
            </w:r>
          </w:p>
        </w:tc>
        <w:tc>
          <w:tcPr>
            <w:tcW w:w="1884" w:type="dxa"/>
            <w:tcBorders/>
            <w:vAlign w:val="center"/>
          </w:tcPr>
          <w:p>
            <w:pPr>
              <w:pStyle w:val="TableContents"/>
              <w:bidi w:val="0"/>
              <w:spacing w:before="0" w:after="0"/>
              <w:ind w:left="0" w:right="0" w:hanging="0"/>
              <w:jc w:val="right"/>
              <w:rPr>
                <w:rFonts w:ascii="Times New Roman;Times;serif" w:hAnsi="Times New Roman;Times;serif"/>
                <w:sz w:val="20"/>
              </w:rPr>
            </w:pPr>
            <w:bookmarkStart w:id="541" w:name="fs_2FXOY8WTHC00000000000000000000fs"/>
            <w:bookmarkEnd w:id="541"/>
            <w:r>
              <w:rPr>
                <w:rFonts w:ascii="Times New Roman;Times;serif" w:hAnsi="Times New Roman;Times;serif"/>
                <w:sz w:val="20"/>
              </w:rPr>
              <w:t>3</w:t>
            </w:r>
          </w:p>
        </w:tc>
        <w:tc>
          <w:tcPr>
            <w:tcW w:w="91" w:type="dxa"/>
            <w:tcBorders/>
            <w:vAlign w:val="center"/>
          </w:tcPr>
          <w:p>
            <w:pPr>
              <w:pStyle w:val="TableContents"/>
              <w:bidi w:val="0"/>
              <w:spacing w:before="0" w:after="283"/>
              <w:ind w:left="0" w:right="0" w:hanging="0"/>
              <w:jc w:val="left"/>
              <w:rPr/>
            </w:pPr>
            <w:r>
              <w:rPr/>
            </w:r>
          </w:p>
        </w:tc>
      </w:tr>
      <w:tr>
        <w:trPr/>
        <w:tc>
          <w:tcPr>
            <w:tcW w:w="2049"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Gross profit (loss) </w:t>
            </w:r>
          </w:p>
        </w:tc>
        <w:tc>
          <w:tcPr>
            <w:tcW w:w="60" w:type="dxa"/>
            <w:tcBorders/>
            <w:shd w:fill="CCEEFF" w:val="clear"/>
            <w:vAlign w:val="center"/>
          </w:tcPr>
          <w:p>
            <w:pPr>
              <w:pStyle w:val="TableContents"/>
              <w:bidi w:val="0"/>
              <w:spacing w:before="0" w:after="0"/>
              <w:ind w:left="0" w:right="0" w:hanging="0"/>
              <w:jc w:val="left"/>
              <w:rPr/>
            </w:pPr>
            <w:r>
              <w:rPr/>
              <w:t> </w:t>
            </w:r>
          </w:p>
        </w:tc>
        <w:tc>
          <w:tcPr>
            <w:tcW w:w="144" w:type="dxa"/>
            <w:tcBorders/>
            <w:shd w:fill="CCEEFF" w:val="clear"/>
            <w:vAlign w:val="center"/>
          </w:tcPr>
          <w:p>
            <w:pPr>
              <w:pStyle w:val="TableContents"/>
              <w:bidi w:val="0"/>
              <w:spacing w:before="0" w:after="0"/>
              <w:ind w:left="0" w:right="0" w:hanging="0"/>
              <w:jc w:val="left"/>
              <w:rPr/>
            </w:pPr>
            <w:r>
              <w:rPr/>
              <w:t> </w:t>
            </w:r>
          </w:p>
        </w:tc>
        <w:tc>
          <w:tcPr>
            <w:tcW w:w="754"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bookmarkStart w:id="542" w:name="fs_T5E3LZ1M1S00000000000000000000fs"/>
            <w:bookmarkEnd w:id="542"/>
            <w:r>
              <w:rPr>
                <w:rFonts w:ascii="times new roman;times" w:hAnsi="times new roman;times"/>
                <w:sz w:val="20"/>
              </w:rPr>
              <w:t>886</w:t>
            </w:r>
          </w:p>
        </w:tc>
        <w:tc>
          <w:tcPr>
            <w:tcW w:w="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 w:type="dxa"/>
            <w:tcBorders/>
            <w:shd w:fill="CCEEFF" w:val="clear"/>
            <w:vAlign w:val="center"/>
          </w:tcPr>
          <w:p>
            <w:pPr>
              <w:pStyle w:val="TableContents"/>
              <w:bidi w:val="0"/>
              <w:spacing w:before="0" w:after="0"/>
              <w:ind w:left="0" w:right="0" w:hanging="0"/>
              <w:jc w:val="left"/>
              <w:rPr/>
            </w:pPr>
            <w:r>
              <w:rPr/>
              <w:t> </w:t>
            </w:r>
          </w:p>
        </w:tc>
        <w:tc>
          <w:tcPr>
            <w:tcW w:w="144"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632" w:type="dxa"/>
            <w:tcBorders/>
            <w:shd w:fill="CCEEFF" w:val="clear"/>
            <w:vAlign w:val="center"/>
          </w:tcPr>
          <w:p>
            <w:pPr>
              <w:pStyle w:val="TableContents"/>
              <w:bidi w:val="0"/>
              <w:spacing w:before="0" w:after="0"/>
              <w:ind w:left="0" w:right="0" w:hanging="0"/>
              <w:jc w:val="right"/>
              <w:rPr>
                <w:rFonts w:ascii="times new roman;times" w:hAnsi="times new roman;times"/>
                <w:sz w:val="20"/>
              </w:rPr>
            </w:pPr>
            <w:bookmarkStart w:id="543" w:name="fs_PUQ4YE7IK000000000000000000000fs"/>
            <w:bookmarkEnd w:id="543"/>
            <w:r>
              <w:rPr>
                <w:rFonts w:ascii="times new roman;times" w:hAnsi="times new roman;times"/>
                <w:sz w:val="20"/>
              </w:rPr>
              <w:t>639</w:t>
            </w:r>
          </w:p>
        </w:tc>
        <w:tc>
          <w:tcPr>
            <w:tcW w:w="92"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69" w:type="dxa"/>
            <w:tcBorders/>
            <w:shd w:fill="CCEEFF" w:val="clear"/>
            <w:vAlign w:val="center"/>
          </w:tcPr>
          <w:p>
            <w:pPr>
              <w:pStyle w:val="TableContents"/>
              <w:bidi w:val="0"/>
              <w:spacing w:before="0" w:after="0"/>
              <w:ind w:left="0" w:right="0" w:hanging="0"/>
              <w:jc w:val="left"/>
              <w:rPr/>
            </w:pPr>
            <w:r>
              <w:rPr/>
              <w:t> </w:t>
            </w:r>
          </w:p>
        </w:tc>
        <w:tc>
          <w:tcPr>
            <w:tcW w:w="261" w:type="dxa"/>
            <w:tcBorders/>
            <w:shd w:fill="CCEEFF" w:val="clear"/>
            <w:vAlign w:val="center"/>
          </w:tcPr>
          <w:p>
            <w:pPr>
              <w:pStyle w:val="TableContents"/>
              <w:bidi w:val="0"/>
              <w:spacing w:before="0" w:after="0"/>
              <w:ind w:left="0" w:right="0" w:hanging="0"/>
              <w:jc w:val="left"/>
              <w:rPr/>
            </w:pPr>
            <w:r>
              <w:rPr/>
              <w:t> </w:t>
            </w:r>
          </w:p>
        </w:tc>
        <w:tc>
          <w:tcPr>
            <w:tcW w:w="1731"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bookmarkStart w:id="544" w:name="fs_QBYXEIXSHC00000000000000000000fs"/>
            <w:bookmarkEnd w:id="544"/>
            <w:r>
              <w:rPr>
                <w:rFonts w:ascii="times new roman;times" w:hAnsi="times new roman;times"/>
                <w:sz w:val="20"/>
              </w:rPr>
              <w:t>239</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 w:type="dxa"/>
            <w:tcBorders/>
            <w:shd w:fill="CCEEFF" w:val="clear"/>
            <w:vAlign w:val="center"/>
          </w:tcPr>
          <w:p>
            <w:pPr>
              <w:pStyle w:val="TableContents"/>
              <w:bidi w:val="0"/>
              <w:spacing w:before="0" w:after="283"/>
              <w:ind w:left="0" w:right="0" w:hanging="0"/>
              <w:jc w:val="left"/>
              <w:rPr/>
            </w:pPr>
            <w:r>
              <w:rPr/>
            </w:r>
          </w:p>
        </w:tc>
        <w:tc>
          <w:tcPr>
            <w:tcW w:w="145" w:type="dxa"/>
            <w:tcBorders/>
            <w:shd w:fill="CCEEFF" w:val="clear"/>
            <w:vAlign w:val="center"/>
          </w:tcPr>
          <w:p>
            <w:pPr>
              <w:pStyle w:val="TableContents"/>
              <w:bidi w:val="0"/>
              <w:spacing w:before="0" w:after="283"/>
              <w:ind w:left="0" w:right="0" w:hanging="0"/>
              <w:jc w:val="left"/>
              <w:rPr/>
            </w:pPr>
            <w:r>
              <w:rPr/>
            </w:r>
          </w:p>
        </w:tc>
        <w:tc>
          <w:tcPr>
            <w:tcW w:w="7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bookmarkStart w:id="545" w:name="fs_MD8LS8PY6800000000000000000000fs"/>
            <w:bookmarkEnd w:id="545"/>
            <w:r>
              <w:rPr>
                <w:rFonts w:ascii="Times New Roman;Times;serif" w:hAnsi="Times New Roman;Times;serif"/>
                <w:sz w:val="20"/>
              </w:rPr>
              <w:t>944</w:t>
            </w:r>
          </w:p>
        </w:tc>
        <w:tc>
          <w:tcPr>
            <w:tcW w:w="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6" w:type="dxa"/>
            <w:tcBorders/>
            <w:shd w:fill="CCEEFF" w:val="clear"/>
            <w:vAlign w:val="center"/>
          </w:tcPr>
          <w:p>
            <w:pPr>
              <w:pStyle w:val="TableContents"/>
              <w:bidi w:val="0"/>
              <w:spacing w:before="0" w:after="283"/>
              <w:ind w:left="0" w:right="0" w:hanging="0"/>
              <w:jc w:val="left"/>
              <w:rPr/>
            </w:pPr>
            <w:r>
              <w:rPr/>
            </w:r>
          </w:p>
        </w:tc>
        <w:tc>
          <w:tcPr>
            <w:tcW w:w="145" w:type="dxa"/>
            <w:tcBorders/>
            <w:shd w:fill="CCEEFF" w:val="clear"/>
            <w:vAlign w:val="center"/>
          </w:tcPr>
          <w:p>
            <w:pPr>
              <w:pStyle w:val="TableContents"/>
              <w:bidi w:val="0"/>
              <w:spacing w:before="0" w:after="283"/>
              <w:ind w:left="0" w:right="0" w:hanging="0"/>
              <w:jc w:val="left"/>
              <w:rPr/>
            </w:pPr>
            <w:r>
              <w:rPr/>
            </w:r>
          </w:p>
        </w:tc>
        <w:tc>
          <w:tcPr>
            <w:tcW w:w="6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bookmarkStart w:id="546" w:name="fs_IJP7QFYU0G00000000000000000000fs"/>
            <w:bookmarkEnd w:id="546"/>
            <w:r>
              <w:rPr>
                <w:rFonts w:ascii="Times New Roman;Times;serif" w:hAnsi="Times New Roman;Times;serif"/>
                <w:sz w:val="20"/>
              </w:rPr>
              <w:t>1,823</w:t>
            </w:r>
          </w:p>
        </w:tc>
        <w:tc>
          <w:tcPr>
            <w:tcW w:w="93" w:type="dxa"/>
            <w:tcBorders/>
            <w:shd w:fill="CCEEFF" w:val="clear"/>
            <w:vAlign w:val="center"/>
          </w:tcPr>
          <w:p>
            <w:pPr>
              <w:pStyle w:val="TableContents"/>
              <w:bidi w:val="0"/>
              <w:spacing w:before="0" w:after="283"/>
              <w:ind w:left="0" w:right="0" w:hanging="0"/>
              <w:jc w:val="left"/>
              <w:rPr/>
            </w:pPr>
            <w:r>
              <w:rPr/>
            </w:r>
          </w:p>
        </w:tc>
        <w:tc>
          <w:tcPr>
            <w:tcW w:w="26" w:type="dxa"/>
            <w:tcBorders/>
            <w:shd w:fill="CCEEFF" w:val="clear"/>
            <w:vAlign w:val="center"/>
          </w:tcPr>
          <w:p>
            <w:pPr>
              <w:pStyle w:val="TableContents"/>
              <w:bidi w:val="0"/>
              <w:spacing w:before="0" w:after="283"/>
              <w:ind w:left="0" w:right="0" w:hanging="0"/>
              <w:jc w:val="left"/>
              <w:rPr/>
            </w:pPr>
            <w:r>
              <w:rPr/>
            </w:r>
          </w:p>
        </w:tc>
        <w:tc>
          <w:tcPr>
            <w:tcW w:w="108" w:type="dxa"/>
            <w:tcBorders/>
            <w:shd w:fill="CCEEFF" w:val="clear"/>
            <w:vAlign w:val="center"/>
          </w:tcPr>
          <w:p>
            <w:pPr>
              <w:pStyle w:val="TableContents"/>
              <w:bidi w:val="0"/>
              <w:spacing w:before="0" w:after="283"/>
              <w:ind w:left="0" w:right="0" w:hanging="0"/>
              <w:jc w:val="left"/>
              <w:rPr/>
            </w:pPr>
            <w:r>
              <w:rPr/>
            </w:r>
          </w:p>
        </w:tc>
        <w:tc>
          <w:tcPr>
            <w:tcW w:w="18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bookmarkStart w:id="547" w:name="fs_1EWJI1ERK000000000000000000000fs"/>
            <w:bookmarkEnd w:id="547"/>
            <w:r>
              <w:rPr>
                <w:rFonts w:ascii="Times New Roman;Times;serif" w:hAnsi="Times New Roman;Times;serif"/>
                <w:sz w:val="20"/>
              </w:rPr>
              <w:t>152</w:t>
            </w:r>
          </w:p>
        </w:tc>
        <w:tc>
          <w:tcPr>
            <w:tcW w:w="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049"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Sales and marketing  </w:t>
            </w:r>
          </w:p>
        </w:tc>
        <w:tc>
          <w:tcPr>
            <w:tcW w:w="60" w:type="dxa"/>
            <w:tcBorders/>
            <w:vAlign w:val="center"/>
          </w:tcPr>
          <w:p>
            <w:pPr>
              <w:pStyle w:val="TableContents"/>
              <w:bidi w:val="0"/>
              <w:spacing w:before="0" w:after="0"/>
              <w:ind w:left="0" w:right="0" w:hanging="0"/>
              <w:jc w:val="left"/>
              <w:rPr/>
            </w:pPr>
            <w:r>
              <w:rPr/>
              <w:t> </w:t>
            </w:r>
          </w:p>
        </w:tc>
        <w:tc>
          <w:tcPr>
            <w:tcW w:w="144"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right"/>
              <w:rPr>
                <w:rFonts w:ascii="times new roman;times" w:hAnsi="times new roman;times"/>
                <w:sz w:val="20"/>
              </w:rPr>
            </w:pPr>
            <w:bookmarkStart w:id="548" w:name="fs_OEJ2RGIDS000000000000000000000fs"/>
            <w:bookmarkEnd w:id="548"/>
            <w:r>
              <w:rPr>
                <w:rFonts w:ascii="times new roman;times" w:hAnsi="times new roman;times"/>
                <w:sz w:val="20"/>
              </w:rPr>
              <w:t>403</w:t>
            </w:r>
          </w:p>
        </w:tc>
        <w:tc>
          <w:tcPr>
            <w:tcW w:w="92" w:type="dxa"/>
            <w:tcBorders/>
            <w:vAlign w:val="center"/>
          </w:tcPr>
          <w:p>
            <w:pPr>
              <w:pStyle w:val="TableContents"/>
              <w:bidi w:val="0"/>
              <w:spacing w:before="0" w:after="0"/>
              <w:ind w:left="0" w:right="0" w:hanging="0"/>
              <w:jc w:val="left"/>
              <w:rPr/>
            </w:pPr>
            <w:r>
              <w:rPr/>
              <w:t> </w:t>
            </w:r>
          </w:p>
        </w:tc>
        <w:tc>
          <w:tcPr>
            <w:tcW w:w="69" w:type="dxa"/>
            <w:tcBorders/>
            <w:vAlign w:val="center"/>
          </w:tcPr>
          <w:p>
            <w:pPr>
              <w:pStyle w:val="TableContents"/>
              <w:bidi w:val="0"/>
              <w:spacing w:before="0" w:after="0"/>
              <w:ind w:left="0" w:right="0" w:hanging="0"/>
              <w:jc w:val="left"/>
              <w:rPr/>
            </w:pPr>
            <w:r>
              <w:rPr/>
              <w:t> </w:t>
            </w:r>
          </w:p>
        </w:tc>
        <w:tc>
          <w:tcPr>
            <w:tcW w:w="144" w:type="dxa"/>
            <w:tcBorders/>
            <w:vAlign w:val="center"/>
          </w:tcPr>
          <w:p>
            <w:pPr>
              <w:pStyle w:val="TableContents"/>
              <w:bidi w:val="0"/>
              <w:spacing w:before="0" w:after="0"/>
              <w:ind w:left="0" w:right="0" w:hanging="0"/>
              <w:jc w:val="left"/>
              <w:rPr/>
            </w:pPr>
            <w:r>
              <w:rPr/>
              <w:t> </w:t>
            </w:r>
          </w:p>
        </w:tc>
        <w:tc>
          <w:tcPr>
            <w:tcW w:w="632" w:type="dxa"/>
            <w:tcBorders/>
            <w:vAlign w:val="center"/>
          </w:tcPr>
          <w:p>
            <w:pPr>
              <w:pStyle w:val="TableContents"/>
              <w:bidi w:val="0"/>
              <w:spacing w:before="0" w:after="0"/>
              <w:ind w:left="0" w:right="0" w:hanging="0"/>
              <w:jc w:val="right"/>
              <w:rPr>
                <w:rFonts w:ascii="times new roman;times" w:hAnsi="times new roman;times"/>
                <w:sz w:val="20"/>
              </w:rPr>
            </w:pPr>
            <w:bookmarkStart w:id="549" w:name="fs_FBAJWOAGIO00000000000000000000fs"/>
            <w:bookmarkEnd w:id="549"/>
            <w:r>
              <w:rPr>
                <w:rFonts w:ascii="times new roman;times" w:hAnsi="times new roman;times"/>
                <w:sz w:val="20"/>
              </w:rPr>
              <w:t>1,067</w:t>
            </w:r>
          </w:p>
        </w:tc>
        <w:tc>
          <w:tcPr>
            <w:tcW w:w="92" w:type="dxa"/>
            <w:tcBorders/>
            <w:vAlign w:val="center"/>
          </w:tcPr>
          <w:p>
            <w:pPr>
              <w:pStyle w:val="TableContents"/>
              <w:bidi w:val="0"/>
              <w:spacing w:before="0" w:after="0"/>
              <w:ind w:left="0" w:right="0" w:hanging="0"/>
              <w:jc w:val="left"/>
              <w:rPr/>
            </w:pPr>
            <w:r>
              <w:rPr/>
              <w:t> </w:t>
            </w:r>
          </w:p>
        </w:tc>
        <w:tc>
          <w:tcPr>
            <w:tcW w:w="69"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1731" w:type="dxa"/>
            <w:tcBorders/>
            <w:vAlign w:val="center"/>
          </w:tcPr>
          <w:p>
            <w:pPr>
              <w:pStyle w:val="TableContents"/>
              <w:bidi w:val="0"/>
              <w:spacing w:before="0" w:after="0"/>
              <w:ind w:left="0" w:right="0" w:hanging="0"/>
              <w:jc w:val="right"/>
              <w:rPr>
                <w:rFonts w:ascii="Times New Roman;Times;serif" w:hAnsi="Times New Roman;Times;serif"/>
                <w:sz w:val="20"/>
              </w:rPr>
            </w:pPr>
            <w:bookmarkStart w:id="550" w:name="fs_QU5I37QPKW00000000000000000000FM"/>
            <w:bookmarkEnd w:id="550"/>
            <w:r>
              <w:rPr>
                <w:rFonts w:ascii="Times New Roman;Times;serif" w:hAnsi="Times New Roman;Times;serif"/>
                <w:sz w:val="20"/>
              </w:rPr>
              <w:t>62</w:t>
            </w:r>
          </w:p>
        </w:tc>
        <w:tc>
          <w:tcPr>
            <w:tcW w:w="80" w:type="dxa"/>
            <w:tcBorders/>
            <w:vAlign w:val="center"/>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ind w:left="0" w:right="0" w:hanging="0"/>
              <w:jc w:val="left"/>
              <w:rPr/>
            </w:pPr>
            <w:r>
              <w:rPr/>
            </w:r>
          </w:p>
        </w:tc>
        <w:tc>
          <w:tcPr>
            <w:tcW w:w="145" w:type="dxa"/>
            <w:tcBorders/>
            <w:vAlign w:val="center"/>
          </w:tcPr>
          <w:p>
            <w:pPr>
              <w:pStyle w:val="TableContents"/>
              <w:bidi w:val="0"/>
              <w:spacing w:before="0" w:after="283"/>
              <w:ind w:left="0" w:right="0" w:hanging="0"/>
              <w:jc w:val="left"/>
              <w:rPr/>
            </w:pPr>
            <w:r>
              <w:rPr/>
            </w:r>
          </w:p>
        </w:tc>
        <w:tc>
          <w:tcPr>
            <w:tcW w:w="758" w:type="dxa"/>
            <w:tcBorders/>
            <w:vAlign w:val="center"/>
          </w:tcPr>
          <w:p>
            <w:pPr>
              <w:pStyle w:val="TableContents"/>
              <w:bidi w:val="0"/>
              <w:spacing w:before="0" w:after="0"/>
              <w:ind w:left="0" w:right="0" w:hanging="0"/>
              <w:jc w:val="right"/>
              <w:rPr>
                <w:rFonts w:ascii="Times New Roman;Times;serif" w:hAnsi="Times New Roman;Times;serif"/>
                <w:sz w:val="20"/>
              </w:rPr>
            </w:pPr>
            <w:bookmarkStart w:id="551" w:name="fs_CN42Q41POW00000000000000000000fs"/>
            <w:bookmarkEnd w:id="551"/>
            <w:r>
              <w:rPr>
                <w:rFonts w:ascii="Times New Roman;Times;serif" w:hAnsi="Times New Roman;Times;serif"/>
                <w:sz w:val="20"/>
              </w:rPr>
              <w:t>2,902</w:t>
            </w:r>
          </w:p>
        </w:tc>
        <w:tc>
          <w:tcPr>
            <w:tcW w:w="93" w:type="dxa"/>
            <w:tcBorders/>
            <w:vAlign w:val="center"/>
          </w:tcPr>
          <w:p>
            <w:pPr>
              <w:pStyle w:val="TableContents"/>
              <w:bidi w:val="0"/>
              <w:spacing w:before="0" w:after="283"/>
              <w:ind w:left="0" w:right="0" w:hanging="0"/>
              <w:jc w:val="left"/>
              <w:rPr/>
            </w:pPr>
            <w:r>
              <w:rPr/>
            </w:r>
          </w:p>
        </w:tc>
        <w:tc>
          <w:tcPr>
            <w:tcW w:w="26" w:type="dxa"/>
            <w:tcBorders/>
            <w:vAlign w:val="center"/>
          </w:tcPr>
          <w:p>
            <w:pPr>
              <w:pStyle w:val="TableContents"/>
              <w:bidi w:val="0"/>
              <w:spacing w:before="0" w:after="283"/>
              <w:ind w:left="0" w:right="0" w:hanging="0"/>
              <w:jc w:val="left"/>
              <w:rPr/>
            </w:pPr>
            <w:r>
              <w:rPr/>
            </w:r>
          </w:p>
        </w:tc>
        <w:tc>
          <w:tcPr>
            <w:tcW w:w="145" w:type="dxa"/>
            <w:tcBorders/>
            <w:vAlign w:val="center"/>
          </w:tcPr>
          <w:p>
            <w:pPr>
              <w:pStyle w:val="TableContents"/>
              <w:bidi w:val="0"/>
              <w:spacing w:before="0" w:after="283"/>
              <w:ind w:left="0" w:right="0" w:hanging="0"/>
              <w:jc w:val="left"/>
              <w:rPr/>
            </w:pPr>
            <w:r>
              <w:rPr/>
            </w:r>
          </w:p>
        </w:tc>
        <w:tc>
          <w:tcPr>
            <w:tcW w:w="636" w:type="dxa"/>
            <w:tcBorders/>
            <w:vAlign w:val="center"/>
          </w:tcPr>
          <w:p>
            <w:pPr>
              <w:pStyle w:val="TableContents"/>
              <w:bidi w:val="0"/>
              <w:spacing w:before="0" w:after="0"/>
              <w:ind w:left="0" w:right="0" w:hanging="0"/>
              <w:jc w:val="right"/>
              <w:rPr>
                <w:rFonts w:ascii="Times New Roman;Times;serif" w:hAnsi="Times New Roman;Times;serif"/>
                <w:sz w:val="20"/>
              </w:rPr>
            </w:pPr>
            <w:bookmarkStart w:id="552" w:name="fs_POAHJOPQ7400000000000000000000fs"/>
            <w:bookmarkEnd w:id="552"/>
            <w:r>
              <w:rPr>
                <w:rFonts w:ascii="Times New Roman;Times;serif" w:hAnsi="Times New Roman;Times;serif"/>
                <w:sz w:val="20"/>
              </w:rPr>
              <w:t>3,570</w:t>
            </w:r>
          </w:p>
        </w:tc>
        <w:tc>
          <w:tcPr>
            <w:tcW w:w="93" w:type="dxa"/>
            <w:tcBorders/>
            <w:vAlign w:val="center"/>
          </w:tcPr>
          <w:p>
            <w:pPr>
              <w:pStyle w:val="TableContents"/>
              <w:bidi w:val="0"/>
              <w:spacing w:before="0" w:after="283"/>
              <w:ind w:left="0" w:right="0" w:hanging="0"/>
              <w:jc w:val="left"/>
              <w:rPr/>
            </w:pPr>
            <w:r>
              <w:rPr/>
            </w:r>
          </w:p>
        </w:tc>
        <w:tc>
          <w:tcPr>
            <w:tcW w:w="26" w:type="dxa"/>
            <w:tcBorders/>
            <w:vAlign w:val="center"/>
          </w:tcPr>
          <w:p>
            <w:pPr>
              <w:pStyle w:val="TableContents"/>
              <w:bidi w:val="0"/>
              <w:spacing w:before="0" w:after="283"/>
              <w:ind w:left="0" w:right="0" w:hanging="0"/>
              <w:jc w:val="left"/>
              <w:rPr/>
            </w:pPr>
            <w:r>
              <w:rPr/>
            </w:r>
          </w:p>
        </w:tc>
        <w:tc>
          <w:tcPr>
            <w:tcW w:w="108" w:type="dxa"/>
            <w:tcBorders/>
            <w:vAlign w:val="center"/>
          </w:tcPr>
          <w:p>
            <w:pPr>
              <w:pStyle w:val="TableContents"/>
              <w:bidi w:val="0"/>
              <w:spacing w:before="0" w:after="283"/>
              <w:ind w:left="0" w:right="0" w:hanging="0"/>
              <w:jc w:val="left"/>
              <w:rPr/>
            </w:pPr>
            <w:r>
              <w:rPr/>
            </w:r>
          </w:p>
        </w:tc>
        <w:tc>
          <w:tcPr>
            <w:tcW w:w="1884" w:type="dxa"/>
            <w:tcBorders/>
            <w:vAlign w:val="center"/>
          </w:tcPr>
          <w:p>
            <w:pPr>
              <w:pStyle w:val="TableContents"/>
              <w:bidi w:val="0"/>
              <w:spacing w:before="0" w:after="0"/>
              <w:ind w:left="0" w:right="0" w:hanging="0"/>
              <w:jc w:val="right"/>
              <w:rPr>
                <w:rFonts w:ascii="Times New Roman;Times;serif" w:hAnsi="Times New Roman;Times;serif"/>
                <w:sz w:val="20"/>
              </w:rPr>
            </w:pPr>
            <w:bookmarkStart w:id="553" w:name="fs_LVTGVFR31C00000000000000000000fs"/>
            <w:bookmarkEnd w:id="553"/>
            <w:r>
              <w:rPr>
                <w:rFonts w:ascii="Times New Roman;Times;serif" w:hAnsi="Times New Roman;Times;serif"/>
                <w:sz w:val="20"/>
              </w:rPr>
              <w:t>19</w:t>
            </w:r>
          </w:p>
        </w:tc>
        <w:tc>
          <w:tcPr>
            <w:tcW w:w="91" w:type="dxa"/>
            <w:tcBorders/>
            <w:vAlign w:val="center"/>
          </w:tcPr>
          <w:p>
            <w:pPr>
              <w:pStyle w:val="TableContents"/>
              <w:bidi w:val="0"/>
              <w:spacing w:before="0" w:after="283"/>
              <w:ind w:left="0" w:right="0" w:hanging="0"/>
              <w:jc w:val="left"/>
              <w:rPr/>
            </w:pPr>
            <w:r>
              <w:rPr/>
            </w:r>
          </w:p>
        </w:tc>
      </w:tr>
      <w:tr>
        <w:trPr/>
        <w:tc>
          <w:tcPr>
            <w:tcW w:w="2049"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Research and product development </w:t>
            </w:r>
          </w:p>
        </w:tc>
        <w:tc>
          <w:tcPr>
            <w:tcW w:w="60" w:type="dxa"/>
            <w:tcBorders/>
            <w:shd w:fill="CCEEFF" w:val="clear"/>
            <w:vAlign w:val="center"/>
          </w:tcPr>
          <w:p>
            <w:pPr>
              <w:pStyle w:val="TableContents"/>
              <w:bidi w:val="0"/>
              <w:spacing w:before="0" w:after="0"/>
              <w:ind w:left="0" w:right="0" w:hanging="0"/>
              <w:jc w:val="left"/>
              <w:rPr/>
            </w:pPr>
            <w:r>
              <w:rPr/>
              <w:t> </w:t>
            </w:r>
          </w:p>
        </w:tc>
        <w:tc>
          <w:tcPr>
            <w:tcW w:w="144" w:type="dxa"/>
            <w:tcBorders/>
            <w:shd w:fill="CCEEFF" w:val="clear"/>
            <w:vAlign w:val="center"/>
          </w:tcPr>
          <w:p>
            <w:pPr>
              <w:pStyle w:val="TableContents"/>
              <w:bidi w:val="0"/>
              <w:spacing w:before="0" w:after="0"/>
              <w:ind w:left="0" w:right="0" w:hanging="0"/>
              <w:jc w:val="left"/>
              <w:rPr/>
            </w:pPr>
            <w:r>
              <w:rPr/>
              <w:t> </w:t>
            </w:r>
          </w:p>
        </w:tc>
        <w:tc>
          <w:tcPr>
            <w:tcW w:w="754" w:type="dxa"/>
            <w:tcBorders/>
            <w:shd w:fill="CCEEFF" w:val="clear"/>
            <w:vAlign w:val="center"/>
          </w:tcPr>
          <w:p>
            <w:pPr>
              <w:pStyle w:val="TableContents"/>
              <w:bidi w:val="0"/>
              <w:spacing w:before="0" w:after="0"/>
              <w:ind w:left="0" w:right="0" w:hanging="0"/>
              <w:jc w:val="right"/>
              <w:rPr>
                <w:rFonts w:ascii="times new roman;times" w:hAnsi="times new roman;times"/>
                <w:sz w:val="20"/>
              </w:rPr>
            </w:pPr>
            <w:bookmarkStart w:id="554" w:name="fs_UIGYJ9JBDC00000000000000000000fs"/>
            <w:bookmarkEnd w:id="554"/>
            <w:r>
              <w:rPr>
                <w:rFonts w:ascii="times new roman;times" w:hAnsi="times new roman;times"/>
                <w:sz w:val="20"/>
              </w:rPr>
              <w:t>697</w:t>
            </w:r>
          </w:p>
        </w:tc>
        <w:tc>
          <w:tcPr>
            <w:tcW w:w="92" w:type="dxa"/>
            <w:tcBorders/>
            <w:shd w:fill="CCEEFF" w:val="clear"/>
            <w:vAlign w:val="center"/>
          </w:tcPr>
          <w:p>
            <w:pPr>
              <w:pStyle w:val="TableContents"/>
              <w:bidi w:val="0"/>
              <w:spacing w:before="0" w:after="0"/>
              <w:ind w:left="0" w:right="0" w:hanging="0"/>
              <w:jc w:val="left"/>
              <w:rPr/>
            </w:pPr>
            <w:r>
              <w:rPr/>
              <w:t> </w:t>
            </w:r>
          </w:p>
        </w:tc>
        <w:tc>
          <w:tcPr>
            <w:tcW w:w="69" w:type="dxa"/>
            <w:tcBorders/>
            <w:shd w:fill="CCEEFF" w:val="clear"/>
            <w:vAlign w:val="center"/>
          </w:tcPr>
          <w:p>
            <w:pPr>
              <w:pStyle w:val="TableContents"/>
              <w:bidi w:val="0"/>
              <w:spacing w:before="0" w:after="0"/>
              <w:ind w:left="0" w:right="0" w:hanging="0"/>
              <w:jc w:val="left"/>
              <w:rPr/>
            </w:pPr>
            <w:r>
              <w:rPr/>
              <w:t> </w:t>
            </w:r>
          </w:p>
        </w:tc>
        <w:tc>
          <w:tcPr>
            <w:tcW w:w="144" w:type="dxa"/>
            <w:tcBorders/>
            <w:shd w:fill="CCEEFF" w:val="clear"/>
            <w:vAlign w:val="center"/>
          </w:tcPr>
          <w:p>
            <w:pPr>
              <w:pStyle w:val="TableContents"/>
              <w:bidi w:val="0"/>
              <w:spacing w:before="0" w:after="0"/>
              <w:ind w:left="0" w:right="0" w:hanging="0"/>
              <w:jc w:val="left"/>
              <w:rPr/>
            </w:pPr>
            <w:r>
              <w:rPr/>
              <w:t> </w:t>
            </w:r>
          </w:p>
        </w:tc>
        <w:tc>
          <w:tcPr>
            <w:tcW w:w="632" w:type="dxa"/>
            <w:tcBorders/>
            <w:shd w:fill="CCEEFF" w:val="clear"/>
            <w:vAlign w:val="center"/>
          </w:tcPr>
          <w:p>
            <w:pPr>
              <w:pStyle w:val="TableContents"/>
              <w:bidi w:val="0"/>
              <w:spacing w:before="0" w:after="0"/>
              <w:ind w:left="0" w:right="0" w:hanging="0"/>
              <w:jc w:val="right"/>
              <w:rPr>
                <w:rFonts w:ascii="times new roman;times" w:hAnsi="times new roman;times"/>
                <w:sz w:val="20"/>
              </w:rPr>
            </w:pPr>
            <w:bookmarkStart w:id="555" w:name="fs_L0E7A6ZT1C00000000000000000000fs"/>
            <w:bookmarkEnd w:id="555"/>
            <w:r>
              <w:rPr>
                <w:rFonts w:ascii="times new roman;times" w:hAnsi="times new roman;times"/>
                <w:sz w:val="20"/>
              </w:rPr>
              <w:t>782</w:t>
            </w:r>
          </w:p>
        </w:tc>
        <w:tc>
          <w:tcPr>
            <w:tcW w:w="92" w:type="dxa"/>
            <w:tcBorders/>
            <w:shd w:fill="CCEEFF" w:val="clear"/>
            <w:vAlign w:val="center"/>
          </w:tcPr>
          <w:p>
            <w:pPr>
              <w:pStyle w:val="TableContents"/>
              <w:bidi w:val="0"/>
              <w:spacing w:before="0" w:after="0"/>
              <w:ind w:left="0" w:right="0" w:hanging="0"/>
              <w:jc w:val="left"/>
              <w:rPr/>
            </w:pPr>
            <w:r>
              <w:rPr/>
              <w:t> </w:t>
            </w:r>
          </w:p>
        </w:tc>
        <w:tc>
          <w:tcPr>
            <w:tcW w:w="69" w:type="dxa"/>
            <w:tcBorders/>
            <w:shd w:fill="CCEEFF" w:val="clear"/>
            <w:vAlign w:val="center"/>
          </w:tcPr>
          <w:p>
            <w:pPr>
              <w:pStyle w:val="TableContents"/>
              <w:bidi w:val="0"/>
              <w:spacing w:before="0" w:after="0"/>
              <w:ind w:left="0" w:right="0" w:hanging="0"/>
              <w:jc w:val="left"/>
              <w:rPr/>
            </w:pPr>
            <w:r>
              <w:rPr/>
              <w:t> </w:t>
            </w:r>
          </w:p>
        </w:tc>
        <w:tc>
          <w:tcPr>
            <w:tcW w:w="261" w:type="dxa"/>
            <w:tcBorders/>
            <w:shd w:fill="CCEEFF" w:val="clear"/>
            <w:vAlign w:val="center"/>
          </w:tcPr>
          <w:p>
            <w:pPr>
              <w:pStyle w:val="TableContents"/>
              <w:bidi w:val="0"/>
              <w:spacing w:before="0" w:after="0"/>
              <w:ind w:left="0" w:right="0" w:hanging="0"/>
              <w:jc w:val="left"/>
              <w:rPr/>
            </w:pPr>
            <w:r>
              <w:rPr/>
              <w:t> </w:t>
            </w:r>
          </w:p>
        </w:tc>
        <w:tc>
          <w:tcPr>
            <w:tcW w:w="1731" w:type="dxa"/>
            <w:tcBorders/>
            <w:shd w:fill="CCEEFF" w:val="clear"/>
            <w:vAlign w:val="center"/>
          </w:tcPr>
          <w:p>
            <w:pPr>
              <w:pStyle w:val="TableContents"/>
              <w:bidi w:val="0"/>
              <w:spacing w:before="0" w:after="0"/>
              <w:ind w:left="0" w:right="0" w:hanging="0"/>
              <w:jc w:val="right"/>
              <w:rPr>
                <w:rFonts w:ascii="times new roman;times" w:hAnsi="times new roman;times"/>
                <w:sz w:val="20"/>
              </w:rPr>
            </w:pPr>
            <w:bookmarkStart w:id="556" w:name="fs_CTSEG8O4LS00000000000000000000FM"/>
            <w:bookmarkEnd w:id="556"/>
            <w:r>
              <w:rPr>
                <w:rFonts w:ascii="times new roman;times" w:hAnsi="times new roman;times"/>
                <w:sz w:val="20"/>
              </w:rPr>
              <w:t>11</w:t>
            </w:r>
          </w:p>
        </w:tc>
        <w:tc>
          <w:tcPr>
            <w:tcW w:w="80"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23" w:type="dxa"/>
            <w:tcBorders/>
            <w:shd w:fill="CCEEFF" w:val="clear"/>
            <w:vAlign w:val="center"/>
          </w:tcPr>
          <w:p>
            <w:pPr>
              <w:pStyle w:val="TableContents"/>
              <w:bidi w:val="0"/>
              <w:spacing w:before="0" w:after="283"/>
              <w:ind w:left="0" w:right="0" w:hanging="0"/>
              <w:jc w:val="left"/>
              <w:rPr/>
            </w:pPr>
            <w:r>
              <w:rPr/>
            </w:r>
          </w:p>
        </w:tc>
        <w:tc>
          <w:tcPr>
            <w:tcW w:w="145" w:type="dxa"/>
            <w:tcBorders/>
            <w:shd w:fill="CCEEFF" w:val="clear"/>
            <w:vAlign w:val="center"/>
          </w:tcPr>
          <w:p>
            <w:pPr>
              <w:pStyle w:val="TableContents"/>
              <w:bidi w:val="0"/>
              <w:spacing w:before="0" w:after="283"/>
              <w:ind w:left="0" w:right="0" w:hanging="0"/>
              <w:jc w:val="left"/>
              <w:rPr/>
            </w:pPr>
            <w:r>
              <w:rPr/>
            </w:r>
          </w:p>
        </w:tc>
        <w:tc>
          <w:tcPr>
            <w:tcW w:w="7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bookmarkStart w:id="557" w:name="fs_3QYJBSVBN400000000000000000000fs"/>
            <w:bookmarkEnd w:id="557"/>
            <w:r>
              <w:rPr>
                <w:rFonts w:ascii="Times New Roman;Times;serif" w:hAnsi="Times New Roman;Times;serif"/>
                <w:sz w:val="20"/>
              </w:rPr>
              <w:t>2,747</w:t>
            </w:r>
          </w:p>
        </w:tc>
        <w:tc>
          <w:tcPr>
            <w:tcW w:w="93" w:type="dxa"/>
            <w:tcBorders/>
            <w:shd w:fill="CCEEFF" w:val="clear"/>
            <w:vAlign w:val="center"/>
          </w:tcPr>
          <w:p>
            <w:pPr>
              <w:pStyle w:val="TableContents"/>
              <w:bidi w:val="0"/>
              <w:spacing w:before="0" w:after="283"/>
              <w:ind w:left="0" w:right="0" w:hanging="0"/>
              <w:jc w:val="left"/>
              <w:rPr/>
            </w:pPr>
            <w:r>
              <w:rPr/>
            </w:r>
          </w:p>
        </w:tc>
        <w:tc>
          <w:tcPr>
            <w:tcW w:w="26" w:type="dxa"/>
            <w:tcBorders/>
            <w:shd w:fill="CCEEFF" w:val="clear"/>
            <w:vAlign w:val="center"/>
          </w:tcPr>
          <w:p>
            <w:pPr>
              <w:pStyle w:val="TableContents"/>
              <w:bidi w:val="0"/>
              <w:spacing w:before="0" w:after="283"/>
              <w:ind w:left="0" w:right="0" w:hanging="0"/>
              <w:jc w:val="left"/>
              <w:rPr/>
            </w:pPr>
            <w:r>
              <w:rPr/>
            </w:r>
          </w:p>
        </w:tc>
        <w:tc>
          <w:tcPr>
            <w:tcW w:w="145" w:type="dxa"/>
            <w:tcBorders/>
            <w:shd w:fill="CCEEFF" w:val="clear"/>
            <w:vAlign w:val="center"/>
          </w:tcPr>
          <w:p>
            <w:pPr>
              <w:pStyle w:val="TableContents"/>
              <w:bidi w:val="0"/>
              <w:spacing w:before="0" w:after="283"/>
              <w:ind w:left="0" w:right="0" w:hanging="0"/>
              <w:jc w:val="left"/>
              <w:rPr/>
            </w:pPr>
            <w:r>
              <w:rPr/>
            </w:r>
          </w:p>
        </w:tc>
        <w:tc>
          <w:tcPr>
            <w:tcW w:w="6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bookmarkStart w:id="558" w:name="fs_7WCZX9BKGG00000000000000000000fs"/>
            <w:bookmarkEnd w:id="558"/>
            <w:r>
              <w:rPr>
                <w:rFonts w:ascii="Times New Roman;Times;serif" w:hAnsi="Times New Roman;Times;serif"/>
                <w:sz w:val="20"/>
              </w:rPr>
              <w:t>2,544</w:t>
            </w:r>
          </w:p>
        </w:tc>
        <w:tc>
          <w:tcPr>
            <w:tcW w:w="93" w:type="dxa"/>
            <w:tcBorders/>
            <w:shd w:fill="CCEEFF" w:val="clear"/>
            <w:vAlign w:val="center"/>
          </w:tcPr>
          <w:p>
            <w:pPr>
              <w:pStyle w:val="TableContents"/>
              <w:bidi w:val="0"/>
              <w:spacing w:before="0" w:after="283"/>
              <w:ind w:left="0" w:right="0" w:hanging="0"/>
              <w:jc w:val="left"/>
              <w:rPr/>
            </w:pPr>
            <w:r>
              <w:rPr/>
            </w:r>
          </w:p>
        </w:tc>
        <w:tc>
          <w:tcPr>
            <w:tcW w:w="26" w:type="dxa"/>
            <w:tcBorders/>
            <w:shd w:fill="CCEEFF" w:val="clear"/>
            <w:vAlign w:val="center"/>
          </w:tcPr>
          <w:p>
            <w:pPr>
              <w:pStyle w:val="TableContents"/>
              <w:bidi w:val="0"/>
              <w:spacing w:before="0" w:after="283"/>
              <w:ind w:left="0" w:right="0" w:hanging="0"/>
              <w:jc w:val="left"/>
              <w:rPr/>
            </w:pPr>
            <w:r>
              <w:rPr/>
            </w:r>
          </w:p>
        </w:tc>
        <w:tc>
          <w:tcPr>
            <w:tcW w:w="108" w:type="dxa"/>
            <w:tcBorders/>
            <w:shd w:fill="CCEEFF" w:val="clear"/>
            <w:vAlign w:val="center"/>
          </w:tcPr>
          <w:p>
            <w:pPr>
              <w:pStyle w:val="TableContents"/>
              <w:bidi w:val="0"/>
              <w:spacing w:before="0" w:after="283"/>
              <w:ind w:left="0" w:right="0" w:hanging="0"/>
              <w:jc w:val="left"/>
              <w:rPr/>
            </w:pPr>
            <w:r>
              <w:rPr/>
            </w:r>
          </w:p>
        </w:tc>
        <w:tc>
          <w:tcPr>
            <w:tcW w:w="18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bookmarkStart w:id="559" w:name="fs_9URC2604UO00000000000000000000fs"/>
            <w:bookmarkEnd w:id="559"/>
            <w:r>
              <w:rPr>
                <w:rFonts w:ascii="Times New Roman;Times;serif" w:hAnsi="Times New Roman;Times;serif"/>
                <w:sz w:val="20"/>
              </w:rPr>
              <w:t>8</w:t>
            </w:r>
          </w:p>
        </w:tc>
        <w:tc>
          <w:tcPr>
            <w:tcW w:w="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049"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General and administrative </w:t>
            </w:r>
          </w:p>
        </w:tc>
        <w:tc>
          <w:tcPr>
            <w:tcW w:w="60" w:type="dxa"/>
            <w:tcBorders/>
            <w:vAlign w:val="center"/>
          </w:tcPr>
          <w:p>
            <w:pPr>
              <w:pStyle w:val="TableContents"/>
              <w:bidi w:val="0"/>
              <w:spacing w:before="0" w:after="0"/>
              <w:ind w:left="0" w:right="0" w:hanging="0"/>
              <w:jc w:val="left"/>
              <w:rPr/>
            </w:pPr>
            <w:r>
              <w:rPr/>
              <w:t> </w:t>
            </w:r>
          </w:p>
        </w:tc>
        <w:tc>
          <w:tcPr>
            <w:tcW w:w="144"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right"/>
              <w:rPr>
                <w:rFonts w:ascii="times new roman;times" w:hAnsi="times new roman;times"/>
                <w:sz w:val="20"/>
              </w:rPr>
            </w:pPr>
            <w:bookmarkStart w:id="560" w:name="fs_WRQHCX58M800000000000000000000fs"/>
            <w:bookmarkEnd w:id="560"/>
            <w:r>
              <w:rPr>
                <w:rFonts w:ascii="times new roman;times" w:hAnsi="times new roman;times"/>
                <w:sz w:val="20"/>
              </w:rPr>
              <w:t>138</w:t>
            </w:r>
          </w:p>
        </w:tc>
        <w:tc>
          <w:tcPr>
            <w:tcW w:w="92" w:type="dxa"/>
            <w:tcBorders/>
            <w:vAlign w:val="center"/>
          </w:tcPr>
          <w:p>
            <w:pPr>
              <w:pStyle w:val="TableContents"/>
              <w:bidi w:val="0"/>
              <w:spacing w:before="0" w:after="0"/>
              <w:ind w:left="0" w:right="0" w:hanging="0"/>
              <w:jc w:val="left"/>
              <w:rPr/>
            </w:pPr>
            <w:r>
              <w:rPr/>
              <w:t> </w:t>
            </w:r>
          </w:p>
        </w:tc>
        <w:tc>
          <w:tcPr>
            <w:tcW w:w="69" w:type="dxa"/>
            <w:tcBorders/>
            <w:vAlign w:val="center"/>
          </w:tcPr>
          <w:p>
            <w:pPr>
              <w:pStyle w:val="TableContents"/>
              <w:bidi w:val="0"/>
              <w:spacing w:before="0" w:after="0"/>
              <w:ind w:left="0" w:right="0" w:hanging="0"/>
              <w:jc w:val="left"/>
              <w:rPr/>
            </w:pPr>
            <w:r>
              <w:rPr/>
              <w:t> </w:t>
            </w:r>
          </w:p>
        </w:tc>
        <w:tc>
          <w:tcPr>
            <w:tcW w:w="144" w:type="dxa"/>
            <w:tcBorders/>
            <w:vAlign w:val="center"/>
          </w:tcPr>
          <w:p>
            <w:pPr>
              <w:pStyle w:val="TableContents"/>
              <w:bidi w:val="0"/>
              <w:spacing w:before="0" w:after="0"/>
              <w:ind w:left="0" w:right="0" w:hanging="0"/>
              <w:jc w:val="left"/>
              <w:rPr/>
            </w:pPr>
            <w:r>
              <w:rPr/>
              <w:t> </w:t>
            </w:r>
          </w:p>
        </w:tc>
        <w:tc>
          <w:tcPr>
            <w:tcW w:w="632" w:type="dxa"/>
            <w:tcBorders/>
            <w:vAlign w:val="center"/>
          </w:tcPr>
          <w:p>
            <w:pPr>
              <w:pStyle w:val="TableContents"/>
              <w:bidi w:val="0"/>
              <w:spacing w:before="0" w:after="0"/>
              <w:ind w:left="0" w:right="0" w:hanging="0"/>
              <w:jc w:val="right"/>
              <w:rPr>
                <w:rFonts w:ascii="times new roman;times" w:hAnsi="times new roman;times"/>
                <w:sz w:val="20"/>
              </w:rPr>
            </w:pPr>
            <w:bookmarkStart w:id="561" w:name="fs_0OUSCN0QWW00000000000000000000fs"/>
            <w:bookmarkEnd w:id="561"/>
            <w:r>
              <w:rPr>
                <w:rFonts w:ascii="times new roman;times" w:hAnsi="times new roman;times"/>
                <w:sz w:val="20"/>
              </w:rPr>
              <w:t>136</w:t>
            </w:r>
          </w:p>
        </w:tc>
        <w:tc>
          <w:tcPr>
            <w:tcW w:w="92" w:type="dxa"/>
            <w:tcBorders/>
            <w:vAlign w:val="center"/>
          </w:tcPr>
          <w:p>
            <w:pPr>
              <w:pStyle w:val="TableContents"/>
              <w:bidi w:val="0"/>
              <w:spacing w:before="0" w:after="0"/>
              <w:ind w:left="0" w:right="0" w:hanging="0"/>
              <w:jc w:val="left"/>
              <w:rPr/>
            </w:pPr>
            <w:r>
              <w:rPr/>
              <w:t> </w:t>
            </w:r>
          </w:p>
        </w:tc>
        <w:tc>
          <w:tcPr>
            <w:tcW w:w="69"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1731"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bookmarkStart w:id="562" w:name="fs_D8IVHKNH6800000000000000000000fs"/>
            <w:bookmarkEnd w:id="562"/>
            <w:r>
              <w:rPr>
                <w:rFonts w:ascii="times new roman;times" w:hAnsi="times new roman;times"/>
                <w:sz w:val="20"/>
              </w:rPr>
              <w:t>1</w:t>
            </w:r>
          </w:p>
        </w:tc>
        <w:tc>
          <w:tcPr>
            <w:tcW w:w="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 w:type="dxa"/>
            <w:tcBorders/>
            <w:vAlign w:val="center"/>
          </w:tcPr>
          <w:p>
            <w:pPr>
              <w:pStyle w:val="TableContents"/>
              <w:bidi w:val="0"/>
              <w:spacing w:before="0" w:after="283"/>
              <w:ind w:left="0" w:right="0" w:hanging="0"/>
              <w:jc w:val="left"/>
              <w:rPr/>
            </w:pPr>
            <w:r>
              <w:rPr/>
            </w:r>
          </w:p>
        </w:tc>
        <w:tc>
          <w:tcPr>
            <w:tcW w:w="145" w:type="dxa"/>
            <w:tcBorders/>
            <w:vAlign w:val="center"/>
          </w:tcPr>
          <w:p>
            <w:pPr>
              <w:pStyle w:val="TableContents"/>
              <w:bidi w:val="0"/>
              <w:spacing w:before="0" w:after="283"/>
              <w:ind w:left="0" w:right="0" w:hanging="0"/>
              <w:jc w:val="left"/>
              <w:rPr/>
            </w:pPr>
            <w:r>
              <w:rPr/>
            </w:r>
          </w:p>
        </w:tc>
        <w:tc>
          <w:tcPr>
            <w:tcW w:w="758" w:type="dxa"/>
            <w:tcBorders/>
            <w:vAlign w:val="center"/>
          </w:tcPr>
          <w:p>
            <w:pPr>
              <w:pStyle w:val="TableContents"/>
              <w:bidi w:val="0"/>
              <w:spacing w:before="0" w:after="0"/>
              <w:ind w:left="0" w:right="0" w:hanging="0"/>
              <w:jc w:val="right"/>
              <w:rPr>
                <w:rFonts w:ascii="Times New Roman;Times;serif" w:hAnsi="Times New Roman;Times;serif"/>
                <w:sz w:val="20"/>
              </w:rPr>
            </w:pPr>
            <w:bookmarkStart w:id="563" w:name="fs_F62SPFFHOW00000000000000000000fs"/>
            <w:bookmarkEnd w:id="563"/>
            <w:r>
              <w:rPr>
                <w:rFonts w:ascii="Times New Roman;Times;serif" w:hAnsi="Times New Roman;Times;serif"/>
                <w:sz w:val="20"/>
              </w:rPr>
              <w:t>530</w:t>
            </w:r>
          </w:p>
        </w:tc>
        <w:tc>
          <w:tcPr>
            <w:tcW w:w="93" w:type="dxa"/>
            <w:tcBorders/>
            <w:vAlign w:val="center"/>
          </w:tcPr>
          <w:p>
            <w:pPr>
              <w:pStyle w:val="TableContents"/>
              <w:bidi w:val="0"/>
              <w:spacing w:before="0" w:after="283"/>
              <w:ind w:left="0" w:right="0" w:hanging="0"/>
              <w:jc w:val="left"/>
              <w:rPr/>
            </w:pPr>
            <w:r>
              <w:rPr/>
            </w:r>
          </w:p>
        </w:tc>
        <w:tc>
          <w:tcPr>
            <w:tcW w:w="26" w:type="dxa"/>
            <w:tcBorders/>
            <w:vAlign w:val="center"/>
          </w:tcPr>
          <w:p>
            <w:pPr>
              <w:pStyle w:val="TableContents"/>
              <w:bidi w:val="0"/>
              <w:spacing w:before="0" w:after="283"/>
              <w:ind w:left="0" w:right="0" w:hanging="0"/>
              <w:jc w:val="left"/>
              <w:rPr/>
            </w:pPr>
            <w:r>
              <w:rPr/>
            </w:r>
          </w:p>
        </w:tc>
        <w:tc>
          <w:tcPr>
            <w:tcW w:w="145" w:type="dxa"/>
            <w:tcBorders/>
            <w:vAlign w:val="center"/>
          </w:tcPr>
          <w:p>
            <w:pPr>
              <w:pStyle w:val="TableContents"/>
              <w:bidi w:val="0"/>
              <w:spacing w:before="0" w:after="283"/>
              <w:ind w:left="0" w:right="0" w:hanging="0"/>
              <w:jc w:val="left"/>
              <w:rPr/>
            </w:pPr>
            <w:r>
              <w:rPr/>
            </w:r>
          </w:p>
        </w:tc>
        <w:tc>
          <w:tcPr>
            <w:tcW w:w="636" w:type="dxa"/>
            <w:tcBorders/>
            <w:vAlign w:val="center"/>
          </w:tcPr>
          <w:p>
            <w:pPr>
              <w:pStyle w:val="TableContents"/>
              <w:bidi w:val="0"/>
              <w:spacing w:before="0" w:after="0"/>
              <w:ind w:left="0" w:right="0" w:hanging="0"/>
              <w:jc w:val="right"/>
              <w:rPr>
                <w:rFonts w:ascii="Times New Roman;Times;serif" w:hAnsi="Times New Roman;Times;serif"/>
                <w:sz w:val="20"/>
              </w:rPr>
            </w:pPr>
            <w:bookmarkStart w:id="564" w:name="fs_FG8WJA6P4W00000000000000000000fs"/>
            <w:bookmarkEnd w:id="564"/>
            <w:r>
              <w:rPr>
                <w:rFonts w:ascii="Times New Roman;Times;serif" w:hAnsi="Times New Roman;Times;serif"/>
                <w:sz w:val="20"/>
              </w:rPr>
              <w:t>403</w:t>
            </w:r>
          </w:p>
        </w:tc>
        <w:tc>
          <w:tcPr>
            <w:tcW w:w="93" w:type="dxa"/>
            <w:tcBorders/>
            <w:vAlign w:val="center"/>
          </w:tcPr>
          <w:p>
            <w:pPr>
              <w:pStyle w:val="TableContents"/>
              <w:bidi w:val="0"/>
              <w:spacing w:before="0" w:after="283"/>
              <w:ind w:left="0" w:right="0" w:hanging="0"/>
              <w:jc w:val="left"/>
              <w:rPr/>
            </w:pPr>
            <w:r>
              <w:rPr/>
            </w:r>
          </w:p>
        </w:tc>
        <w:tc>
          <w:tcPr>
            <w:tcW w:w="26" w:type="dxa"/>
            <w:tcBorders/>
            <w:vAlign w:val="center"/>
          </w:tcPr>
          <w:p>
            <w:pPr>
              <w:pStyle w:val="TableContents"/>
              <w:bidi w:val="0"/>
              <w:spacing w:before="0" w:after="283"/>
              <w:ind w:left="0" w:right="0" w:hanging="0"/>
              <w:jc w:val="left"/>
              <w:rPr/>
            </w:pPr>
            <w:r>
              <w:rPr/>
            </w:r>
          </w:p>
        </w:tc>
        <w:tc>
          <w:tcPr>
            <w:tcW w:w="108" w:type="dxa"/>
            <w:tcBorders/>
            <w:vAlign w:val="center"/>
          </w:tcPr>
          <w:p>
            <w:pPr>
              <w:pStyle w:val="TableContents"/>
              <w:bidi w:val="0"/>
              <w:spacing w:before="0" w:after="283"/>
              <w:ind w:left="0" w:right="0" w:hanging="0"/>
              <w:jc w:val="left"/>
              <w:rPr/>
            </w:pPr>
            <w:r>
              <w:rPr/>
            </w:r>
          </w:p>
        </w:tc>
        <w:tc>
          <w:tcPr>
            <w:tcW w:w="18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bookmarkStart w:id="565" w:name="fs_JBVITYQH3400000000000000000000fs"/>
            <w:bookmarkEnd w:id="565"/>
            <w:r>
              <w:rPr>
                <w:rFonts w:ascii="Times New Roman;Times;serif" w:hAnsi="Times New Roman;Times;serif"/>
                <w:sz w:val="20"/>
              </w:rPr>
              <w:t>32</w:t>
            </w:r>
          </w:p>
        </w:tc>
        <w:tc>
          <w:tcPr>
            <w:tcW w:w="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049"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Total operating expenses  </w:t>
            </w:r>
          </w:p>
        </w:tc>
        <w:tc>
          <w:tcPr>
            <w:tcW w:w="60" w:type="dxa"/>
            <w:tcBorders/>
            <w:shd w:fill="CCEEFF" w:val="clear"/>
            <w:vAlign w:val="center"/>
          </w:tcPr>
          <w:p>
            <w:pPr>
              <w:pStyle w:val="TableContents"/>
              <w:bidi w:val="0"/>
              <w:spacing w:before="0" w:after="0"/>
              <w:ind w:left="0" w:right="0" w:hanging="0"/>
              <w:jc w:val="left"/>
              <w:rPr/>
            </w:pPr>
            <w:r>
              <w:rPr/>
              <w:t> </w:t>
            </w:r>
          </w:p>
        </w:tc>
        <w:tc>
          <w:tcPr>
            <w:tcW w:w="144" w:type="dxa"/>
            <w:tcBorders/>
            <w:shd w:fill="CCEEFF" w:val="clear"/>
            <w:vAlign w:val="center"/>
          </w:tcPr>
          <w:p>
            <w:pPr>
              <w:pStyle w:val="TableContents"/>
              <w:bidi w:val="0"/>
              <w:spacing w:before="0" w:after="0"/>
              <w:ind w:left="0" w:right="0" w:hanging="0"/>
              <w:jc w:val="left"/>
              <w:rPr/>
            </w:pPr>
            <w:r>
              <w:rPr/>
              <w:t> </w:t>
            </w:r>
          </w:p>
        </w:tc>
        <w:tc>
          <w:tcPr>
            <w:tcW w:w="754" w:type="dxa"/>
            <w:tcBorders/>
            <w:shd w:fill="CCEEFF" w:val="clear"/>
            <w:vAlign w:val="center"/>
          </w:tcPr>
          <w:p>
            <w:pPr>
              <w:pStyle w:val="TableContents"/>
              <w:bidi w:val="0"/>
              <w:spacing w:before="0" w:after="0"/>
              <w:ind w:left="0" w:right="0" w:hanging="0"/>
              <w:jc w:val="right"/>
              <w:rPr>
                <w:rFonts w:ascii="times new roman;times" w:hAnsi="times new roman;times"/>
                <w:sz w:val="20"/>
              </w:rPr>
            </w:pPr>
            <w:bookmarkStart w:id="566" w:name="fs_V1U03N8EK000000000000000000000fs"/>
            <w:bookmarkEnd w:id="566"/>
            <w:r>
              <w:rPr>
                <w:rFonts w:ascii="times new roman;times" w:hAnsi="times new roman;times"/>
                <w:sz w:val="20"/>
              </w:rPr>
              <w:t>1,238</w:t>
            </w:r>
          </w:p>
        </w:tc>
        <w:tc>
          <w:tcPr>
            <w:tcW w:w="92" w:type="dxa"/>
            <w:tcBorders/>
            <w:shd w:fill="CCEEFF" w:val="clear"/>
            <w:vAlign w:val="center"/>
          </w:tcPr>
          <w:p>
            <w:pPr>
              <w:pStyle w:val="TableContents"/>
              <w:bidi w:val="0"/>
              <w:spacing w:before="0" w:after="0"/>
              <w:ind w:left="0" w:right="0" w:hanging="0"/>
              <w:jc w:val="left"/>
              <w:rPr/>
            </w:pPr>
            <w:r>
              <w:rPr/>
              <w:t> </w:t>
            </w:r>
          </w:p>
        </w:tc>
        <w:tc>
          <w:tcPr>
            <w:tcW w:w="69" w:type="dxa"/>
            <w:tcBorders/>
            <w:shd w:fill="CCEEFF" w:val="clear"/>
            <w:vAlign w:val="center"/>
          </w:tcPr>
          <w:p>
            <w:pPr>
              <w:pStyle w:val="TableContents"/>
              <w:bidi w:val="0"/>
              <w:spacing w:before="0" w:after="0"/>
              <w:ind w:left="0" w:right="0" w:hanging="0"/>
              <w:jc w:val="left"/>
              <w:rPr/>
            </w:pPr>
            <w:r>
              <w:rPr/>
              <w:t> </w:t>
            </w:r>
          </w:p>
        </w:tc>
        <w:tc>
          <w:tcPr>
            <w:tcW w:w="144" w:type="dxa"/>
            <w:tcBorders/>
            <w:shd w:fill="CCEEFF" w:val="clear"/>
            <w:vAlign w:val="center"/>
          </w:tcPr>
          <w:p>
            <w:pPr>
              <w:pStyle w:val="TableContents"/>
              <w:bidi w:val="0"/>
              <w:spacing w:before="0" w:after="0"/>
              <w:ind w:left="0" w:right="0" w:hanging="0"/>
              <w:jc w:val="left"/>
              <w:rPr/>
            </w:pPr>
            <w:r>
              <w:rPr/>
              <w:t> </w:t>
            </w:r>
          </w:p>
        </w:tc>
        <w:tc>
          <w:tcPr>
            <w:tcW w:w="632" w:type="dxa"/>
            <w:tcBorders/>
            <w:shd w:fill="CCEEFF" w:val="clear"/>
            <w:vAlign w:val="center"/>
          </w:tcPr>
          <w:p>
            <w:pPr>
              <w:pStyle w:val="TableContents"/>
              <w:bidi w:val="0"/>
              <w:spacing w:before="0" w:after="0"/>
              <w:ind w:left="0" w:right="0" w:hanging="0"/>
              <w:jc w:val="right"/>
              <w:rPr>
                <w:rFonts w:ascii="times new roman;times" w:hAnsi="times new roman;times"/>
                <w:sz w:val="20"/>
              </w:rPr>
            </w:pPr>
            <w:bookmarkStart w:id="567" w:name="fs_A7AR5HE50G00000000000000000000fs"/>
            <w:bookmarkEnd w:id="567"/>
            <w:r>
              <w:rPr>
                <w:rFonts w:ascii="times new roman;times" w:hAnsi="times new roman;times"/>
                <w:sz w:val="20"/>
              </w:rPr>
              <w:t>1,985</w:t>
            </w:r>
          </w:p>
        </w:tc>
        <w:tc>
          <w:tcPr>
            <w:tcW w:w="92" w:type="dxa"/>
            <w:tcBorders/>
            <w:shd w:fill="CCEEFF" w:val="clear"/>
            <w:vAlign w:val="center"/>
          </w:tcPr>
          <w:p>
            <w:pPr>
              <w:pStyle w:val="TableContents"/>
              <w:bidi w:val="0"/>
              <w:spacing w:before="0" w:after="0"/>
              <w:ind w:left="0" w:right="0" w:hanging="0"/>
              <w:jc w:val="left"/>
              <w:rPr/>
            </w:pPr>
            <w:r>
              <w:rPr/>
              <w:t> </w:t>
            </w:r>
          </w:p>
        </w:tc>
        <w:tc>
          <w:tcPr>
            <w:tcW w:w="69" w:type="dxa"/>
            <w:tcBorders/>
            <w:shd w:fill="CCEEFF" w:val="clear"/>
            <w:vAlign w:val="center"/>
          </w:tcPr>
          <w:p>
            <w:pPr>
              <w:pStyle w:val="TableContents"/>
              <w:bidi w:val="0"/>
              <w:spacing w:before="0" w:after="0"/>
              <w:ind w:left="0" w:right="0" w:hanging="0"/>
              <w:jc w:val="left"/>
              <w:rPr/>
            </w:pPr>
            <w:r>
              <w:rPr/>
              <w:t> </w:t>
            </w:r>
          </w:p>
        </w:tc>
        <w:tc>
          <w:tcPr>
            <w:tcW w:w="261"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731" w:type="dxa"/>
            <w:tcBorders/>
            <w:shd w:fill="CCEEFF" w:val="clear"/>
            <w:vAlign w:val="center"/>
          </w:tcPr>
          <w:p>
            <w:pPr>
              <w:pStyle w:val="TableContents"/>
              <w:bidi w:val="0"/>
              <w:spacing w:before="0" w:after="0"/>
              <w:ind w:left="0" w:right="0" w:hanging="0"/>
              <w:jc w:val="right"/>
              <w:rPr>
                <w:rFonts w:ascii="times new roman;times" w:hAnsi="times new roman;times"/>
                <w:sz w:val="20"/>
              </w:rPr>
            </w:pPr>
            <w:bookmarkStart w:id="568" w:name="fs_D053S6MM4W00000000000000000000fs"/>
            <w:bookmarkEnd w:id="568"/>
            <w:r>
              <w:rPr>
                <w:rFonts w:ascii="times new roman;times" w:hAnsi="times new roman;times"/>
                <w:sz w:val="20"/>
              </w:rPr>
              <w:t>38</w:t>
            </w:r>
          </w:p>
        </w:tc>
        <w:tc>
          <w:tcPr>
            <w:tcW w:w="80"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23" w:type="dxa"/>
            <w:tcBorders/>
            <w:shd w:fill="CCEEFF" w:val="clear"/>
            <w:vAlign w:val="center"/>
          </w:tcPr>
          <w:p>
            <w:pPr>
              <w:pStyle w:val="TableContents"/>
              <w:bidi w:val="0"/>
              <w:spacing w:before="0" w:after="283"/>
              <w:ind w:left="0" w:right="0" w:hanging="0"/>
              <w:jc w:val="left"/>
              <w:rPr/>
            </w:pPr>
            <w:r>
              <w:rPr/>
            </w:r>
          </w:p>
        </w:tc>
        <w:tc>
          <w:tcPr>
            <w:tcW w:w="145" w:type="dxa"/>
            <w:tcBorders/>
            <w:shd w:fill="CCEEFF" w:val="clear"/>
            <w:vAlign w:val="center"/>
          </w:tcPr>
          <w:p>
            <w:pPr>
              <w:pStyle w:val="TableContents"/>
              <w:bidi w:val="0"/>
              <w:spacing w:before="0" w:after="283"/>
              <w:ind w:left="0" w:right="0" w:hanging="0"/>
              <w:jc w:val="left"/>
              <w:rPr/>
            </w:pPr>
            <w:r>
              <w:rPr/>
            </w:r>
          </w:p>
        </w:tc>
        <w:tc>
          <w:tcPr>
            <w:tcW w:w="7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bookmarkStart w:id="569" w:name="fs_WIBBHZQP1C00000000000000000000fs"/>
            <w:bookmarkEnd w:id="569"/>
            <w:r>
              <w:rPr>
                <w:rFonts w:ascii="Times New Roman;Times;serif" w:hAnsi="Times New Roman;Times;serif"/>
                <w:sz w:val="20"/>
              </w:rPr>
              <w:t>6,179</w:t>
            </w:r>
          </w:p>
        </w:tc>
        <w:tc>
          <w:tcPr>
            <w:tcW w:w="93" w:type="dxa"/>
            <w:tcBorders/>
            <w:shd w:fill="CCEEFF" w:val="clear"/>
            <w:vAlign w:val="center"/>
          </w:tcPr>
          <w:p>
            <w:pPr>
              <w:pStyle w:val="TableContents"/>
              <w:bidi w:val="0"/>
              <w:spacing w:before="0" w:after="283"/>
              <w:ind w:left="0" w:right="0" w:hanging="0"/>
              <w:jc w:val="left"/>
              <w:rPr/>
            </w:pPr>
            <w:r>
              <w:rPr/>
            </w:r>
          </w:p>
        </w:tc>
        <w:tc>
          <w:tcPr>
            <w:tcW w:w="26" w:type="dxa"/>
            <w:tcBorders/>
            <w:shd w:fill="CCEEFF" w:val="clear"/>
            <w:vAlign w:val="center"/>
          </w:tcPr>
          <w:p>
            <w:pPr>
              <w:pStyle w:val="TableContents"/>
              <w:bidi w:val="0"/>
              <w:spacing w:before="0" w:after="283"/>
              <w:ind w:left="0" w:right="0" w:hanging="0"/>
              <w:jc w:val="left"/>
              <w:rPr/>
            </w:pPr>
            <w:r>
              <w:rPr/>
            </w:r>
          </w:p>
        </w:tc>
        <w:tc>
          <w:tcPr>
            <w:tcW w:w="145" w:type="dxa"/>
            <w:tcBorders/>
            <w:shd w:fill="CCEEFF" w:val="clear"/>
            <w:vAlign w:val="center"/>
          </w:tcPr>
          <w:p>
            <w:pPr>
              <w:pStyle w:val="TableContents"/>
              <w:bidi w:val="0"/>
              <w:spacing w:before="0" w:after="283"/>
              <w:ind w:left="0" w:right="0" w:hanging="0"/>
              <w:jc w:val="left"/>
              <w:rPr/>
            </w:pPr>
            <w:r>
              <w:rPr/>
            </w:r>
          </w:p>
        </w:tc>
        <w:tc>
          <w:tcPr>
            <w:tcW w:w="6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bookmarkStart w:id="570" w:name="fs_6EB2T8LC0000000000000000000000fs"/>
            <w:bookmarkEnd w:id="570"/>
            <w:r>
              <w:rPr>
                <w:rFonts w:ascii="Times New Roman;Times;serif" w:hAnsi="Times New Roman;Times;serif"/>
                <w:sz w:val="20"/>
              </w:rPr>
              <w:t>6,517</w:t>
            </w:r>
          </w:p>
        </w:tc>
        <w:tc>
          <w:tcPr>
            <w:tcW w:w="93" w:type="dxa"/>
            <w:tcBorders/>
            <w:shd w:fill="CCEEFF" w:val="clear"/>
            <w:vAlign w:val="center"/>
          </w:tcPr>
          <w:p>
            <w:pPr>
              <w:pStyle w:val="TableContents"/>
              <w:bidi w:val="0"/>
              <w:spacing w:before="0" w:after="283"/>
              <w:ind w:left="0" w:right="0" w:hanging="0"/>
              <w:jc w:val="left"/>
              <w:rPr/>
            </w:pPr>
            <w:r>
              <w:rPr/>
            </w:r>
          </w:p>
        </w:tc>
        <w:tc>
          <w:tcPr>
            <w:tcW w:w="26" w:type="dxa"/>
            <w:tcBorders/>
            <w:shd w:fill="CCEEFF" w:val="clear"/>
            <w:vAlign w:val="center"/>
          </w:tcPr>
          <w:p>
            <w:pPr>
              <w:pStyle w:val="TableContents"/>
              <w:bidi w:val="0"/>
              <w:spacing w:before="0" w:after="283"/>
              <w:ind w:left="0" w:right="0" w:hanging="0"/>
              <w:jc w:val="left"/>
              <w:rPr/>
            </w:pPr>
            <w:r>
              <w:rPr/>
            </w:r>
          </w:p>
        </w:tc>
        <w:tc>
          <w:tcPr>
            <w:tcW w:w="108" w:type="dxa"/>
            <w:tcBorders/>
            <w:shd w:fill="CCEEFF" w:val="clear"/>
            <w:vAlign w:val="center"/>
          </w:tcPr>
          <w:p>
            <w:pPr>
              <w:pStyle w:val="TableContents"/>
              <w:bidi w:val="0"/>
              <w:spacing w:before="0" w:after="283"/>
              <w:ind w:left="0" w:right="0" w:hanging="0"/>
              <w:jc w:val="left"/>
              <w:rPr/>
            </w:pPr>
            <w:r>
              <w:rPr/>
            </w:r>
          </w:p>
        </w:tc>
        <w:tc>
          <w:tcPr>
            <w:tcW w:w="18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bookmarkStart w:id="571" w:name="fs_D30DMVO2ZK00000000000000000000fs"/>
            <w:bookmarkEnd w:id="571"/>
            <w:r>
              <w:rPr>
                <w:rFonts w:ascii="Times New Roman;Times;serif" w:hAnsi="Times New Roman;Times;serif"/>
                <w:sz w:val="20"/>
              </w:rPr>
              <w:t>5</w:t>
            </w:r>
          </w:p>
        </w:tc>
        <w:tc>
          <w:tcPr>
            <w:tcW w:w="91" w:type="dxa"/>
            <w:tcBorders/>
            <w:shd w:fill="CCEEFF" w:val="clear"/>
            <w:vAlign w:val="center"/>
          </w:tcPr>
          <w:p>
            <w:pPr>
              <w:pStyle w:val="TableContents"/>
              <w:bidi w:val="0"/>
              <w:spacing w:before="0" w:after="283"/>
              <w:ind w:left="0" w:right="0" w:hanging="0"/>
              <w:jc w:val="left"/>
              <w:rPr>
                <w:sz w:val="4"/>
                <w:szCs w:val="4"/>
              </w:rPr>
            </w:pPr>
            <w:r>
              <w:rPr>
                <w:sz w:val="4"/>
                <w:szCs w:val="4"/>
              </w:rPr>
            </w:r>
          </w:p>
        </w:tc>
      </w:tr>
      <w:tr>
        <w:trPr/>
        <w:tc>
          <w:tcPr>
            <w:tcW w:w="2049"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Operating loss </w:t>
            </w:r>
          </w:p>
        </w:tc>
        <w:tc>
          <w:tcPr>
            <w:tcW w:w="60" w:type="dxa"/>
            <w:tcBorders/>
            <w:vAlign w:val="center"/>
          </w:tcPr>
          <w:p>
            <w:pPr>
              <w:pStyle w:val="TableContents"/>
              <w:bidi w:val="0"/>
              <w:spacing w:before="0" w:after="0"/>
              <w:ind w:left="0" w:right="0" w:hanging="0"/>
              <w:jc w:val="left"/>
              <w:rPr/>
            </w:pPr>
            <w:r>
              <w:rPr/>
              <w:t> </w:t>
            </w:r>
          </w:p>
        </w:tc>
        <w:tc>
          <w:tcPr>
            <w:tcW w:w="144"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bookmarkStart w:id="572" w:name="fs_T5BQ5AR2N400000000000000000000fs"/>
            <w:bookmarkEnd w:id="572"/>
            <w:r>
              <w:rPr>
                <w:rFonts w:ascii="times new roman;times" w:hAnsi="times new roman;times"/>
                <w:sz w:val="20"/>
              </w:rPr>
              <w:t>2,124</w:t>
            </w:r>
          </w:p>
        </w:tc>
        <w:tc>
          <w:tcPr>
            <w:tcW w:w="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 w:type="dxa"/>
            <w:tcBorders/>
            <w:vAlign w:val="center"/>
          </w:tcPr>
          <w:p>
            <w:pPr>
              <w:pStyle w:val="TableContents"/>
              <w:bidi w:val="0"/>
              <w:spacing w:before="0" w:after="0"/>
              <w:ind w:left="0" w:right="0" w:hanging="0"/>
              <w:jc w:val="left"/>
              <w:rPr/>
            </w:pPr>
            <w:r>
              <w:rPr/>
              <w:t> </w:t>
            </w:r>
          </w:p>
        </w:tc>
        <w:tc>
          <w:tcPr>
            <w:tcW w:w="144" w:type="dxa"/>
            <w:tcBorders/>
            <w:vAlign w:val="center"/>
          </w:tcPr>
          <w:p>
            <w:pPr>
              <w:pStyle w:val="TableContents"/>
              <w:bidi w:val="0"/>
              <w:spacing w:before="0" w:after="0"/>
              <w:ind w:left="0" w:right="0" w:hanging="0"/>
              <w:jc w:val="left"/>
              <w:rPr/>
            </w:pPr>
            <w:r>
              <w:rPr/>
              <w:t> </w:t>
            </w:r>
          </w:p>
        </w:tc>
        <w:tc>
          <w:tcPr>
            <w:tcW w:w="632"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bookmarkStart w:id="573" w:name="fs_G5CW7P9UDC00000000000000000000fs"/>
            <w:bookmarkEnd w:id="573"/>
            <w:r>
              <w:rPr>
                <w:rFonts w:ascii="times new roman;times" w:hAnsi="times new roman;times"/>
                <w:sz w:val="20"/>
              </w:rPr>
              <w:t>1,346</w:t>
            </w:r>
          </w:p>
        </w:tc>
        <w:tc>
          <w:tcPr>
            <w:tcW w:w="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1731"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bookmarkStart w:id="574" w:name="fs_0CSPR33H0G00000000000000000000fs"/>
            <w:bookmarkEnd w:id="574"/>
            <w:r>
              <w:rPr>
                <w:rFonts w:ascii="times new roman;times" w:hAnsi="times new roman;times"/>
                <w:sz w:val="20"/>
              </w:rPr>
              <w:t>58</w:t>
            </w:r>
          </w:p>
        </w:tc>
        <w:tc>
          <w:tcPr>
            <w:tcW w:w="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 w:type="dxa"/>
            <w:tcBorders/>
            <w:vAlign w:val="center"/>
          </w:tcPr>
          <w:p>
            <w:pPr>
              <w:pStyle w:val="TableContents"/>
              <w:bidi w:val="0"/>
              <w:spacing w:before="0" w:after="283"/>
              <w:ind w:left="0" w:right="0" w:hanging="0"/>
              <w:jc w:val="left"/>
              <w:rPr/>
            </w:pPr>
            <w:r>
              <w:rPr/>
            </w:r>
          </w:p>
        </w:tc>
        <w:tc>
          <w:tcPr>
            <w:tcW w:w="145" w:type="dxa"/>
            <w:tcBorders/>
            <w:vAlign w:val="center"/>
          </w:tcPr>
          <w:p>
            <w:pPr>
              <w:pStyle w:val="TableContents"/>
              <w:bidi w:val="0"/>
              <w:spacing w:before="0" w:after="283"/>
              <w:ind w:left="0" w:right="0" w:hanging="0"/>
              <w:jc w:val="left"/>
              <w:rPr/>
            </w:pPr>
            <w:r>
              <w:rPr/>
            </w:r>
          </w:p>
        </w:tc>
        <w:tc>
          <w:tcPr>
            <w:tcW w:w="7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bookmarkStart w:id="575" w:name="fs_RAA1EHTDW000000000000000000000fs"/>
            <w:bookmarkEnd w:id="575"/>
            <w:r>
              <w:rPr>
                <w:rFonts w:ascii="Times New Roman;Times;serif" w:hAnsi="Times New Roman;Times;serif"/>
                <w:sz w:val="20"/>
              </w:rPr>
              <w:t>7,123</w:t>
            </w:r>
          </w:p>
        </w:tc>
        <w:tc>
          <w:tcPr>
            <w:tcW w:w="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6" w:type="dxa"/>
            <w:tcBorders/>
            <w:vAlign w:val="center"/>
          </w:tcPr>
          <w:p>
            <w:pPr>
              <w:pStyle w:val="TableContents"/>
              <w:bidi w:val="0"/>
              <w:spacing w:before="0" w:after="283"/>
              <w:ind w:left="0" w:right="0" w:hanging="0"/>
              <w:jc w:val="left"/>
              <w:rPr/>
            </w:pPr>
            <w:r>
              <w:rPr/>
            </w:r>
          </w:p>
        </w:tc>
        <w:tc>
          <w:tcPr>
            <w:tcW w:w="145" w:type="dxa"/>
            <w:tcBorders/>
            <w:vAlign w:val="center"/>
          </w:tcPr>
          <w:p>
            <w:pPr>
              <w:pStyle w:val="TableContents"/>
              <w:bidi w:val="0"/>
              <w:spacing w:before="0" w:after="283"/>
              <w:ind w:left="0" w:right="0" w:hanging="0"/>
              <w:jc w:val="left"/>
              <w:rPr/>
            </w:pPr>
            <w:r>
              <w:rPr/>
            </w:r>
          </w:p>
        </w:tc>
        <w:tc>
          <w:tcPr>
            <w:tcW w:w="6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bookmarkStart w:id="576" w:name="fs_EQRZIKU0CW00000000000000000000fs"/>
            <w:bookmarkEnd w:id="576"/>
            <w:r>
              <w:rPr>
                <w:rFonts w:ascii="Times New Roman;Times;serif" w:hAnsi="Times New Roman;Times;serif"/>
                <w:sz w:val="20"/>
              </w:rPr>
              <w:t>4,694</w:t>
            </w:r>
          </w:p>
        </w:tc>
        <w:tc>
          <w:tcPr>
            <w:tcW w:w="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6" w:type="dxa"/>
            <w:tcBorders/>
            <w:vAlign w:val="center"/>
          </w:tcPr>
          <w:p>
            <w:pPr>
              <w:pStyle w:val="TableContents"/>
              <w:bidi w:val="0"/>
              <w:spacing w:before="0" w:after="283"/>
              <w:ind w:left="0" w:right="0" w:hanging="0"/>
              <w:jc w:val="left"/>
              <w:rPr/>
            </w:pPr>
            <w:r>
              <w:rPr/>
            </w:r>
          </w:p>
        </w:tc>
        <w:tc>
          <w:tcPr>
            <w:tcW w:w="108" w:type="dxa"/>
            <w:tcBorders/>
            <w:vAlign w:val="center"/>
          </w:tcPr>
          <w:p>
            <w:pPr>
              <w:pStyle w:val="TableContents"/>
              <w:bidi w:val="0"/>
              <w:spacing w:before="0" w:after="283"/>
              <w:ind w:left="0" w:right="0" w:hanging="0"/>
              <w:jc w:val="left"/>
              <w:rPr/>
            </w:pPr>
            <w:r>
              <w:rPr/>
            </w:r>
          </w:p>
        </w:tc>
        <w:tc>
          <w:tcPr>
            <w:tcW w:w="18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bookmarkStart w:id="577" w:name="fs_SWOTV1304000000000000000000000fs"/>
            <w:bookmarkEnd w:id="577"/>
            <w:r>
              <w:rPr>
                <w:rFonts w:ascii="Times New Roman;Times;serif" w:hAnsi="Times New Roman;Times;serif"/>
                <w:sz w:val="20"/>
              </w:rPr>
              <w:t>52</w:t>
            </w:r>
          </w:p>
        </w:tc>
        <w:tc>
          <w:tcPr>
            <w:tcW w:w="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049"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Other income (expense), net </w:t>
            </w:r>
          </w:p>
        </w:tc>
        <w:tc>
          <w:tcPr>
            <w:tcW w:w="60" w:type="dxa"/>
            <w:tcBorders/>
            <w:shd w:fill="CCEEFF" w:val="clear"/>
            <w:vAlign w:val="center"/>
          </w:tcPr>
          <w:p>
            <w:pPr>
              <w:pStyle w:val="TableContents"/>
              <w:bidi w:val="0"/>
              <w:spacing w:before="0" w:after="0"/>
              <w:ind w:left="0" w:right="0" w:hanging="0"/>
              <w:jc w:val="left"/>
              <w:rPr/>
            </w:pPr>
            <w:r>
              <w:rPr/>
              <w:t> </w:t>
            </w:r>
          </w:p>
        </w:tc>
        <w:tc>
          <w:tcPr>
            <w:tcW w:w="144" w:type="dxa"/>
            <w:tcBorders/>
            <w:shd w:fill="CCEEFF" w:val="clear"/>
            <w:vAlign w:val="center"/>
          </w:tcPr>
          <w:p>
            <w:pPr>
              <w:pStyle w:val="TableContents"/>
              <w:bidi w:val="0"/>
              <w:spacing w:before="0" w:after="0"/>
              <w:ind w:left="0" w:right="0" w:hanging="0"/>
              <w:jc w:val="left"/>
              <w:rPr/>
            </w:pPr>
            <w:r>
              <w:rPr/>
              <w:t> </w:t>
            </w:r>
          </w:p>
        </w:tc>
        <w:tc>
          <w:tcPr>
            <w:tcW w:w="754"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bookmarkStart w:id="578" w:name="fs_WHHT0YAL5C00000000000000000000fs"/>
            <w:bookmarkEnd w:id="578"/>
            <w:r>
              <w:rPr>
                <w:rFonts w:ascii="times new roman;times" w:hAnsi="times new roman;times"/>
                <w:sz w:val="20"/>
              </w:rPr>
              <w:t>10,741</w:t>
            </w:r>
          </w:p>
        </w:tc>
        <w:tc>
          <w:tcPr>
            <w:tcW w:w="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 w:type="dxa"/>
            <w:tcBorders/>
            <w:shd w:fill="CCEEFF" w:val="clear"/>
            <w:vAlign w:val="center"/>
          </w:tcPr>
          <w:p>
            <w:pPr>
              <w:pStyle w:val="TableContents"/>
              <w:bidi w:val="0"/>
              <w:spacing w:before="0" w:after="0"/>
              <w:ind w:left="0" w:right="0" w:hanging="0"/>
              <w:jc w:val="left"/>
              <w:rPr/>
            </w:pPr>
            <w:r>
              <w:rPr/>
              <w:t> </w:t>
            </w:r>
          </w:p>
        </w:tc>
        <w:tc>
          <w:tcPr>
            <w:tcW w:w="144" w:type="dxa"/>
            <w:tcBorders/>
            <w:shd w:fill="CCEEFF" w:val="clear"/>
            <w:vAlign w:val="center"/>
          </w:tcPr>
          <w:p>
            <w:pPr>
              <w:pStyle w:val="TableContents"/>
              <w:bidi w:val="0"/>
              <w:spacing w:before="0" w:after="0"/>
              <w:ind w:left="0" w:right="0" w:hanging="0"/>
              <w:jc w:val="left"/>
              <w:rPr/>
            </w:pPr>
            <w:r>
              <w:rPr/>
              <w:t> </w:t>
            </w:r>
          </w:p>
        </w:tc>
        <w:tc>
          <w:tcPr>
            <w:tcW w:w="632" w:type="dxa"/>
            <w:tcBorders/>
            <w:shd w:fill="CCEEFF" w:val="clear"/>
            <w:vAlign w:val="center"/>
          </w:tcPr>
          <w:p>
            <w:pPr>
              <w:pStyle w:val="TableContents"/>
              <w:bidi w:val="0"/>
              <w:spacing w:before="0" w:after="0"/>
              <w:ind w:left="0" w:right="0" w:hanging="0"/>
              <w:jc w:val="right"/>
              <w:rPr/>
            </w:pPr>
            <w:bookmarkStart w:id="579" w:name="fs_4PVYFZKG8000000000000000000000fs"/>
            <w:bookmarkEnd w:id="579"/>
            <w:r>
              <w:rPr/>
              <w:t>—</w:t>
            </w:r>
          </w:p>
        </w:tc>
        <w:tc>
          <w:tcPr>
            <w:tcW w:w="92"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69" w:type="dxa"/>
            <w:tcBorders/>
            <w:shd w:fill="CCEEFF" w:val="clear"/>
            <w:vAlign w:val="center"/>
          </w:tcPr>
          <w:p>
            <w:pPr>
              <w:pStyle w:val="TableContents"/>
              <w:bidi w:val="0"/>
              <w:spacing w:before="0" w:after="0"/>
              <w:ind w:left="0" w:right="0" w:hanging="0"/>
              <w:jc w:val="left"/>
              <w:rPr/>
            </w:pPr>
            <w:r>
              <w:rPr/>
              <w:t> </w:t>
            </w:r>
          </w:p>
        </w:tc>
        <w:tc>
          <w:tcPr>
            <w:tcW w:w="261" w:type="dxa"/>
            <w:tcBorders/>
            <w:shd w:fill="CCEEFF" w:val="clear"/>
            <w:vAlign w:val="center"/>
          </w:tcPr>
          <w:p>
            <w:pPr>
              <w:pStyle w:val="TableContents"/>
              <w:bidi w:val="0"/>
              <w:spacing w:before="0" w:after="0"/>
              <w:ind w:left="0" w:right="0" w:hanging="0"/>
              <w:jc w:val="left"/>
              <w:rPr/>
            </w:pPr>
            <w:r>
              <w:rPr/>
              <w:t> </w:t>
            </w:r>
          </w:p>
        </w:tc>
        <w:tc>
          <w:tcPr>
            <w:tcW w:w="1731"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bookmarkStart w:id="580" w:name="fs_F1M87VY30000000000000000000000fs"/>
            <w:bookmarkEnd w:id="580"/>
            <w:r>
              <w:rPr>
                <w:rFonts w:ascii="times new roman;times" w:hAnsi="times new roman;times"/>
                <w:sz w:val="20"/>
              </w:rPr>
              <w:t>100</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 w:type="dxa"/>
            <w:tcBorders/>
            <w:shd w:fill="CCEEFF" w:val="clear"/>
            <w:vAlign w:val="center"/>
          </w:tcPr>
          <w:p>
            <w:pPr>
              <w:pStyle w:val="TableContents"/>
              <w:bidi w:val="0"/>
              <w:spacing w:before="0" w:after="283"/>
              <w:ind w:left="0" w:right="0" w:hanging="0"/>
              <w:jc w:val="left"/>
              <w:rPr/>
            </w:pPr>
            <w:r>
              <w:rPr/>
            </w:r>
          </w:p>
        </w:tc>
        <w:tc>
          <w:tcPr>
            <w:tcW w:w="145" w:type="dxa"/>
            <w:tcBorders/>
            <w:shd w:fill="CCEEFF" w:val="clear"/>
            <w:vAlign w:val="center"/>
          </w:tcPr>
          <w:p>
            <w:pPr>
              <w:pStyle w:val="TableContents"/>
              <w:bidi w:val="0"/>
              <w:spacing w:before="0" w:after="283"/>
              <w:ind w:left="0" w:right="0" w:hanging="0"/>
              <w:jc w:val="left"/>
              <w:rPr/>
            </w:pPr>
            <w:r>
              <w:rPr/>
            </w:r>
          </w:p>
        </w:tc>
        <w:tc>
          <w:tcPr>
            <w:tcW w:w="7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bookmarkStart w:id="581" w:name="fs_IU13HA1OAO00000000000000000000fs"/>
            <w:bookmarkEnd w:id="581"/>
            <w:r>
              <w:rPr>
                <w:rFonts w:ascii="Times New Roman;Times;serif" w:hAnsi="Times New Roman;Times;serif"/>
                <w:sz w:val="20"/>
              </w:rPr>
              <w:t>10,741</w:t>
            </w:r>
          </w:p>
        </w:tc>
        <w:tc>
          <w:tcPr>
            <w:tcW w:w="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6" w:type="dxa"/>
            <w:tcBorders/>
            <w:shd w:fill="CCEEFF" w:val="clear"/>
            <w:vAlign w:val="center"/>
          </w:tcPr>
          <w:p>
            <w:pPr>
              <w:pStyle w:val="TableContents"/>
              <w:bidi w:val="0"/>
              <w:spacing w:before="0" w:after="283"/>
              <w:ind w:left="0" w:right="0" w:hanging="0"/>
              <w:jc w:val="left"/>
              <w:rPr/>
            </w:pPr>
            <w:r>
              <w:rPr/>
            </w:r>
          </w:p>
        </w:tc>
        <w:tc>
          <w:tcPr>
            <w:tcW w:w="145" w:type="dxa"/>
            <w:tcBorders/>
            <w:shd w:fill="CCEEFF" w:val="clear"/>
            <w:vAlign w:val="center"/>
          </w:tcPr>
          <w:p>
            <w:pPr>
              <w:pStyle w:val="TableContents"/>
              <w:bidi w:val="0"/>
              <w:spacing w:before="0" w:after="283"/>
              <w:ind w:left="0" w:right="0" w:hanging="0"/>
              <w:jc w:val="left"/>
              <w:rPr/>
            </w:pPr>
            <w:r>
              <w:rPr/>
            </w:r>
          </w:p>
        </w:tc>
        <w:tc>
          <w:tcPr>
            <w:tcW w:w="636" w:type="dxa"/>
            <w:tcBorders/>
            <w:shd w:fill="CCEEFF" w:val="clear"/>
            <w:vAlign w:val="center"/>
          </w:tcPr>
          <w:p>
            <w:pPr>
              <w:pStyle w:val="TableContents"/>
              <w:bidi w:val="0"/>
              <w:spacing w:before="0" w:after="0"/>
              <w:ind w:left="0" w:right="0" w:hanging="0"/>
              <w:jc w:val="right"/>
              <w:rPr/>
            </w:pPr>
            <w:bookmarkStart w:id="582" w:name="fs_QYPOVOAA5C00000000000000000000fs"/>
            <w:bookmarkEnd w:id="582"/>
            <w:r>
              <w:rPr/>
              <w:t>—</w:t>
            </w:r>
          </w:p>
        </w:tc>
        <w:tc>
          <w:tcPr>
            <w:tcW w:w="93" w:type="dxa"/>
            <w:tcBorders/>
            <w:shd w:fill="CCEEFF" w:val="clear"/>
            <w:vAlign w:val="center"/>
          </w:tcPr>
          <w:p>
            <w:pPr>
              <w:pStyle w:val="TableContents"/>
              <w:bidi w:val="0"/>
              <w:spacing w:before="0" w:after="283"/>
              <w:ind w:left="0" w:right="0" w:hanging="0"/>
              <w:jc w:val="left"/>
              <w:rPr/>
            </w:pPr>
            <w:r>
              <w:rPr/>
            </w:r>
          </w:p>
        </w:tc>
        <w:tc>
          <w:tcPr>
            <w:tcW w:w="26" w:type="dxa"/>
            <w:tcBorders/>
            <w:shd w:fill="CCEEFF" w:val="clear"/>
            <w:vAlign w:val="center"/>
          </w:tcPr>
          <w:p>
            <w:pPr>
              <w:pStyle w:val="TableContents"/>
              <w:bidi w:val="0"/>
              <w:spacing w:before="0" w:after="283"/>
              <w:ind w:left="0" w:right="0" w:hanging="0"/>
              <w:jc w:val="left"/>
              <w:rPr/>
            </w:pPr>
            <w:r>
              <w:rPr/>
            </w:r>
          </w:p>
        </w:tc>
        <w:tc>
          <w:tcPr>
            <w:tcW w:w="108" w:type="dxa"/>
            <w:tcBorders/>
            <w:shd w:fill="CCEEFF" w:val="clear"/>
            <w:vAlign w:val="center"/>
          </w:tcPr>
          <w:p>
            <w:pPr>
              <w:pStyle w:val="TableContents"/>
              <w:bidi w:val="0"/>
              <w:spacing w:before="0" w:after="283"/>
              <w:ind w:left="0" w:right="0" w:hanging="0"/>
              <w:jc w:val="left"/>
              <w:rPr/>
            </w:pPr>
            <w:r>
              <w:rPr/>
            </w:r>
          </w:p>
        </w:tc>
        <w:tc>
          <w:tcPr>
            <w:tcW w:w="18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bookmarkStart w:id="583" w:name="fs_ON5TFVVL8G00000000000000000000fs"/>
            <w:bookmarkEnd w:id="583"/>
            <w:r>
              <w:rPr>
                <w:rFonts w:ascii="Times New Roman;Times;serif" w:hAnsi="Times New Roman;Times;serif"/>
                <w:sz w:val="20"/>
              </w:rPr>
              <w:t>100</w:t>
            </w:r>
          </w:p>
        </w:tc>
        <w:tc>
          <w:tcPr>
            <w:tcW w:w="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049"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Loss before income taxes </w:t>
            </w:r>
          </w:p>
        </w:tc>
        <w:tc>
          <w:tcPr>
            <w:tcW w:w="60" w:type="dxa"/>
            <w:tcBorders/>
            <w:vAlign w:val="center"/>
          </w:tcPr>
          <w:p>
            <w:pPr>
              <w:pStyle w:val="TableContents"/>
              <w:bidi w:val="0"/>
              <w:spacing w:before="0" w:after="0"/>
              <w:ind w:left="0" w:right="0" w:hanging="0"/>
              <w:jc w:val="left"/>
              <w:rPr/>
            </w:pPr>
            <w:r>
              <w:rPr/>
              <w:t> </w:t>
            </w:r>
          </w:p>
        </w:tc>
        <w:tc>
          <w:tcPr>
            <w:tcW w:w="144"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bookmarkStart w:id="584" w:name="fs_OEC3Q6IZI800000000000000000000fs"/>
            <w:bookmarkEnd w:id="584"/>
            <w:r>
              <w:rPr>
                <w:rFonts w:ascii="times new roman;times" w:hAnsi="times new roman;times"/>
                <w:sz w:val="20"/>
              </w:rPr>
              <w:t>12,865</w:t>
            </w:r>
          </w:p>
        </w:tc>
        <w:tc>
          <w:tcPr>
            <w:tcW w:w="92" w:type="dxa"/>
            <w:tcBorders/>
            <w:vAlign w:val="bottom"/>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 w:type="dxa"/>
            <w:tcBorders/>
            <w:vAlign w:val="center"/>
          </w:tcPr>
          <w:p>
            <w:pPr>
              <w:pStyle w:val="TableContents"/>
              <w:bidi w:val="0"/>
              <w:spacing w:before="0" w:after="0"/>
              <w:ind w:left="0" w:right="0" w:hanging="0"/>
              <w:jc w:val="left"/>
              <w:rPr/>
            </w:pPr>
            <w:r>
              <w:rPr/>
              <w:t> </w:t>
            </w:r>
          </w:p>
        </w:tc>
        <w:tc>
          <w:tcPr>
            <w:tcW w:w="144" w:type="dxa"/>
            <w:tcBorders/>
            <w:vAlign w:val="center"/>
          </w:tcPr>
          <w:p>
            <w:pPr>
              <w:pStyle w:val="TableContents"/>
              <w:bidi w:val="0"/>
              <w:spacing w:before="0" w:after="0"/>
              <w:ind w:left="0" w:right="0" w:hanging="0"/>
              <w:jc w:val="left"/>
              <w:rPr/>
            </w:pPr>
            <w:r>
              <w:rPr/>
              <w:t> </w:t>
            </w:r>
          </w:p>
        </w:tc>
        <w:tc>
          <w:tcPr>
            <w:tcW w:w="632"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bookmarkStart w:id="585" w:name="fs_R23L05U6HC00000000000000000000fs"/>
            <w:bookmarkEnd w:id="585"/>
            <w:r>
              <w:rPr>
                <w:rFonts w:ascii="times new roman;times" w:hAnsi="times new roman;times"/>
                <w:sz w:val="20"/>
              </w:rPr>
              <w:t>1,346</w:t>
            </w:r>
          </w:p>
        </w:tc>
        <w:tc>
          <w:tcPr>
            <w:tcW w:w="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1731"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bookmarkStart w:id="586" w:name="fs_WJJILNX3DC00000000000000000000fs"/>
            <w:bookmarkEnd w:id="586"/>
            <w:r>
              <w:rPr>
                <w:rFonts w:ascii="times new roman;times" w:hAnsi="times new roman;times"/>
                <w:sz w:val="20"/>
              </w:rPr>
              <w:t>856</w:t>
            </w:r>
          </w:p>
        </w:tc>
        <w:tc>
          <w:tcPr>
            <w:tcW w:w="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 w:type="dxa"/>
            <w:tcBorders/>
            <w:vAlign w:val="center"/>
          </w:tcPr>
          <w:p>
            <w:pPr>
              <w:pStyle w:val="TableContents"/>
              <w:bidi w:val="0"/>
              <w:spacing w:before="0" w:after="283"/>
              <w:ind w:left="0" w:right="0" w:hanging="0"/>
              <w:jc w:val="left"/>
              <w:rPr/>
            </w:pPr>
            <w:r>
              <w:rPr/>
            </w:r>
          </w:p>
        </w:tc>
        <w:tc>
          <w:tcPr>
            <w:tcW w:w="145" w:type="dxa"/>
            <w:tcBorders/>
            <w:vAlign w:val="center"/>
          </w:tcPr>
          <w:p>
            <w:pPr>
              <w:pStyle w:val="TableContents"/>
              <w:bidi w:val="0"/>
              <w:spacing w:before="0" w:after="283"/>
              <w:ind w:left="0" w:right="0" w:hanging="0"/>
              <w:jc w:val="left"/>
              <w:rPr/>
            </w:pPr>
            <w:r>
              <w:rPr/>
            </w:r>
          </w:p>
        </w:tc>
        <w:tc>
          <w:tcPr>
            <w:tcW w:w="7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bookmarkStart w:id="587" w:name="fs_BLCDXY19A800000000000000000000fs"/>
            <w:bookmarkEnd w:id="587"/>
            <w:r>
              <w:rPr>
                <w:rFonts w:ascii="Times New Roman;Times;serif" w:hAnsi="Times New Roman;Times;serif"/>
                <w:sz w:val="20"/>
              </w:rPr>
              <w:t>17,864</w:t>
            </w:r>
          </w:p>
        </w:tc>
        <w:tc>
          <w:tcPr>
            <w:tcW w:w="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6" w:type="dxa"/>
            <w:tcBorders/>
            <w:vAlign w:val="center"/>
          </w:tcPr>
          <w:p>
            <w:pPr>
              <w:pStyle w:val="TableContents"/>
              <w:bidi w:val="0"/>
              <w:spacing w:before="0" w:after="283"/>
              <w:ind w:left="0" w:right="0" w:hanging="0"/>
              <w:jc w:val="left"/>
              <w:rPr/>
            </w:pPr>
            <w:r>
              <w:rPr/>
            </w:r>
          </w:p>
        </w:tc>
        <w:tc>
          <w:tcPr>
            <w:tcW w:w="145" w:type="dxa"/>
            <w:tcBorders/>
            <w:vAlign w:val="center"/>
          </w:tcPr>
          <w:p>
            <w:pPr>
              <w:pStyle w:val="TableContents"/>
              <w:bidi w:val="0"/>
              <w:spacing w:before="0" w:after="283"/>
              <w:ind w:left="0" w:right="0" w:hanging="0"/>
              <w:jc w:val="left"/>
              <w:rPr/>
            </w:pPr>
            <w:r>
              <w:rPr/>
            </w:r>
          </w:p>
        </w:tc>
        <w:tc>
          <w:tcPr>
            <w:tcW w:w="6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bookmarkStart w:id="588" w:name="fs_Z1NEKHKQG000000000000000000000fs"/>
            <w:bookmarkEnd w:id="588"/>
            <w:r>
              <w:rPr>
                <w:rFonts w:ascii="Times New Roman;Times;serif" w:hAnsi="Times New Roman;Times;serif"/>
                <w:sz w:val="20"/>
              </w:rPr>
              <w:t>4,694</w:t>
            </w:r>
          </w:p>
        </w:tc>
        <w:tc>
          <w:tcPr>
            <w:tcW w:w="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6" w:type="dxa"/>
            <w:tcBorders/>
            <w:vAlign w:val="center"/>
          </w:tcPr>
          <w:p>
            <w:pPr>
              <w:pStyle w:val="TableContents"/>
              <w:bidi w:val="0"/>
              <w:spacing w:before="0" w:after="283"/>
              <w:ind w:left="0" w:right="0" w:hanging="0"/>
              <w:jc w:val="left"/>
              <w:rPr/>
            </w:pPr>
            <w:r>
              <w:rPr/>
            </w:r>
          </w:p>
        </w:tc>
        <w:tc>
          <w:tcPr>
            <w:tcW w:w="108" w:type="dxa"/>
            <w:tcBorders/>
            <w:vAlign w:val="center"/>
          </w:tcPr>
          <w:p>
            <w:pPr>
              <w:pStyle w:val="TableContents"/>
              <w:bidi w:val="0"/>
              <w:spacing w:before="0" w:after="283"/>
              <w:ind w:left="0" w:right="0" w:hanging="0"/>
              <w:jc w:val="left"/>
              <w:rPr/>
            </w:pPr>
            <w:r>
              <w:rPr/>
            </w:r>
          </w:p>
        </w:tc>
        <w:tc>
          <w:tcPr>
            <w:tcW w:w="18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bookmarkStart w:id="589" w:name="fs_B94WCTAOUO00000000000000000000fs"/>
            <w:bookmarkEnd w:id="589"/>
            <w:r>
              <w:rPr>
                <w:rFonts w:ascii="Times New Roman;Times;serif" w:hAnsi="Times New Roman;Times;serif"/>
                <w:sz w:val="20"/>
              </w:rPr>
              <w:t>281</w:t>
            </w:r>
          </w:p>
        </w:tc>
        <w:tc>
          <w:tcPr>
            <w:tcW w:w="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049"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Provision (benefit) for income taxes </w:t>
            </w:r>
          </w:p>
        </w:tc>
        <w:tc>
          <w:tcPr>
            <w:tcW w:w="60" w:type="dxa"/>
            <w:tcBorders/>
            <w:shd w:fill="CCEEFF" w:val="clear"/>
            <w:vAlign w:val="center"/>
          </w:tcPr>
          <w:p>
            <w:pPr>
              <w:pStyle w:val="TableContents"/>
              <w:bidi w:val="0"/>
              <w:spacing w:before="0" w:after="0"/>
              <w:ind w:left="0" w:right="0" w:hanging="0"/>
              <w:jc w:val="left"/>
              <w:rPr/>
            </w:pPr>
            <w:r>
              <w:rPr/>
              <w:t> </w:t>
            </w:r>
          </w:p>
        </w:tc>
        <w:tc>
          <w:tcPr>
            <w:tcW w:w="144" w:type="dxa"/>
            <w:tcBorders/>
            <w:shd w:fill="CCEEFF" w:val="clear"/>
            <w:vAlign w:val="center"/>
          </w:tcPr>
          <w:p>
            <w:pPr>
              <w:pStyle w:val="TableContents"/>
              <w:bidi w:val="0"/>
              <w:spacing w:before="0" w:after="0"/>
              <w:ind w:left="0" w:right="0" w:hanging="0"/>
              <w:jc w:val="left"/>
              <w:rPr/>
            </w:pPr>
            <w:r>
              <w:rPr/>
              <w:t> </w:t>
            </w:r>
          </w:p>
        </w:tc>
        <w:tc>
          <w:tcPr>
            <w:tcW w:w="754" w:type="dxa"/>
            <w:tcBorders/>
            <w:shd w:fill="CCEEFF" w:val="clear"/>
            <w:vAlign w:val="center"/>
          </w:tcPr>
          <w:p>
            <w:pPr>
              <w:pStyle w:val="TableContents"/>
              <w:bidi w:val="0"/>
              <w:spacing w:before="0" w:after="0"/>
              <w:ind w:left="0" w:right="0" w:hanging="0"/>
              <w:jc w:val="right"/>
              <w:rPr/>
            </w:pPr>
            <w:bookmarkStart w:id="590" w:name="fs_8E7OK6YWEO00000000000000000000fs"/>
            <w:bookmarkEnd w:id="590"/>
            <w:r>
              <w:rPr/>
              <w:t>—</w:t>
            </w:r>
          </w:p>
        </w:tc>
        <w:tc>
          <w:tcPr>
            <w:tcW w:w="92" w:type="dxa"/>
            <w:tcBorders/>
            <w:shd w:fill="CCEEFF" w:val="clear"/>
            <w:vAlign w:val="bottom"/>
          </w:tcPr>
          <w:p>
            <w:pPr>
              <w:pStyle w:val="TableContents"/>
              <w:bidi w:val="0"/>
              <w:spacing w:before="0" w:after="283"/>
              <w:ind w:left="0" w:right="0" w:hanging="0"/>
              <w:jc w:val="left"/>
              <w:rPr>
                <w:sz w:val="4"/>
                <w:szCs w:val="4"/>
              </w:rPr>
            </w:pPr>
            <w:r>
              <w:rPr>
                <w:sz w:val="4"/>
                <w:szCs w:val="4"/>
              </w:rPr>
            </w:r>
          </w:p>
        </w:tc>
        <w:tc>
          <w:tcPr>
            <w:tcW w:w="69" w:type="dxa"/>
            <w:tcBorders/>
            <w:shd w:fill="CCEEFF" w:val="clear"/>
            <w:vAlign w:val="center"/>
          </w:tcPr>
          <w:p>
            <w:pPr>
              <w:pStyle w:val="TableContents"/>
              <w:bidi w:val="0"/>
              <w:spacing w:before="0" w:after="0"/>
              <w:ind w:left="0" w:right="0" w:hanging="0"/>
              <w:jc w:val="left"/>
              <w:rPr/>
            </w:pPr>
            <w:r>
              <w:rPr/>
              <w:t> </w:t>
            </w:r>
          </w:p>
        </w:tc>
        <w:tc>
          <w:tcPr>
            <w:tcW w:w="144" w:type="dxa"/>
            <w:tcBorders/>
            <w:shd w:fill="CCEEFF" w:val="clear"/>
            <w:vAlign w:val="center"/>
          </w:tcPr>
          <w:p>
            <w:pPr>
              <w:pStyle w:val="TableContents"/>
              <w:bidi w:val="0"/>
              <w:spacing w:before="0" w:after="0"/>
              <w:ind w:left="0" w:right="0" w:hanging="0"/>
              <w:jc w:val="left"/>
              <w:rPr/>
            </w:pPr>
            <w:r>
              <w:rPr/>
              <w:t> </w:t>
            </w:r>
          </w:p>
        </w:tc>
        <w:tc>
          <w:tcPr>
            <w:tcW w:w="632" w:type="dxa"/>
            <w:tcBorders/>
            <w:shd w:fill="CCEEFF" w:val="clear"/>
            <w:vAlign w:val="center"/>
          </w:tcPr>
          <w:p>
            <w:pPr>
              <w:pStyle w:val="TableContents"/>
              <w:bidi w:val="0"/>
              <w:spacing w:before="0" w:after="0"/>
              <w:ind w:left="0" w:right="0" w:hanging="0"/>
              <w:jc w:val="right"/>
              <w:rPr/>
            </w:pPr>
            <w:bookmarkStart w:id="591" w:name="fs_MBOHRT9VSW00000000000000000000fs"/>
            <w:bookmarkEnd w:id="591"/>
            <w:r>
              <w:rPr/>
              <w:t>—</w:t>
            </w:r>
          </w:p>
        </w:tc>
        <w:tc>
          <w:tcPr>
            <w:tcW w:w="92"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69" w:type="dxa"/>
            <w:tcBorders/>
            <w:shd w:fill="CCEEFF" w:val="clear"/>
            <w:vAlign w:val="center"/>
          </w:tcPr>
          <w:p>
            <w:pPr>
              <w:pStyle w:val="TableContents"/>
              <w:bidi w:val="0"/>
              <w:spacing w:before="0" w:after="0"/>
              <w:ind w:left="0" w:right="0" w:hanging="0"/>
              <w:jc w:val="left"/>
              <w:rPr/>
            </w:pPr>
            <w:r>
              <w:rPr/>
              <w:t> </w:t>
            </w:r>
          </w:p>
        </w:tc>
        <w:tc>
          <w:tcPr>
            <w:tcW w:w="261" w:type="dxa"/>
            <w:tcBorders/>
            <w:shd w:fill="CCEEFF" w:val="clear"/>
            <w:vAlign w:val="center"/>
          </w:tcPr>
          <w:p>
            <w:pPr>
              <w:pStyle w:val="TableContents"/>
              <w:bidi w:val="0"/>
              <w:spacing w:before="0" w:after="0"/>
              <w:ind w:left="0" w:right="0" w:hanging="0"/>
              <w:jc w:val="left"/>
              <w:rPr/>
            </w:pPr>
            <w:r>
              <w:rPr/>
              <w:t> </w:t>
            </w:r>
          </w:p>
        </w:tc>
        <w:tc>
          <w:tcPr>
            <w:tcW w:w="1731" w:type="dxa"/>
            <w:tcBorders/>
            <w:shd w:fill="CCEEFF" w:val="clear"/>
            <w:vAlign w:val="center"/>
          </w:tcPr>
          <w:p>
            <w:pPr>
              <w:pStyle w:val="TableContents"/>
              <w:bidi w:val="0"/>
              <w:spacing w:before="0" w:after="0"/>
              <w:ind w:left="0" w:right="0" w:hanging="0"/>
              <w:jc w:val="right"/>
              <w:rPr>
                <w:rFonts w:ascii="times new roman;times" w:hAnsi="times new roman;times"/>
                <w:sz w:val="20"/>
              </w:rPr>
            </w:pPr>
            <w:bookmarkStart w:id="592" w:name="fs_G75IFIKBVK00000000000000000000fs"/>
            <w:bookmarkEnd w:id="592"/>
            <w:r>
              <w:rPr>
                <w:rFonts w:ascii="times new roman;times" w:hAnsi="times new roman;times"/>
                <w:sz w:val="20"/>
              </w:rPr>
              <w:t>0</w:t>
            </w:r>
          </w:p>
        </w:tc>
        <w:tc>
          <w:tcPr>
            <w:tcW w:w="80"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23" w:type="dxa"/>
            <w:tcBorders/>
            <w:shd w:fill="CCEEFF" w:val="clear"/>
            <w:vAlign w:val="center"/>
          </w:tcPr>
          <w:p>
            <w:pPr>
              <w:pStyle w:val="TableContents"/>
              <w:bidi w:val="0"/>
              <w:spacing w:before="0" w:after="283"/>
              <w:ind w:left="0" w:right="0" w:hanging="0"/>
              <w:jc w:val="left"/>
              <w:rPr/>
            </w:pPr>
            <w:r>
              <w:rPr/>
            </w:r>
          </w:p>
        </w:tc>
        <w:tc>
          <w:tcPr>
            <w:tcW w:w="145" w:type="dxa"/>
            <w:tcBorders/>
            <w:shd w:fill="CCEEFF" w:val="clear"/>
            <w:vAlign w:val="center"/>
          </w:tcPr>
          <w:p>
            <w:pPr>
              <w:pStyle w:val="TableContents"/>
              <w:bidi w:val="0"/>
              <w:spacing w:before="0" w:after="283"/>
              <w:ind w:left="0" w:right="0" w:hanging="0"/>
              <w:jc w:val="left"/>
              <w:rPr/>
            </w:pPr>
            <w:r>
              <w:rPr/>
            </w:r>
          </w:p>
        </w:tc>
        <w:tc>
          <w:tcPr>
            <w:tcW w:w="758" w:type="dxa"/>
            <w:tcBorders/>
            <w:shd w:fill="CCEEFF" w:val="clear"/>
            <w:vAlign w:val="center"/>
          </w:tcPr>
          <w:p>
            <w:pPr>
              <w:pStyle w:val="TableContents"/>
              <w:bidi w:val="0"/>
              <w:spacing w:before="0" w:after="0"/>
              <w:ind w:left="0" w:right="0" w:hanging="0"/>
              <w:jc w:val="right"/>
              <w:rPr/>
            </w:pPr>
            <w:bookmarkStart w:id="593" w:name="fs_Y7GXWYVHZ400000000000000000000fs"/>
            <w:bookmarkEnd w:id="593"/>
            <w:r>
              <w:rPr/>
              <w:t>—</w:t>
            </w:r>
          </w:p>
        </w:tc>
        <w:tc>
          <w:tcPr>
            <w:tcW w:w="93" w:type="dxa"/>
            <w:tcBorders/>
            <w:shd w:fill="CCEEFF" w:val="clear"/>
            <w:vAlign w:val="center"/>
          </w:tcPr>
          <w:p>
            <w:pPr>
              <w:pStyle w:val="TableContents"/>
              <w:bidi w:val="0"/>
              <w:spacing w:before="0" w:after="283"/>
              <w:ind w:left="0" w:right="0" w:hanging="0"/>
              <w:jc w:val="left"/>
              <w:rPr/>
            </w:pPr>
            <w:r>
              <w:rPr/>
            </w:r>
          </w:p>
        </w:tc>
        <w:tc>
          <w:tcPr>
            <w:tcW w:w="26" w:type="dxa"/>
            <w:tcBorders/>
            <w:shd w:fill="CCEEFF" w:val="clear"/>
            <w:vAlign w:val="center"/>
          </w:tcPr>
          <w:p>
            <w:pPr>
              <w:pStyle w:val="TableContents"/>
              <w:bidi w:val="0"/>
              <w:spacing w:before="0" w:after="283"/>
              <w:ind w:left="0" w:right="0" w:hanging="0"/>
              <w:jc w:val="left"/>
              <w:rPr/>
            </w:pPr>
            <w:r>
              <w:rPr/>
            </w:r>
          </w:p>
        </w:tc>
        <w:tc>
          <w:tcPr>
            <w:tcW w:w="145" w:type="dxa"/>
            <w:tcBorders/>
            <w:shd w:fill="CCEEFF" w:val="clear"/>
            <w:vAlign w:val="center"/>
          </w:tcPr>
          <w:p>
            <w:pPr>
              <w:pStyle w:val="TableContents"/>
              <w:bidi w:val="0"/>
              <w:spacing w:before="0" w:after="283"/>
              <w:ind w:left="0" w:right="0" w:hanging="0"/>
              <w:jc w:val="left"/>
              <w:rPr/>
            </w:pPr>
            <w:r>
              <w:rPr/>
            </w:r>
          </w:p>
        </w:tc>
        <w:tc>
          <w:tcPr>
            <w:tcW w:w="636" w:type="dxa"/>
            <w:tcBorders/>
            <w:shd w:fill="CCEEFF" w:val="clear"/>
            <w:vAlign w:val="center"/>
          </w:tcPr>
          <w:p>
            <w:pPr>
              <w:pStyle w:val="TableContents"/>
              <w:bidi w:val="0"/>
              <w:spacing w:before="0" w:after="0"/>
              <w:ind w:left="0" w:right="0" w:hanging="0"/>
              <w:jc w:val="right"/>
              <w:rPr/>
            </w:pPr>
            <w:bookmarkStart w:id="594" w:name="fs_7GT2M864V400000000000000000000fs"/>
            <w:bookmarkEnd w:id="594"/>
            <w:r>
              <w:rPr/>
              <w:t>—</w:t>
            </w:r>
          </w:p>
        </w:tc>
        <w:tc>
          <w:tcPr>
            <w:tcW w:w="93" w:type="dxa"/>
            <w:tcBorders/>
            <w:shd w:fill="CCEEFF" w:val="clear"/>
            <w:vAlign w:val="center"/>
          </w:tcPr>
          <w:p>
            <w:pPr>
              <w:pStyle w:val="TableContents"/>
              <w:bidi w:val="0"/>
              <w:spacing w:before="0" w:after="283"/>
              <w:ind w:left="0" w:right="0" w:hanging="0"/>
              <w:jc w:val="left"/>
              <w:rPr/>
            </w:pPr>
            <w:r>
              <w:rPr/>
            </w:r>
          </w:p>
        </w:tc>
        <w:tc>
          <w:tcPr>
            <w:tcW w:w="26" w:type="dxa"/>
            <w:tcBorders/>
            <w:shd w:fill="CCEEFF" w:val="clear"/>
            <w:vAlign w:val="center"/>
          </w:tcPr>
          <w:p>
            <w:pPr>
              <w:pStyle w:val="TableContents"/>
              <w:bidi w:val="0"/>
              <w:spacing w:before="0" w:after="283"/>
              <w:ind w:left="0" w:right="0" w:hanging="0"/>
              <w:jc w:val="left"/>
              <w:rPr/>
            </w:pPr>
            <w:r>
              <w:rPr/>
            </w:r>
          </w:p>
        </w:tc>
        <w:tc>
          <w:tcPr>
            <w:tcW w:w="108" w:type="dxa"/>
            <w:tcBorders/>
            <w:shd w:fill="CCEEFF" w:val="clear"/>
            <w:vAlign w:val="center"/>
          </w:tcPr>
          <w:p>
            <w:pPr>
              <w:pStyle w:val="TableContents"/>
              <w:bidi w:val="0"/>
              <w:spacing w:before="0" w:after="283"/>
              <w:ind w:left="0" w:right="0" w:hanging="0"/>
              <w:jc w:val="left"/>
              <w:rPr/>
            </w:pPr>
            <w:r>
              <w:rPr/>
            </w:r>
          </w:p>
        </w:tc>
        <w:tc>
          <w:tcPr>
            <w:tcW w:w="18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bookmarkStart w:id="595" w:name="fs_PD054HNZ5C00000000000000000000fs"/>
            <w:bookmarkEnd w:id="595"/>
            <w:r>
              <w:rPr>
                <w:rFonts w:ascii="Times New Roman;Times;serif" w:hAnsi="Times New Roman;Times;serif"/>
                <w:sz w:val="20"/>
              </w:rPr>
              <w:t>0</w:t>
            </w:r>
          </w:p>
        </w:tc>
        <w:tc>
          <w:tcPr>
            <w:tcW w:w="91" w:type="dxa"/>
            <w:tcBorders/>
            <w:shd w:fill="CCEEFF" w:val="clear"/>
            <w:vAlign w:val="center"/>
          </w:tcPr>
          <w:p>
            <w:pPr>
              <w:pStyle w:val="TableContents"/>
              <w:bidi w:val="0"/>
              <w:spacing w:before="0" w:after="283"/>
              <w:ind w:left="0" w:right="0" w:hanging="0"/>
              <w:jc w:val="left"/>
              <w:rPr/>
            </w:pPr>
            <w:r>
              <w:rPr/>
            </w:r>
          </w:p>
        </w:tc>
      </w:tr>
      <w:tr>
        <w:trPr/>
        <w:tc>
          <w:tcPr>
            <w:tcW w:w="2049" w:type="dxa"/>
            <w:tcBorders/>
            <w:vAlign w:val="center"/>
          </w:tcPr>
          <w:p>
            <w:pPr>
              <w:pStyle w:val="TableContents"/>
              <w:pBdr/>
              <w:bidi w:val="0"/>
              <w:spacing w:before="0" w:after="0"/>
              <w:ind w:left="0" w:right="0" w:hanging="0"/>
              <w:jc w:val="left"/>
              <w:rPr>
                <w:rFonts w:ascii="Times New Roman;serif" w:hAnsi="Times New Roman;serif"/>
                <w:color w:val="000000"/>
                <w:sz w:val="20"/>
              </w:rPr>
            </w:pPr>
            <w:r>
              <w:rPr>
                <w:rFonts w:ascii="Times New Roman;serif" w:hAnsi="Times New Roman;serif"/>
                <w:color w:val="000000"/>
                <w:sz w:val="20"/>
              </w:rPr>
              <w:t xml:space="preserve">Net loss from discontinued operations </w:t>
            </w:r>
          </w:p>
        </w:tc>
        <w:tc>
          <w:tcPr>
            <w:tcW w:w="60" w:type="dxa"/>
            <w:tcBorders/>
            <w:vAlign w:val="center"/>
          </w:tcPr>
          <w:p>
            <w:pPr>
              <w:pStyle w:val="TableContents"/>
              <w:bidi w:val="0"/>
              <w:spacing w:before="0" w:after="0"/>
              <w:ind w:left="0" w:right="0" w:hanging="0"/>
              <w:jc w:val="left"/>
              <w:rPr/>
            </w:pPr>
            <w:r>
              <w:rPr/>
              <w:t> </w:t>
            </w:r>
          </w:p>
        </w:tc>
        <w:tc>
          <w:tcPr>
            <w:tcW w:w="144"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754"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bookmarkStart w:id="596" w:name="fs_16TMPDS6XC00000000000000000000fs"/>
            <w:bookmarkEnd w:id="596"/>
            <w:r>
              <w:rPr>
                <w:rFonts w:ascii="times new roman;times" w:hAnsi="times new roman;times"/>
                <w:sz w:val="20"/>
              </w:rPr>
              <w:t>12,865</w:t>
            </w:r>
          </w:p>
        </w:tc>
        <w:tc>
          <w:tcPr>
            <w:tcW w:w="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 w:type="dxa"/>
            <w:tcBorders/>
            <w:vAlign w:val="center"/>
          </w:tcPr>
          <w:p>
            <w:pPr>
              <w:pStyle w:val="TableContents"/>
              <w:bidi w:val="0"/>
              <w:spacing w:before="0" w:after="0"/>
              <w:ind w:left="0" w:right="0" w:hanging="0"/>
              <w:jc w:val="left"/>
              <w:rPr/>
            </w:pPr>
            <w:r>
              <w:rPr/>
              <w:t> </w:t>
            </w:r>
          </w:p>
        </w:tc>
        <w:tc>
          <w:tcPr>
            <w:tcW w:w="144"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632"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bookmarkStart w:id="597" w:name="fs_4H94KCDFDS00000000000000000000fs"/>
            <w:bookmarkEnd w:id="597"/>
            <w:r>
              <w:rPr>
                <w:rFonts w:ascii="times new roman;times" w:hAnsi="times new roman;times"/>
                <w:sz w:val="20"/>
              </w:rPr>
              <w:t>1,346</w:t>
            </w:r>
          </w:p>
        </w:tc>
        <w:tc>
          <w:tcPr>
            <w:tcW w:w="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1731"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bookmarkStart w:id="598" w:name="fs_D2JJD2JLPS00000000000000000000fs"/>
            <w:bookmarkEnd w:id="598"/>
            <w:r>
              <w:rPr>
                <w:rFonts w:ascii="times new roman;times" w:hAnsi="times new roman;times"/>
                <w:sz w:val="20"/>
              </w:rPr>
              <w:t>856</w:t>
            </w:r>
          </w:p>
        </w:tc>
        <w:tc>
          <w:tcPr>
            <w:tcW w:w="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 w:type="dxa"/>
            <w:tcBorders/>
            <w:vAlign w:val="center"/>
          </w:tcPr>
          <w:p>
            <w:pPr>
              <w:pStyle w:val="TableContents"/>
              <w:bidi w:val="0"/>
              <w:spacing w:before="0" w:after="283"/>
              <w:ind w:left="0" w:right="0" w:hanging="0"/>
              <w:jc w:val="left"/>
              <w:rPr/>
            </w:pPr>
            <w:r>
              <w:rPr/>
            </w:r>
          </w:p>
        </w:tc>
        <w:tc>
          <w:tcPr>
            <w:tcW w:w="145" w:type="dxa"/>
            <w:tcBorders/>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7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bookmarkStart w:id="599" w:name="fs_K89T6QDB6O00000000000000000000fs"/>
            <w:bookmarkEnd w:id="599"/>
            <w:r>
              <w:rPr>
                <w:rFonts w:ascii="Times New Roman;Times;serif" w:hAnsi="Times New Roman;Times;serif"/>
                <w:sz w:val="20"/>
              </w:rPr>
              <w:t>17,864</w:t>
            </w:r>
          </w:p>
        </w:tc>
        <w:tc>
          <w:tcPr>
            <w:tcW w:w="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6" w:type="dxa"/>
            <w:tcBorders/>
            <w:vAlign w:val="center"/>
          </w:tcPr>
          <w:p>
            <w:pPr>
              <w:pStyle w:val="TableContents"/>
              <w:bidi w:val="0"/>
              <w:spacing w:before="0" w:after="283"/>
              <w:ind w:left="0" w:right="0" w:hanging="0"/>
              <w:jc w:val="left"/>
              <w:rPr/>
            </w:pPr>
            <w:r>
              <w:rPr/>
            </w:r>
          </w:p>
        </w:tc>
        <w:tc>
          <w:tcPr>
            <w:tcW w:w="145" w:type="dxa"/>
            <w:tcBorders/>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6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bookmarkStart w:id="600" w:name="fs_R9ZGWBWYPC00000000000000000000fs"/>
            <w:bookmarkEnd w:id="600"/>
            <w:r>
              <w:rPr>
                <w:rFonts w:ascii="Times New Roman;Times;serif" w:hAnsi="Times New Roman;Times;serif"/>
                <w:sz w:val="20"/>
              </w:rPr>
              <w:t>4,694</w:t>
            </w:r>
          </w:p>
        </w:tc>
        <w:tc>
          <w:tcPr>
            <w:tcW w:w="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6" w:type="dxa"/>
            <w:tcBorders/>
            <w:vAlign w:val="center"/>
          </w:tcPr>
          <w:p>
            <w:pPr>
              <w:pStyle w:val="TableContents"/>
              <w:bidi w:val="0"/>
              <w:spacing w:before="0" w:after="283"/>
              <w:ind w:left="0" w:right="0" w:hanging="0"/>
              <w:jc w:val="left"/>
              <w:rPr/>
            </w:pPr>
            <w:r>
              <w:rPr/>
            </w:r>
          </w:p>
        </w:tc>
        <w:tc>
          <w:tcPr>
            <w:tcW w:w="108" w:type="dxa"/>
            <w:tcBorders/>
            <w:vAlign w:val="center"/>
          </w:tcPr>
          <w:p>
            <w:pPr>
              <w:pStyle w:val="TableContents"/>
              <w:bidi w:val="0"/>
              <w:spacing w:before="0" w:after="283"/>
              <w:ind w:left="0" w:right="0" w:hanging="0"/>
              <w:jc w:val="left"/>
              <w:rPr/>
            </w:pPr>
            <w:r>
              <w:rPr/>
            </w:r>
          </w:p>
        </w:tc>
        <w:tc>
          <w:tcPr>
            <w:tcW w:w="18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bookmarkStart w:id="601" w:name="fs_RYGPTPGTW000000000000000000000fs"/>
            <w:bookmarkEnd w:id="601"/>
            <w:r>
              <w:rPr>
                <w:rFonts w:ascii="Times New Roman;Times;serif" w:hAnsi="Times New Roman;Times;serif"/>
                <w:sz w:val="20"/>
              </w:rPr>
              <w:t>281</w:t>
            </w:r>
          </w:p>
        </w:tc>
        <w:tc>
          <w:tcPr>
            <w:tcW w:w="9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widowControl/>
        <w:bidi w:val="0"/>
        <w:spacing w:before="0" w:after="0"/>
        <w:jc w:val="left"/>
        <w:rPr>
          <w:b w:val="false"/>
          <w:b w:val="false"/>
          <w:bCs w:val="false"/>
          <w:i w:val="false"/>
          <w:i w:val="false"/>
          <w:iCs w:val="false"/>
          <w:caps w:val="false"/>
          <w:smallCaps w:val="false"/>
          <w:color w:val="000000"/>
          <w:spacing w:val="0"/>
          <w:sz w:val="20"/>
          <w:szCs w:val="20"/>
        </w:rPr>
      </w:pPr>
      <w:r>
        <w:rPr>
          <w:b w:val="false"/>
          <w:bCs w:val="false"/>
          <w:i w:val="false"/>
          <w:iCs w:val="false"/>
          <w:caps w:val="false"/>
          <w:smallCaps w:val="false"/>
          <w:color w:val="000000"/>
          <w:spacing w:val="0"/>
          <w:sz w:val="20"/>
          <w:szCs w:val="20"/>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b w:val="false"/>
          <w:b w:val="false"/>
          <w:bCs w:val="false"/>
          <w:i w:val="false"/>
          <w:i w:val="false"/>
          <w:iCs w:val="false"/>
          <w:caps w:val="false"/>
          <w:smallCaps w:val="false"/>
          <w:color w:val="000000"/>
          <w:spacing w:val="0"/>
          <w:sz w:val="20"/>
          <w:szCs w:val="20"/>
        </w:rPr>
      </w:pPr>
      <w:r>
        <w:rPr>
          <w:b w:val="false"/>
          <w:bCs w:val="false"/>
          <w:i w:val="false"/>
          <w:iCs w:val="false"/>
          <w:caps w:val="false"/>
          <w:smallCaps w:val="false"/>
          <w:color w:val="000000"/>
          <w:spacing w:val="0"/>
          <w:sz w:val="20"/>
          <w:szCs w:val="20"/>
        </w:rPr>
      </w:r>
    </w:p>
    <w:p>
      <w:pPr>
        <w:pStyle w:val="TextBody"/>
        <w:bidi w:val="0"/>
        <w:spacing w:lineRule="auto" w:line="288" w:before="0" w:after="160"/>
        <w:ind w:left="0" w:right="0" w:hanging="0"/>
        <w:jc w:val="both"/>
        <w:rPr>
          <w:rFonts w:ascii="Times New Roman" w:hAnsi="Times New Roman"/>
          <w:b/>
          <w:i/>
          <w:sz w:val="20"/>
        </w:rPr>
      </w:pPr>
      <w:r>
        <w:rPr>
          <w:rFonts w:ascii="Times New Roman" w:hAnsi="Times New Roman"/>
          <w:b/>
          <w:i/>
          <w:sz w:val="20"/>
        </w:rPr>
        <w:t>Revenue</w:t>
      </w:r>
    </w:p>
    <w:p>
      <w:pPr>
        <w:pStyle w:val="TextBody"/>
        <w:widowControl/>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Our revenue </w:t>
      </w:r>
      <w:bookmarkStart w:id="602" w:name="fs_21OL8C34XC00000000000000000000FM"/>
      <w:bookmarkEnd w:id="602"/>
      <w:r>
        <w:rPr>
          <w:rFonts w:ascii="times new roman;times" w:hAnsi="times new roman;times"/>
          <w:sz w:val="20"/>
        </w:rPr>
        <w:t>decreased to $</w:t>
      </w:r>
      <w:bookmarkStart w:id="603" w:name="fs_JP8HLFCVGG00000000000000000000FM"/>
      <w:bookmarkEnd w:id="603"/>
      <w:r>
        <w:rPr>
          <w:rFonts w:ascii="times new roman;times" w:hAnsi="times new roman;times"/>
          <w:sz w:val="20"/>
        </w:rPr>
        <w:t xml:space="preserve">1.3 million in </w:t>
      </w:r>
      <w:bookmarkStart w:id="604" w:name="fs_14SSWJEYLS00000000000000000000fs"/>
      <w:bookmarkEnd w:id="604"/>
      <w:r>
        <w:rPr>
          <w:rFonts w:ascii="times new roman;times" w:hAnsi="times new roman;times"/>
          <w:sz w:val="20"/>
        </w:rPr>
        <w:t>2025-</w:t>
      </w:r>
      <w:bookmarkStart w:id="605" w:name="fs_TXQ3EVJB6800000000000000000000FM"/>
      <w:bookmarkEnd w:id="605"/>
      <w:r>
        <w:rPr>
          <w:rFonts w:ascii="times new roman;times" w:hAnsi="times new roman;times"/>
          <w:sz w:val="20"/>
        </w:rPr>
        <w:t>Q3 compared to $</w:t>
      </w:r>
      <w:bookmarkStart w:id="606" w:name="fs_BAIOAEYG8W00000000000000000000FM"/>
      <w:bookmarkEnd w:id="606"/>
      <w:r>
        <w:rPr>
          <w:rFonts w:ascii="times new roman;times" w:hAnsi="times new roman;times"/>
          <w:sz w:val="20"/>
        </w:rPr>
        <w:t xml:space="preserve">2.5 million in </w:t>
      </w:r>
      <w:bookmarkStart w:id="607" w:name="fs_SZOLKEF4YO00000000000000000000fs"/>
      <w:bookmarkEnd w:id="607"/>
      <w:r>
        <w:rPr>
          <w:rFonts w:ascii="times new roman;times" w:hAnsi="times new roman;times"/>
          <w:sz w:val="20"/>
        </w:rPr>
        <w:t>2024-</w:t>
      </w:r>
      <w:bookmarkStart w:id="608" w:name="fs_5DXFJX6E4G00000000000000000000FM"/>
      <w:bookmarkEnd w:id="608"/>
      <w:r>
        <w:rPr>
          <w:rFonts w:ascii="times new roman;times" w:hAnsi="times new roman;times"/>
          <w:sz w:val="20"/>
        </w:rPr>
        <w:t xml:space="preserve">Q3 due to </w:t>
      </w:r>
      <w:r>
        <w:rPr>
          <w:rFonts w:ascii="times new roman;times" w:hAnsi="times new roman;times"/>
          <w:b w:val="false"/>
          <w:i w:val="false"/>
          <w:caps w:val="false"/>
          <w:smallCaps w:val="false"/>
          <w:color w:val="000000"/>
          <w:spacing w:val="0"/>
          <w:sz w:val="20"/>
        </w:rPr>
        <w:t xml:space="preserve">a </w:t>
      </w:r>
      <w:bookmarkStart w:id="609" w:name="fs_BYNZR3IJ5C00000000000000000000FM"/>
      <w:bookmarkEnd w:id="609"/>
      <w:r>
        <w:rPr>
          <w:rFonts w:ascii="times new roman;times" w:hAnsi="times new roman;times"/>
          <w:b w:val="false"/>
          <w:i w:val="false"/>
          <w:caps w:val="false"/>
          <w:smallCaps w:val="false"/>
          <w:color w:val="000000"/>
          <w:spacing w:val="0"/>
          <w:sz w:val="20"/>
        </w:rPr>
        <w:t>72% </w:t>
      </w:r>
      <w:bookmarkStart w:id="610" w:name="fs_NMWR98H0ZK00000000000000000000FM"/>
      <w:bookmarkEnd w:id="610"/>
      <w:r>
        <w:rPr>
          <w:rFonts w:ascii="times new roman;times" w:hAnsi="times new roman;times"/>
          <w:b w:val="false"/>
          <w:i w:val="false"/>
          <w:caps w:val="false"/>
          <w:smallCaps w:val="false"/>
          <w:color w:val="000000"/>
          <w:spacing w:val="0"/>
          <w:sz w:val="20"/>
        </w:rPr>
        <w:t xml:space="preserve">decline in audio conferencing, a </w:t>
      </w:r>
      <w:bookmarkStart w:id="611" w:name="fs_5EOGGMW9SG00000000000000000000fs"/>
      <w:bookmarkEnd w:id="611"/>
      <w:r>
        <w:rPr>
          <w:rFonts w:ascii="times new roman;times" w:hAnsi="times new roman;times"/>
          <w:b w:val="false"/>
          <w:i w:val="false"/>
          <w:caps w:val="false"/>
          <w:smallCaps w:val="false"/>
          <w:color w:val="000000"/>
          <w:spacing w:val="0"/>
          <w:sz w:val="20"/>
        </w:rPr>
        <w:t>49% </w:t>
      </w:r>
      <w:bookmarkStart w:id="612" w:name="fs_H6QW24GJ5S00000000000000000000FM"/>
      <w:bookmarkEnd w:id="612"/>
      <w:r>
        <w:rPr>
          <w:rFonts w:ascii="times new roman;times" w:hAnsi="times new roman;times"/>
          <w:b w:val="false"/>
          <w:i w:val="false"/>
          <w:caps w:val="false"/>
          <w:smallCaps w:val="false"/>
          <w:color w:val="000000"/>
          <w:spacing w:val="0"/>
          <w:sz w:val="20"/>
        </w:rPr>
        <w:t>decline in video products, and </w:t>
      </w:r>
      <w:r>
        <w:rPr>
          <w:rFonts w:ascii="times new roman;times" w:hAnsi="times new roman;times"/>
          <w:sz w:val="20"/>
        </w:rPr>
        <w:t xml:space="preserve">a </w:t>
      </w:r>
      <w:bookmarkStart w:id="613" w:name="fs_QE1UYA4EG000000000000000000000fs"/>
      <w:bookmarkEnd w:id="613"/>
      <w:r>
        <w:rPr>
          <w:rFonts w:ascii="times new roman;times" w:hAnsi="times new roman;times"/>
          <w:sz w:val="20"/>
        </w:rPr>
        <w:t xml:space="preserve">32% </w:t>
      </w:r>
      <w:bookmarkStart w:id="614" w:name="fs_X1QZ5FM6KG00000000000000000000FM"/>
      <w:bookmarkEnd w:id="614"/>
      <w:r>
        <w:rPr>
          <w:rFonts w:ascii="times new roman;times" w:hAnsi="times new roman;times"/>
          <w:sz w:val="20"/>
        </w:rPr>
        <w:t>decrease in microphones. Our revenue decreased to $</w:t>
      </w:r>
      <w:bookmarkStart w:id="615" w:name="fs_F7HM483EW000000000000000000000fs"/>
      <w:bookmarkEnd w:id="615"/>
      <w:r>
        <w:rPr>
          <w:rFonts w:ascii="times new roman;times" w:hAnsi="times new roman;times"/>
          <w:sz w:val="20"/>
        </w:rPr>
        <w:t xml:space="preserve">5.5 million in </w:t>
      </w:r>
      <w:bookmarkStart w:id="616" w:name="fs_UQHIOF06SW00000000000000000000fs"/>
      <w:bookmarkEnd w:id="616"/>
      <w:r>
        <w:rPr>
          <w:rFonts w:ascii="times new roman;times" w:hAnsi="times new roman;times"/>
          <w:sz w:val="20"/>
        </w:rPr>
        <w:t>2025 year-to-date compared to $</w:t>
      </w:r>
      <w:bookmarkStart w:id="617" w:name="fs_3EBITYPJSG00000000000000000000fs"/>
      <w:bookmarkEnd w:id="617"/>
      <w:r>
        <w:rPr>
          <w:rFonts w:ascii="times new roman;times" w:hAnsi="times new roman;times"/>
          <w:sz w:val="20"/>
        </w:rPr>
        <w:t xml:space="preserve">8.4 million in </w:t>
      </w:r>
      <w:bookmarkStart w:id="618" w:name="fs_FYBIQM613400000000000000000000fs"/>
      <w:bookmarkEnd w:id="618"/>
      <w:r>
        <w:rPr>
          <w:rFonts w:ascii="times new roman;times" w:hAnsi="times new roman;times"/>
          <w:sz w:val="20"/>
        </w:rPr>
        <w:t xml:space="preserve">2024 year-to-date due to a </w:t>
      </w:r>
      <w:bookmarkStart w:id="619" w:name="fs_OI7IBB5VSW00000000000000000000fs"/>
      <w:bookmarkEnd w:id="619"/>
      <w:r>
        <w:rPr>
          <w:rFonts w:ascii="times new roman;times" w:hAnsi="times new roman;times"/>
          <w:sz w:val="20"/>
        </w:rPr>
        <w:t xml:space="preserve">45% decline in audio conferencing, a </w:t>
      </w:r>
      <w:bookmarkStart w:id="620" w:name="fs_MHDSUVIJ1C00000000000000000000fs"/>
      <w:bookmarkEnd w:id="620"/>
      <w:r>
        <w:rPr>
          <w:rFonts w:ascii="times new roman;times" w:hAnsi="times new roman;times"/>
          <w:sz w:val="20"/>
        </w:rPr>
        <w:t xml:space="preserve">40% decline in video products, and a </w:t>
      </w:r>
      <w:bookmarkStart w:id="621" w:name="fs_4RS1R0DH8W00000000000000000000fs"/>
      <w:bookmarkEnd w:id="621"/>
      <w:r>
        <w:rPr>
          <w:rFonts w:ascii="times new roman;times" w:hAnsi="times new roman;times"/>
          <w:sz w:val="20"/>
        </w:rPr>
        <w:t>24% decrease in microphones. Our traditional ceiling mics, personal audio-conferencing products, and video cameras suffered revenue declines due to decreasing demand and a reduction of the sales force in anticipation of an asset transaction for a strategic restructuring.</w:t>
      </w:r>
    </w:p>
    <w:p>
      <w:pPr>
        <w:pStyle w:val="TextBody"/>
        <w:bidi w:val="0"/>
        <w:spacing w:lineRule="auto" w:line="288" w:before="0" w:after="0"/>
        <w:ind w:left="0" w:right="0" w:hanging="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bookmarkStart w:id="622" w:name="PageBreakNo27"/>
            <w:bookmarkEnd w:id="622"/>
            <w:r>
              <w:rPr>
                <w:sz w:val="20"/>
              </w:rPr>
              <w:t>27</w:t>
            </w:r>
          </w:p>
        </w:tc>
      </w:tr>
    </w:tbl>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0" w:after="0"/>
        <w:jc w:val="left"/>
        <w:rPr/>
      </w:pPr>
      <w:r>
        <w:rPr/>
      </w:r>
    </w:p>
    <w:p>
      <w:pPr>
        <w:pStyle w:val="TextBody"/>
        <w:bidi w:val="0"/>
        <w:spacing w:before="0" w:after="0"/>
        <w:jc w:val="left"/>
        <w:rPr/>
      </w:pPr>
      <w:hyperlink w:anchor="TOC">
        <w:r>
          <w:rPr>
            <w:rStyle w:val="InternetLink"/>
            <w:sz w:val="20"/>
          </w:rPr>
          <w:t>Table of Contents</w:t>
        </w:r>
      </w:hyperlink>
    </w:p>
    <w:p>
      <w:pPr>
        <w:pStyle w:val="TextBody"/>
        <w:bidi w:val="0"/>
        <w:spacing w:lineRule="auto" w:line="288" w:before="200" w:after="0"/>
        <w:ind w:left="0" w:right="0" w:hanging="0"/>
        <w:jc w:val="both"/>
        <w:rPr>
          <w:rFonts w:ascii="Times New Roman" w:hAnsi="Times New Roman"/>
          <w:b/>
          <w:i/>
          <w:sz w:val="20"/>
        </w:rPr>
      </w:pPr>
      <w:r>
        <w:rPr>
          <w:rFonts w:ascii="Times New Roman" w:hAnsi="Times New Roman"/>
          <w:b/>
          <w:i/>
          <w:sz w:val="20"/>
        </w:rPr>
        <w:t>Costs of Goods Sold and Gross Profit  </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Cost of goods sold includes expenses associated with finished goods purchased from outsourced manufacturers, the repackaging of our products, our manufacturing and operations organization, property and equipment depreciation, warranty expense, freight expense, royalty payments, and the allocation of overhead expenses. </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Our gross profit </w:t>
      </w:r>
      <w:r>
        <w:rPr>
          <w:rFonts w:ascii="Times New Roman;serif" w:hAnsi="Times New Roman;serif"/>
          <w:color w:val="000000"/>
          <w:sz w:val="20"/>
        </w:rPr>
        <w:t>decreased</w:t>
      </w:r>
      <w:r>
        <w:rPr>
          <w:rFonts w:ascii="times new roman;times" w:hAnsi="times new roman;times"/>
          <w:sz w:val="20"/>
        </w:rPr>
        <w:t xml:space="preserve"> from $</w:t>
      </w:r>
      <w:bookmarkStart w:id="623" w:name="fs_ZMZ9NXK3K000000000000000000000FM"/>
      <w:bookmarkEnd w:id="623"/>
      <w:r>
        <w:rPr>
          <w:rFonts w:ascii="times new roman;times" w:hAnsi="times new roman;times"/>
          <w:sz w:val="20"/>
        </w:rPr>
        <w:t xml:space="preserve">639 during </w:t>
      </w:r>
      <w:bookmarkStart w:id="624" w:name="fs_219UN4M4J400000000000000000000FM"/>
      <w:bookmarkEnd w:id="624"/>
      <w:r>
        <w:rPr>
          <w:rFonts w:ascii="times new roman;times" w:hAnsi="times new roman;times"/>
          <w:sz w:val="20"/>
        </w:rPr>
        <w:t>2024-</w:t>
      </w:r>
      <w:bookmarkStart w:id="625" w:name="fs_3XA3TFUE5C00000000000000000000FM"/>
      <w:bookmarkEnd w:id="625"/>
      <w:r>
        <w:rPr>
          <w:rFonts w:ascii="times new roman;times" w:hAnsi="times new roman;times"/>
          <w:sz w:val="20"/>
        </w:rPr>
        <w:t>Q3 to a loss of $</w:t>
      </w:r>
      <w:bookmarkStart w:id="626" w:name="fs_NCEN45UV7400000000000000000000FM"/>
      <w:bookmarkEnd w:id="626"/>
      <w:r>
        <w:rPr>
          <w:rFonts w:ascii="times new roman;times" w:hAnsi="times new roman;times"/>
          <w:sz w:val="20"/>
        </w:rPr>
        <w:t>(886) during </w:t>
      </w:r>
      <w:bookmarkStart w:id="627" w:name="fs_OTMASGZN2O00000000000000000000FM"/>
      <w:bookmarkEnd w:id="627"/>
      <w:r>
        <w:rPr>
          <w:rFonts w:ascii="times new roman;times" w:hAnsi="times new roman;times"/>
          <w:sz w:val="20"/>
        </w:rPr>
        <w:t>2025-</w:t>
      </w:r>
      <w:bookmarkStart w:id="628" w:name="fs_IQ8JES7ZIO00000000000000000000FM"/>
      <w:bookmarkEnd w:id="628"/>
      <w:r>
        <w:rPr>
          <w:rFonts w:ascii="times new roman;times" w:hAnsi="times new roman;times"/>
          <w:sz w:val="20"/>
        </w:rPr>
        <w:t>Q3.</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reduction in gross profit is the result of revenue decreasing by a higher percentage than cost of goods sold.  The Company experienced a significant reduction in inventory levels, with a decrease of approximately $</w:t>
      </w:r>
      <w:bookmarkStart w:id="629" w:name="fs_OD4FV5Z2C000000000000000000000fs"/>
      <w:bookmarkEnd w:id="629"/>
      <w:r>
        <w:rPr>
          <w:rFonts w:ascii="times new roman;times" w:hAnsi="times new roman;times"/>
          <w:sz w:val="20"/>
        </w:rPr>
        <w:t xml:space="preserve">3.2 million compared to </w:t>
      </w:r>
      <w:bookmarkStart w:id="630" w:name="fs_197D9SX4PS00000000000000000000FM"/>
      <w:bookmarkEnd w:id="630"/>
      <w:r>
        <w:rPr>
          <w:rFonts w:ascii="times new roman;times" w:hAnsi="times new roman;times"/>
          <w:sz w:val="20"/>
        </w:rPr>
        <w:t xml:space="preserve">December 31, 2024. This reduction was primarily driven by supply chain pauses from our cash flow constraints. As a result, there was insufficient new inventory to absorb the Company’s standard overhead allocation, which is typically applied to inventory production. This led to unabsorbed overhead costs being recognized as an expense in the period, directly impacting cost of goods sold. </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increase in unabsorbed overhead reflects the misalignment between production levels and fixed overhead costs, which are generally allocated to inventory under our standard costing methodology. </w:t>
      </w:r>
    </w:p>
    <w:p>
      <w:pPr>
        <w:pStyle w:val="TextBody"/>
        <w:bidi w:val="0"/>
        <w:spacing w:lineRule="auto" w:line="288" w:before="0" w:after="0"/>
        <w:ind w:left="0" w:right="0" w:hanging="0"/>
        <w:jc w:val="both"/>
        <w:rPr>
          <w:rFonts w:ascii="Times New Roman" w:hAnsi="Times New Roman"/>
          <w:b/>
          <w:i/>
          <w:sz w:val="20"/>
        </w:rPr>
      </w:pPr>
      <w:r>
        <w:rPr>
          <w:rFonts w:ascii="Times New Roman" w:hAnsi="Times New Roman"/>
          <w:b/>
          <w:i/>
          <w:sz w:val="20"/>
        </w:rPr>
        <w:t>Operating Expenses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Operating expenses include sales and marketing (“S&amp;M”) expenses, research and product development (“R&amp;D”) expenses and general and administrative (“G&amp;A”) expenses. Total operating expenses in </w:t>
      </w:r>
      <w:bookmarkStart w:id="631" w:name="fs_YYAIEYQL6O00000000000000000000FM"/>
      <w:bookmarkEnd w:id="631"/>
      <w:r>
        <w:rPr>
          <w:rFonts w:ascii="times new roman;times" w:hAnsi="times new roman;times"/>
          <w:sz w:val="20"/>
        </w:rPr>
        <w:t>2025-</w:t>
      </w:r>
      <w:bookmarkStart w:id="632" w:name="fs_FFW84RVYVK00000000000000000000FM"/>
      <w:bookmarkEnd w:id="632"/>
      <w:r>
        <w:rPr>
          <w:rFonts w:ascii="times new roman;times" w:hAnsi="times new roman;times"/>
          <w:sz w:val="20"/>
        </w:rPr>
        <w:t>Q3 were $</w:t>
      </w:r>
      <w:bookmarkStart w:id="633" w:name="fs_IA429GNCDS00000000000000000000FM"/>
      <w:bookmarkEnd w:id="633"/>
      <w:r>
        <w:rPr>
          <w:rFonts w:ascii="times new roman;times" w:hAnsi="times new roman;times"/>
          <w:sz w:val="20"/>
        </w:rPr>
        <w:t>1.2 million compared to $</w:t>
      </w:r>
      <w:bookmarkStart w:id="634" w:name="fs_NUNO7QCU3400000000000000000000fs"/>
      <w:bookmarkEnd w:id="634"/>
      <w:r>
        <w:rPr>
          <w:rFonts w:ascii="times new roman;times" w:hAnsi="times new roman;times"/>
          <w:sz w:val="20"/>
        </w:rPr>
        <w:t xml:space="preserve">2.0 million in </w:t>
      </w:r>
      <w:bookmarkStart w:id="635" w:name="fs_OW8SSO2OA800000000000000000000FM"/>
      <w:bookmarkEnd w:id="635"/>
      <w:r>
        <w:rPr>
          <w:rFonts w:ascii="times new roman;times" w:hAnsi="times new roman;times"/>
          <w:sz w:val="20"/>
        </w:rPr>
        <w:t>2024-</w:t>
      </w:r>
      <w:bookmarkStart w:id="636" w:name="fs_Z75C7UR3K000000000000000000000FM"/>
      <w:bookmarkEnd w:id="636"/>
      <w:r>
        <w:rPr>
          <w:rFonts w:ascii="times new roman;times" w:hAnsi="times new roman;times"/>
          <w:sz w:val="20"/>
        </w:rPr>
        <w:t xml:space="preserve">Q3. Total operating expenses thru </w:t>
      </w:r>
      <w:bookmarkStart w:id="637" w:name="fs_RD6XSRIC0000000000000000000000FM"/>
      <w:bookmarkEnd w:id="637"/>
      <w:r>
        <w:rPr>
          <w:rFonts w:ascii="times new roman;times" w:hAnsi="times new roman;times"/>
          <w:sz w:val="20"/>
        </w:rPr>
        <w:t>2025-YTD were $</w:t>
      </w:r>
      <w:bookmarkStart w:id="638" w:name="fs_2MZXBNWSB400000000000000000000FM"/>
      <w:bookmarkEnd w:id="638"/>
      <w:r>
        <w:rPr>
          <w:rFonts w:ascii="times new roman;times" w:hAnsi="times new roman;times"/>
          <w:sz w:val="20"/>
        </w:rPr>
        <w:t>6.2 million compared to $</w:t>
      </w:r>
      <w:bookmarkStart w:id="639" w:name="fs_HE1XRFR8RK00000000000000000000FM"/>
      <w:bookmarkEnd w:id="639"/>
      <w:r>
        <w:rPr>
          <w:rFonts w:ascii="times new roman;times" w:hAnsi="times new roman;times"/>
          <w:sz w:val="20"/>
        </w:rPr>
        <w:t xml:space="preserve">6.5 million observing the same </w:t>
      </w:r>
      <w:bookmarkStart w:id="640" w:name="fs_O0PDYUMVR400000000000000000000fs"/>
      <w:bookmarkEnd w:id="640"/>
      <w:r>
        <w:rPr>
          <w:rFonts w:ascii="times new roman;times" w:hAnsi="times new roman;times"/>
          <w:sz w:val="20"/>
        </w:rPr>
        <w:t xml:space="preserve">9-month period in </w:t>
      </w:r>
      <w:bookmarkStart w:id="641" w:name="fs_KVSP7RCSQ800000000000000000000fs"/>
      <w:bookmarkEnd w:id="641"/>
      <w:r>
        <w:rPr>
          <w:rFonts w:ascii="times new roman;times" w:hAnsi="times new roman;times"/>
          <w:sz w:val="20"/>
        </w:rPr>
        <w:t>2024. The following contains a more detailed discussion of expenses related to sales and marketing, research and product development, general and administrative, and other items. </w:t>
      </w:r>
    </w:p>
    <w:p>
      <w:pPr>
        <w:pStyle w:val="TextBody"/>
        <w:bidi w:val="0"/>
        <w:spacing w:lineRule="auto" w:line="288" w:before="200" w:after="0"/>
        <w:ind w:left="0" w:right="0" w:hanging="0"/>
        <w:jc w:val="both"/>
        <w:rPr>
          <w:rFonts w:ascii="times new roman;times" w:hAnsi="times new roman;times"/>
          <w:sz w:val="20"/>
        </w:rPr>
      </w:pPr>
      <w:r>
        <w:rPr>
          <w:rFonts w:ascii="Times New Roman" w:hAnsi="Times New Roman"/>
          <w:b/>
          <w:i/>
          <w:sz w:val="20"/>
          <w:u w:val="single"/>
        </w:rPr>
        <w:t>Sales and Marketing</w:t>
      </w:r>
      <w:r>
        <w:rPr>
          <w:rFonts w:ascii="times new roman;times" w:hAnsi="times new roman;times"/>
          <w:sz w:val="20"/>
        </w:rPr>
        <w:t xml:space="preserve"> </w:t>
      </w:r>
      <w:r>
        <w:rPr>
          <w:rFonts w:ascii="Times New Roman" w:hAnsi="Times New Roman"/>
          <w:sz w:val="20"/>
        </w:rPr>
        <w:t>- S&amp;M expenses include selling, customer service, and marketing expenses such as employee-related costs, allocations of overhead expenses, trade shows, and other advertising and selling expenses.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S&amp;M expenses were</w:t>
      </w:r>
      <w:r>
        <w:rPr>
          <w:rFonts w:ascii="times new roman;times" w:hAnsi="times new roman;times"/>
          <w:sz w:val="20"/>
        </w:rPr>
        <w:t> </w:t>
      </w:r>
      <w:r>
        <w:rPr>
          <w:rFonts w:ascii="Times New Roman" w:hAnsi="Times New Roman"/>
          <w:sz w:val="20"/>
        </w:rPr>
        <w:t>$</w:t>
      </w:r>
      <w:bookmarkStart w:id="642" w:name="fs_88OE216XKG00000000000000000000fs"/>
      <w:bookmarkEnd w:id="642"/>
      <w:r>
        <w:rPr>
          <w:rFonts w:ascii="Times New Roman" w:hAnsi="Times New Roman"/>
          <w:sz w:val="20"/>
        </w:rPr>
        <w:t xml:space="preserve">0.4 million in </w:t>
      </w:r>
      <w:bookmarkStart w:id="643" w:name="fs_PBAKQE5S2800000000000000000000FM"/>
      <w:bookmarkEnd w:id="643"/>
      <w:r>
        <w:rPr>
          <w:rFonts w:ascii="Times New Roman" w:hAnsi="Times New Roman"/>
          <w:sz w:val="20"/>
        </w:rPr>
        <w:t>Q3-</w:t>
      </w:r>
      <w:bookmarkStart w:id="644" w:name="fs_L1U6ISOZDS00000000000000000000FM"/>
      <w:bookmarkEnd w:id="644"/>
      <w:r>
        <w:rPr>
          <w:rFonts w:ascii="Times New Roman" w:hAnsi="Times New Roman"/>
          <w:sz w:val="20"/>
        </w:rPr>
        <w:t>2025, compared to $</w:t>
      </w:r>
      <w:bookmarkStart w:id="645" w:name="fs_BVP1EUDO0000000000000000000000FM"/>
      <w:bookmarkEnd w:id="645"/>
      <w:r>
        <w:rPr>
          <w:rFonts w:ascii="Times New Roman" w:hAnsi="Times New Roman"/>
          <w:sz w:val="20"/>
        </w:rPr>
        <w:t xml:space="preserve">1.1 million in </w:t>
      </w:r>
      <w:bookmarkStart w:id="646" w:name="fs_S5YTLPSN5S00000000000000000000FM"/>
      <w:bookmarkEnd w:id="646"/>
      <w:r>
        <w:rPr>
          <w:rFonts w:ascii="Times New Roman" w:hAnsi="Times New Roman"/>
          <w:sz w:val="20"/>
        </w:rPr>
        <w:t>Q3-</w:t>
      </w:r>
      <w:bookmarkStart w:id="647" w:name="fs_AD1X16KS5S00000000000000000000FM"/>
      <w:bookmarkEnd w:id="647"/>
      <w:r>
        <w:rPr>
          <w:rFonts w:ascii="Times New Roman" w:hAnsi="Times New Roman"/>
          <w:sz w:val="20"/>
        </w:rPr>
        <w:t xml:space="preserve">2024, while the year-to-date results for the </w:t>
      </w:r>
      <w:bookmarkStart w:id="648" w:name="fs_O3764UGEV400000000000000000000FM"/>
      <w:bookmarkEnd w:id="648"/>
      <w:r>
        <w:rPr>
          <w:rFonts w:ascii="Times New Roman" w:hAnsi="Times New Roman"/>
          <w:sz w:val="20"/>
        </w:rPr>
        <w:t>nine months ended September 30, showed $</w:t>
      </w:r>
      <w:bookmarkStart w:id="649" w:name="fs_EH0KNWBJNK00000000000000000000FM"/>
      <w:bookmarkEnd w:id="649"/>
      <w:r>
        <w:rPr>
          <w:rFonts w:ascii="Times New Roman" w:hAnsi="Times New Roman"/>
          <w:sz w:val="20"/>
        </w:rPr>
        <w:t>2.9</w:t>
      </w:r>
      <w:r>
        <w:rPr>
          <w:rFonts w:ascii="Times New Roman" w:hAnsi="Times New Roman"/>
          <w:sz w:val="20"/>
        </w:rPr>
        <w:t xml:space="preserve"> million in </w:t>
      </w:r>
      <w:bookmarkStart w:id="650" w:name="fs_XWWQL9QV2800000000000000000000FM"/>
      <w:bookmarkEnd w:id="650"/>
      <w:r>
        <w:rPr>
          <w:rFonts w:ascii="Times New Roman" w:hAnsi="Times New Roman"/>
          <w:sz w:val="20"/>
        </w:rPr>
        <w:t>2025 compared to $</w:t>
      </w:r>
      <w:bookmarkStart w:id="651" w:name="fs_6EITT9228W00000000000000000000FM"/>
      <w:bookmarkEnd w:id="651"/>
      <w:r>
        <w:rPr>
          <w:rFonts w:ascii="Times New Roman" w:hAnsi="Times New Roman"/>
          <w:sz w:val="20"/>
        </w:rPr>
        <w:t xml:space="preserve">3.6 million in </w:t>
      </w:r>
      <w:bookmarkStart w:id="652" w:name="fs_SQBLKORHEO00000000000000000000FM"/>
      <w:bookmarkEnd w:id="652"/>
      <w:r>
        <w:rPr>
          <w:rFonts w:ascii="Times New Roman" w:hAnsi="Times New Roman"/>
          <w:sz w:val="20"/>
        </w:rPr>
        <w:t xml:space="preserve">2024. Both comparisons are the result of decreased sales commissions on fewer sales as well as lowered marketing spend that was offset by severance expense from </w:t>
      </w:r>
      <w:bookmarkStart w:id="653" w:name="fs_6TQ3N96UBK00000000000000000000FM"/>
      <w:bookmarkEnd w:id="653"/>
      <w:r>
        <w:rPr>
          <w:rFonts w:ascii="Times New Roman" w:hAnsi="Times New Roman"/>
          <w:sz w:val="20"/>
        </w:rPr>
        <w:t xml:space="preserve">2025 </w:t>
      </w:r>
      <w:bookmarkStart w:id="654" w:name="fs_IMCWR53B1S00000000000000000000FM"/>
      <w:bookmarkEnd w:id="654"/>
      <w:r>
        <w:rPr>
          <w:rFonts w:ascii="Times New Roman" w:hAnsi="Times New Roman"/>
          <w:sz w:val="20"/>
        </w:rPr>
        <w:t>Q3 reduction in force being recognized. </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i/>
          <w:sz w:val="20"/>
          <w:u w:val="single"/>
        </w:rPr>
        <w:t>Research and Product Development</w:t>
      </w:r>
      <w:r>
        <w:rPr>
          <w:rFonts w:ascii="times new roman;times" w:hAnsi="times new roman;times"/>
          <w:sz w:val="20"/>
        </w:rPr>
        <w:t xml:space="preserve"> </w:t>
      </w:r>
      <w:r>
        <w:rPr>
          <w:rFonts w:ascii="Times New Roman" w:hAnsi="Times New Roman"/>
          <w:sz w:val="20"/>
        </w:rPr>
        <w:t>- R&amp;D expenses include research and development, product line management, engineering services, and test and application expenses, including employee-related costs, outside services, expensed materials, depreciation, and an allocation of overhead expenses.</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R&amp;D expenses were, $</w:t>
      </w:r>
      <w:bookmarkStart w:id="655" w:name="fs_6XJ7OR5IHS00000000000000000000fs"/>
      <w:bookmarkEnd w:id="655"/>
      <w:r>
        <w:rPr>
          <w:rFonts w:ascii="Times New Roman" w:hAnsi="Times New Roman"/>
          <w:sz w:val="20"/>
        </w:rPr>
        <w:t xml:space="preserve">0.7 million in </w:t>
      </w:r>
      <w:bookmarkStart w:id="656" w:name="fs_LMC3J5234G00000000000000000000FM"/>
      <w:bookmarkEnd w:id="656"/>
      <w:r>
        <w:rPr>
          <w:rFonts w:ascii="Times New Roman" w:hAnsi="Times New Roman"/>
          <w:sz w:val="20"/>
        </w:rPr>
        <w:t>Q3-</w:t>
      </w:r>
      <w:bookmarkStart w:id="657" w:name="fs_TFWLQPZUV400000000000000000000FM"/>
      <w:bookmarkEnd w:id="657"/>
      <w:r>
        <w:rPr>
          <w:rFonts w:ascii="Times New Roman" w:hAnsi="Times New Roman"/>
          <w:sz w:val="20"/>
        </w:rPr>
        <w:t>2025, compared to $</w:t>
      </w:r>
      <w:bookmarkStart w:id="658" w:name="fs_YCHHLVMBU800000000000000000000FM"/>
      <w:bookmarkEnd w:id="658"/>
      <w:r>
        <w:rPr>
          <w:rFonts w:ascii="Times New Roman" w:hAnsi="Times New Roman"/>
          <w:sz w:val="20"/>
        </w:rPr>
        <w:t xml:space="preserve">0.8 million in </w:t>
      </w:r>
      <w:bookmarkStart w:id="659" w:name="fs_RX6RF6GYLC00000000000000000000FM"/>
      <w:bookmarkEnd w:id="659"/>
      <w:r>
        <w:rPr>
          <w:rFonts w:ascii="Times New Roman" w:hAnsi="Times New Roman"/>
          <w:sz w:val="20"/>
        </w:rPr>
        <w:t>Q3-</w:t>
      </w:r>
      <w:bookmarkStart w:id="660" w:name="fs_HUKR9G4XBK00000000000000000000FM"/>
      <w:bookmarkEnd w:id="660"/>
      <w:r>
        <w:rPr>
          <w:rFonts w:ascii="Times New Roman" w:hAnsi="Times New Roman"/>
          <w:sz w:val="20"/>
        </w:rPr>
        <w:t xml:space="preserve">2024, while the year-to-date results for the </w:t>
      </w:r>
      <w:bookmarkStart w:id="661" w:name="fs_I1UH4K5R5C00000000000000000000FM"/>
      <w:bookmarkEnd w:id="661"/>
      <w:r>
        <w:rPr>
          <w:rFonts w:ascii="Times New Roman" w:hAnsi="Times New Roman"/>
          <w:sz w:val="20"/>
        </w:rPr>
        <w:t>nine months ended September 30, showed $</w:t>
      </w:r>
      <w:bookmarkStart w:id="662" w:name="fs_Y8H9NCQNAO00000000000000000000FM"/>
      <w:bookmarkEnd w:id="662"/>
      <w:r>
        <w:rPr>
          <w:rFonts w:ascii="Times New Roman" w:hAnsi="Times New Roman"/>
          <w:sz w:val="20"/>
        </w:rPr>
        <w:t xml:space="preserve">2.7 million in </w:t>
      </w:r>
      <w:bookmarkStart w:id="663" w:name="fs_B5CLJ1EZ7K00000000000000000000FM"/>
      <w:bookmarkEnd w:id="663"/>
      <w:r>
        <w:rPr>
          <w:rFonts w:ascii="Times New Roman" w:hAnsi="Times New Roman"/>
          <w:sz w:val="20"/>
        </w:rPr>
        <w:t>2025 compared to $</w:t>
      </w:r>
      <w:bookmarkStart w:id="664" w:name="fs_5FU1X24MJK00000000000000000000FM"/>
      <w:bookmarkEnd w:id="664"/>
      <w:r>
        <w:rPr>
          <w:rFonts w:ascii="Times New Roman" w:hAnsi="Times New Roman"/>
          <w:sz w:val="20"/>
        </w:rPr>
        <w:t xml:space="preserve">2.5 million in </w:t>
      </w:r>
      <w:bookmarkStart w:id="665" w:name="fs_CRYUOA3J7K00000000000000000000FM"/>
      <w:bookmarkEnd w:id="665"/>
      <w:r>
        <w:rPr>
          <w:rFonts w:ascii="Times New Roman" w:hAnsi="Times New Roman"/>
          <w:sz w:val="20"/>
        </w:rPr>
        <w:t>2024. The decrease in comparing the quarterly results was due to a decrease in headcount. The increase in comparing the year-to-date results was primarily due to severance payments made in the Indian subsidiary and severance expense accrued in the US in 2025-Q</w:t>
      </w:r>
      <w:bookmarkStart w:id="666" w:name="fs_G6HZO5G7E800000000000000000000fs"/>
      <w:bookmarkEnd w:id="666"/>
      <w:r>
        <w:rPr>
          <w:rFonts w:ascii="Times New Roman" w:hAnsi="Times New Roman"/>
          <w:sz w:val="20"/>
        </w:rPr>
        <w:t>2 partially offset by reduction in personnel in the US.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i/>
          <w:sz w:val="20"/>
          <w:u w:val="single"/>
        </w:rPr>
        <w:t>General and Administrative</w:t>
      </w:r>
      <w:r>
        <w:rPr>
          <w:rFonts w:ascii="times new roman;times" w:hAnsi="times new roman;times"/>
          <w:sz w:val="20"/>
        </w:rPr>
        <w:t xml:space="preserve"> </w:t>
      </w:r>
      <w:r>
        <w:rPr>
          <w:rFonts w:ascii="Times New Roman" w:hAnsi="Times New Roman"/>
          <w:sz w:val="20"/>
        </w:rPr>
        <w:t>- G&amp;A expenses include employee-related costs, allocations of overhead expenses, litigation costs, and corporate administrative costs, including costs related to operational teams.</w:t>
      </w:r>
    </w:p>
    <w:p>
      <w:pPr>
        <w:pStyle w:val="TextBody"/>
        <w:bidi w:val="0"/>
        <w:spacing w:lineRule="auto" w:line="288" w:before="0" w:after="0"/>
        <w:ind w:left="0" w:right="0" w:hanging="0"/>
        <w:jc w:val="both"/>
        <w:rPr/>
      </w:pPr>
      <w:r>
        <w:rPr/>
        <w:t> </w:t>
      </w:r>
    </w:p>
    <w:p>
      <w:pPr>
        <w:pStyle w:val="TextBody"/>
        <w:widowControl/>
        <w:bidi w:val="0"/>
        <w:spacing w:lineRule="auto" w:line="288" w:before="0" w:after="0"/>
        <w:ind w:left="0" w:right="0" w:hanging="0"/>
        <w:jc w:val="both"/>
        <w:rPr>
          <w:rFonts w:ascii="times new roman;times" w:hAnsi="times new roman;times"/>
          <w:sz w:val="20"/>
        </w:rPr>
      </w:pPr>
      <w:r>
        <w:rPr>
          <w:rFonts w:ascii="Times New Roman" w:hAnsi="Times New Roman"/>
          <w:sz w:val="20"/>
        </w:rPr>
        <w:t>G&amp;A expenses were $</w:t>
      </w:r>
      <w:bookmarkStart w:id="667" w:name="fs_S6TGTIM4SG00000000000000000000FM"/>
      <w:bookmarkEnd w:id="667"/>
      <w:r>
        <w:rPr>
          <w:rFonts w:ascii="Times New Roman" w:hAnsi="Times New Roman"/>
          <w:sz w:val="20"/>
        </w:rPr>
        <w:t xml:space="preserve">0.1 million in </w:t>
      </w:r>
      <w:bookmarkStart w:id="668" w:name="fs_VHR17CQCSG00000000000000000000FM"/>
      <w:bookmarkEnd w:id="668"/>
      <w:r>
        <w:rPr>
          <w:rFonts w:ascii="Times New Roman" w:hAnsi="Times New Roman"/>
          <w:sz w:val="20"/>
        </w:rPr>
        <w:t>Q3-</w:t>
      </w:r>
      <w:bookmarkStart w:id="669" w:name="fs_VSAS8V78AO00000000000000000000FM"/>
      <w:bookmarkEnd w:id="669"/>
      <w:r>
        <w:rPr>
          <w:rFonts w:ascii="Times New Roman" w:hAnsi="Times New Roman"/>
          <w:sz w:val="20"/>
        </w:rPr>
        <w:t>2025, </w:t>
      </w:r>
      <w:r>
        <w:rPr>
          <w:rFonts w:ascii="Times New Roman" w:hAnsi="Times New Roman"/>
          <w:b w:val="false"/>
          <w:color w:val="000000"/>
          <w:spacing w:val="0"/>
          <w:sz w:val="20"/>
        </w:rPr>
        <w:t>compared to</w:t>
      </w:r>
      <w:r>
        <w:rPr>
          <w:rFonts w:ascii="Times New Roman" w:hAnsi="Times New Roman"/>
          <w:sz w:val="20"/>
        </w:rPr>
        <w:t> $</w:t>
      </w:r>
      <w:bookmarkStart w:id="670" w:name="fs_WISCRBDMIO00000000000000000000FM"/>
      <w:bookmarkEnd w:id="670"/>
      <w:r>
        <w:rPr>
          <w:rFonts w:ascii="Times New Roman" w:hAnsi="Times New Roman"/>
          <w:sz w:val="20"/>
        </w:rPr>
        <w:t>0.1 million in </w:t>
      </w:r>
      <w:bookmarkStart w:id="671" w:name="fs_9ST5S5N7R400000000000000000000FM"/>
      <w:bookmarkEnd w:id="671"/>
      <w:r>
        <w:rPr>
          <w:rFonts w:ascii="Times New Roman" w:hAnsi="Times New Roman"/>
          <w:sz w:val="20"/>
        </w:rPr>
        <w:t>Q3-</w:t>
      </w:r>
      <w:bookmarkStart w:id="672" w:name="fs_FO2Y4XJELS00000000000000000000FM"/>
      <w:bookmarkEnd w:id="672"/>
      <w:r>
        <w:rPr>
          <w:rFonts w:ascii="Times New Roman" w:hAnsi="Times New Roman"/>
          <w:sz w:val="20"/>
        </w:rPr>
        <w:t xml:space="preserve">2024, while the year-to-date results for the </w:t>
      </w:r>
      <w:bookmarkStart w:id="673" w:name="fs_TAJBCLTBR400000000000000000000FM"/>
      <w:bookmarkEnd w:id="673"/>
      <w:r>
        <w:rPr>
          <w:rFonts w:ascii="Times New Roman" w:hAnsi="Times New Roman"/>
          <w:sz w:val="20"/>
        </w:rPr>
        <w:t>nine months ended September 30, showed $</w:t>
      </w:r>
      <w:bookmarkStart w:id="674" w:name="fs_4X0NVCG8QO00000000000000000000FM"/>
      <w:bookmarkEnd w:id="674"/>
      <w:r>
        <w:rPr>
          <w:rFonts w:ascii="Times New Roman" w:hAnsi="Times New Roman"/>
          <w:sz w:val="20"/>
        </w:rPr>
        <w:t xml:space="preserve">0.5 million in </w:t>
      </w:r>
      <w:bookmarkStart w:id="675" w:name="fs_NFNB45G6GW00000000000000000000FM"/>
      <w:bookmarkEnd w:id="675"/>
      <w:r>
        <w:rPr>
          <w:rFonts w:ascii="Times New Roman" w:hAnsi="Times New Roman"/>
          <w:sz w:val="20"/>
        </w:rPr>
        <w:t>2025 compared to $</w:t>
      </w:r>
      <w:bookmarkStart w:id="676" w:name="fs_CVZLC6FGDS00000000000000000000FM"/>
      <w:bookmarkEnd w:id="676"/>
      <w:r>
        <w:rPr>
          <w:rFonts w:ascii="Times New Roman" w:hAnsi="Times New Roman"/>
          <w:sz w:val="20"/>
        </w:rPr>
        <w:t xml:space="preserve">0.4 million in </w:t>
      </w:r>
      <w:bookmarkStart w:id="677" w:name="fs_ZFGEWX6C8G00000000000000000000FM"/>
      <w:bookmarkEnd w:id="677"/>
      <w:r>
        <w:rPr>
          <w:rFonts w:ascii="Times New Roman" w:hAnsi="Times New Roman"/>
          <w:sz w:val="20"/>
        </w:rPr>
        <w:t>2024. The increases in comparing both periods were due to increased expenses related to the exploration of strategic alternatives and moving between facilities.</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 w:hAnsi="Times New Roman"/>
          <w:b/>
          <w:i/>
          <w:sz w:val="20"/>
        </w:rPr>
      </w:pPr>
      <w:r>
        <w:rPr>
          <w:rFonts w:ascii="Times New Roman" w:hAnsi="Times New Roman"/>
          <w:b/>
          <w:i/>
          <w:sz w:val="20"/>
        </w:rPr>
        <w:t>Other income (expense), net</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Other income (expense), net includes gain or loss on disposal of assets and impairment charges related to assets being held for sale. Other income for the </w:t>
      </w:r>
      <w:bookmarkStart w:id="678" w:name="fs_BDI4SFMVSG00000000000000000000FM"/>
      <w:bookmarkEnd w:id="678"/>
      <w:r>
        <w:rPr>
          <w:rFonts w:ascii="Times New Roman" w:hAnsi="Times New Roman"/>
          <w:b w:val="false"/>
          <w:i w:val="false"/>
          <w:caps w:val="false"/>
          <w:smallCaps w:val="false"/>
          <w:color w:val="000000"/>
          <w:spacing w:val="0"/>
          <w:sz w:val="20"/>
        </w:rPr>
        <w:t>three and nine months ended </w:t>
      </w:r>
      <w:bookmarkStart w:id="679" w:name="fs_TCXV0LU3YO00000000000000000000FM"/>
      <w:bookmarkEnd w:id="679"/>
      <w:r>
        <w:rPr>
          <w:rFonts w:ascii="Times New Roman" w:hAnsi="Times New Roman"/>
          <w:b w:val="false"/>
          <w:i w:val="false"/>
          <w:caps w:val="false"/>
          <w:smallCaps w:val="false"/>
          <w:color w:val="000000"/>
          <w:spacing w:val="0"/>
          <w:sz w:val="20"/>
        </w:rPr>
        <w:t>September 30, 2025</w:t>
      </w:r>
      <w:r>
        <w:rPr>
          <w:rFonts w:ascii="Times New Roman" w:hAnsi="Times New Roman"/>
          <w:b w:val="false"/>
          <w:i w:val="false"/>
          <w:caps w:val="false"/>
          <w:smallCaps w:val="false"/>
          <w:color w:val="000000"/>
          <w:spacing w:val="0"/>
          <w:sz w:val="20"/>
        </w:rPr>
        <w:t> included a $</w:t>
      </w:r>
      <w:bookmarkStart w:id="680" w:name="fs_7T7MLCWY4000000000000000000000FM"/>
      <w:bookmarkEnd w:id="680"/>
      <w:r>
        <w:rPr>
          <w:rFonts w:ascii="Times New Roman" w:hAnsi="Times New Roman"/>
          <w:b w:val="false"/>
          <w:i w:val="false"/>
          <w:caps w:val="false"/>
          <w:smallCaps w:val="false"/>
          <w:color w:val="000000"/>
          <w:spacing w:val="0"/>
          <w:sz w:val="20"/>
        </w:rPr>
        <w:t>10.7 million charge to impairment related to marking inventory and IP held for sale for fair market value, compared to $</w:t>
      </w:r>
      <w:bookmarkStart w:id="681" w:name="fs_T72NE6OPDC00000000000000000000FM"/>
      <w:bookmarkEnd w:id="681"/>
      <w:r>
        <w:rPr>
          <w:rFonts w:ascii="Times New Roman" w:hAnsi="Times New Roman"/>
          <w:b w:val="false"/>
          <w:i w:val="false"/>
          <w:caps w:val="false"/>
          <w:smallCaps w:val="false"/>
          <w:color w:val="000000"/>
          <w:spacing w:val="0"/>
          <w:sz w:val="20"/>
        </w:rPr>
        <w:t>0.0 million for the </w:t>
      </w:r>
      <w:bookmarkStart w:id="682" w:name="fs_LK19IT98M800000000000000000000FM"/>
      <w:bookmarkEnd w:id="682"/>
      <w:r>
        <w:rPr>
          <w:rFonts w:ascii="Times New Roman" w:hAnsi="Times New Roman"/>
          <w:b w:val="false"/>
          <w:i w:val="false"/>
          <w:caps w:val="false"/>
          <w:smallCaps w:val="false"/>
          <w:color w:val="000000"/>
          <w:spacing w:val="0"/>
          <w:sz w:val="20"/>
        </w:rPr>
        <w:t>three and nine months ended</w:t>
      </w:r>
      <w:r>
        <w:rPr>
          <w:rFonts w:ascii="Times New Roman" w:hAnsi="Times New Roman"/>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 xml:space="preserve">September </w:t>
      </w:r>
      <w:bookmarkStart w:id="683" w:name="fs_9WT95PMU9S00000000000000000000FM"/>
      <w:bookmarkEnd w:id="683"/>
      <w:r>
        <w:rPr>
          <w:rFonts w:ascii="Times New Roman" w:hAnsi="Times New Roman"/>
          <w:b w:val="false"/>
          <w:i w:val="false"/>
          <w:caps w:val="false"/>
          <w:smallCaps w:val="false"/>
          <w:color w:val="000000"/>
          <w:spacing w:val="0"/>
          <w:sz w:val="20"/>
        </w:rPr>
        <w:t>2024</w:t>
      </w:r>
      <w:r>
        <w:rPr>
          <w:rFonts w:ascii="Times New Roman" w:hAnsi="Times New Roman"/>
          <w:b w:val="false"/>
          <w:i w:val="false"/>
          <w:caps w:val="false"/>
          <w:smallCaps w:val="false"/>
          <w:color w:val="000000"/>
          <w:spacing w:val="0"/>
          <w:sz w:val="20"/>
        </w:rPr>
        <w:t>.</w:t>
      </w:r>
    </w:p>
    <w:p>
      <w:pPr>
        <w:pStyle w:val="TextBody"/>
        <w:widowControl/>
        <w:bidi w:val="0"/>
        <w:spacing w:before="0" w:after="0"/>
        <w:ind w:left="0" w:right="0" w:hanging="0"/>
        <w:jc w:val="left"/>
        <w:rPr/>
      </w:pPr>
      <w:r>
        <w:rPr/>
      </w:r>
    </w:p>
    <w:p>
      <w:pPr>
        <w:pStyle w:val="TextBody"/>
        <w:widowControl/>
        <w:bidi w:val="0"/>
        <w:spacing w:before="0" w:after="0"/>
        <w:ind w:left="0" w:right="0" w:hanging="0"/>
        <w:jc w:val="left"/>
        <w:rPr>
          <w:rFonts w:ascii="Times New Roman" w:hAnsi="Times New Roman"/>
          <w:b/>
          <w:i/>
          <w:caps w:val="false"/>
          <w:smallCaps w:val="false"/>
          <w:color w:val="000000"/>
          <w:spacing w:val="0"/>
          <w:sz w:val="20"/>
        </w:rPr>
      </w:pPr>
      <w:r>
        <w:rPr>
          <w:rFonts w:ascii="Times New Roman" w:hAnsi="Times New Roman"/>
          <w:b/>
          <w:i/>
          <w:caps w:val="false"/>
          <w:smallCaps w:val="false"/>
          <w:color w:val="000000"/>
          <w:spacing w:val="0"/>
          <w:sz w:val="20"/>
        </w:rPr>
        <w:t>Provision for income taxes</w:t>
      </w:r>
    </w:p>
    <w:p>
      <w:pPr>
        <w:pStyle w:val="TextBody"/>
        <w:bidi w:val="0"/>
        <w:spacing w:lineRule="auto" w:line="288" w:before="0" w:after="0"/>
        <w:ind w:left="0" w:right="0" w:hanging="0"/>
        <w:jc w:val="both"/>
        <w:rPr/>
      </w:pPr>
      <w:r>
        <w:rPr/>
        <w:t> </w:t>
      </w:r>
    </w:p>
    <w:p>
      <w:pPr>
        <w:pStyle w:val="TextBody"/>
        <w:widowControl/>
        <w:bidi w:val="0"/>
        <w:spacing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During each of the </w:t>
      </w:r>
      <w:bookmarkStart w:id="684" w:name="fs_SEFJYLMJ5C00000000000000000000FM"/>
      <w:bookmarkEnd w:id="684"/>
      <w:r>
        <w:rPr>
          <w:rFonts w:ascii="times new roman;times" w:hAnsi="times new roman;times"/>
          <w:b w:val="false"/>
          <w:i w:val="false"/>
          <w:caps w:val="false"/>
          <w:smallCaps w:val="false"/>
          <w:color w:val="000000"/>
          <w:spacing w:val="0"/>
          <w:sz w:val="20"/>
        </w:rPr>
        <w:t xml:space="preserve">nine months ended </w:t>
      </w:r>
      <w:bookmarkStart w:id="685" w:name="fs_K65E27I60W00000000000000000000FM"/>
      <w:bookmarkEnd w:id="685"/>
      <w:r>
        <w:rPr>
          <w:rFonts w:ascii="times new roman;times" w:hAnsi="times new roman;times"/>
          <w:b w:val="false"/>
          <w:i w:val="false"/>
          <w:caps w:val="false"/>
          <w:smallCaps w:val="false"/>
          <w:color w:val="000000"/>
          <w:spacing w:val="0"/>
          <w:sz w:val="20"/>
        </w:rPr>
        <w:t>September 30, 2025 and </w:t>
      </w:r>
      <w:bookmarkStart w:id="686" w:name="fs_DEVUVJ6U1C00000000000000000000fs"/>
      <w:bookmarkEnd w:id="686"/>
      <w:r>
        <w:rPr>
          <w:rFonts w:ascii="times new roman;times" w:hAnsi="times new roman;times"/>
          <w:b w:val="false"/>
          <w:i w:val="false"/>
          <w:caps w:val="false"/>
          <w:smallCaps w:val="false"/>
          <w:color w:val="000000"/>
          <w:spacing w:val="0"/>
          <w:sz w:val="20"/>
        </w:rPr>
        <w:t>2024</w:t>
      </w:r>
      <w:r>
        <w:rPr>
          <w:rFonts w:ascii="times new roman;times" w:hAnsi="times new roman;times"/>
          <w:b w:val="false"/>
          <w:i w:val="false"/>
          <w:caps w:val="false"/>
          <w:smallCaps w:val="false"/>
          <w:color w:val="000000"/>
          <w:spacing w:val="0"/>
          <w:sz w:val="20"/>
        </w:rPr>
        <w:t>, we did not recognize any benefit from the losses incurred due to having a full valuation allowance on net deferred income taxes.</w:t>
      </w:r>
    </w:p>
    <w:p>
      <w:pPr>
        <w:pStyle w:val="TextBody"/>
        <w:widowControl/>
        <w:bidi w:val="0"/>
        <w:spacing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bookmarkStart w:id="687" w:name="PageBreakNo28"/>
            <w:bookmarkEnd w:id="687"/>
            <w:r>
              <w:rPr>
                <w:sz w:val="20"/>
              </w:rPr>
              <w:t>28</w:t>
            </w:r>
          </w:p>
        </w:tc>
      </w:tr>
    </w:tbl>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0" w:after="0"/>
        <w:jc w:val="left"/>
        <w:rPr/>
      </w:pPr>
      <w:r>
        <w:rPr/>
      </w:r>
    </w:p>
    <w:p>
      <w:pPr>
        <w:pStyle w:val="TextBody"/>
        <w:bidi w:val="0"/>
        <w:spacing w:before="0" w:after="0"/>
        <w:jc w:val="left"/>
        <w:rPr/>
      </w:pPr>
      <w:hyperlink w:anchor="TOC">
        <w:r>
          <w:rPr>
            <w:rStyle w:val="InternetLink"/>
            <w:sz w:val="20"/>
          </w:rPr>
          <w:t>Table of Contents</w:t>
        </w:r>
      </w:hyperlink>
    </w:p>
    <w:p>
      <w:pPr>
        <w:pStyle w:val="TextBody"/>
        <w:bidi w:val="0"/>
        <w:spacing w:lineRule="auto" w:line="288" w:before="0" w:after="0"/>
        <w:ind w:left="0" w:right="0" w:hanging="0"/>
        <w:jc w:val="both"/>
        <w:rPr/>
      </w:pPr>
      <w:r>
        <w:rPr/>
        <w:t> </w:t>
      </w:r>
    </w:p>
    <w:p>
      <w:pPr>
        <w:pStyle w:val="TextBody"/>
        <w:bidi w:val="0"/>
        <w:spacing w:lineRule="auto" w:line="288"/>
        <w:ind w:left="0" w:right="0" w:hanging="0"/>
        <w:jc w:val="both"/>
        <w:rPr/>
      </w:pPr>
      <w:hyperlink r:id="rId13">
        <w:bookmarkStart w:id="688" w:name="BH_U66773D7WW00000000000000000000"/>
        <w:bookmarkEnd w:id="688"/>
        <w:r>
          <w:rPr>
            <w:rStyle w:val="InternetLink"/>
            <w:rFonts w:ascii="Times New Roman" w:hAnsi="Times New Roman"/>
            <w:b/>
            <w:caps/>
            <w:strike w:val="false"/>
            <w:dstrike w:val="false"/>
            <w:color w:val="000000"/>
            <w:sz w:val="20"/>
            <w:u w:val="none"/>
            <w:effect w:val="none"/>
          </w:rPr>
          <w:t>Item 3.</w:t>
        </w:r>
      </w:hyperlink>
      <w:hyperlink r:id="rId14">
        <w:r>
          <w:rPr>
            <w:rStyle w:val="InternetLink"/>
            <w:rFonts w:ascii="times new roman;times" w:hAnsi="times new roman;times"/>
            <w:caps/>
            <w:strike w:val="false"/>
            <w:dstrike w:val="false"/>
            <w:color w:val="000000"/>
            <w:sz w:val="20"/>
            <w:u w:val="none"/>
            <w:effect w:val="none"/>
          </w:rPr>
          <w:t xml:space="preserve">     </w:t>
        </w:r>
      </w:hyperlink>
      <w:hyperlink r:id="rId15">
        <w:r>
          <w:rPr>
            <w:rStyle w:val="InternetLink"/>
            <w:rFonts w:ascii="Times New Roman" w:hAnsi="Times New Roman"/>
            <w:b/>
            <w:caps/>
            <w:strike w:val="false"/>
            <w:dstrike w:val="false"/>
            <w:color w:val="000000"/>
            <w:sz w:val="20"/>
            <w:u w:val="none"/>
            <w:effect w:val="none"/>
          </w:rPr>
          <w:t>QUANTITATIVE AND QUALITATIVE DISCLOSURES ABOUT MARKET RISK</w:t>
        </w:r>
      </w:hyperlink>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Not applicable.</w:t>
      </w:r>
    </w:p>
    <w:p>
      <w:pPr>
        <w:pStyle w:val="TextBody"/>
        <w:bidi w:val="0"/>
        <w:spacing w:lineRule="auto" w:line="288" w:before="0" w:after="0"/>
        <w:ind w:left="0" w:right="0" w:hanging="0"/>
        <w:jc w:val="left"/>
        <w:rPr/>
      </w:pPr>
      <w:r>
        <w:rPr/>
        <w:t> </w:t>
      </w:r>
    </w:p>
    <w:p>
      <w:pPr>
        <w:pStyle w:val="TextBody"/>
        <w:bidi w:val="0"/>
        <w:spacing w:lineRule="auto" w:line="288"/>
        <w:ind w:left="0" w:right="0" w:hanging="0"/>
        <w:jc w:val="left"/>
        <w:rPr/>
      </w:pPr>
      <w:hyperlink r:id="rId16">
        <w:bookmarkStart w:id="689" w:name="BI_L8KHXR82WW00000000000000000000"/>
        <w:bookmarkEnd w:id="689"/>
        <w:r>
          <w:rPr>
            <w:rStyle w:val="InternetLink"/>
            <w:rFonts w:ascii="Times New Roman" w:hAnsi="Times New Roman"/>
            <w:b/>
            <w:strike w:val="false"/>
            <w:dstrike w:val="false"/>
            <w:color w:val="000000"/>
            <w:sz w:val="20"/>
            <w:u w:val="none"/>
            <w:effect w:val="none"/>
          </w:rPr>
          <w:t>ITEM</w:t>
        </w:r>
      </w:hyperlink>
      <w:hyperlink r:id="rId17">
        <w:r>
          <w:rPr>
            <w:rStyle w:val="InternetLink"/>
            <w:rFonts w:ascii="times new roman;times" w:hAnsi="times new roman;times"/>
            <w:strike w:val="false"/>
            <w:dstrike w:val="false"/>
            <w:color w:val="000000"/>
            <w:sz w:val="20"/>
            <w:u w:val="none"/>
            <w:effect w:val="none"/>
          </w:rPr>
          <w:t> </w:t>
        </w:r>
      </w:hyperlink>
      <w:hyperlink r:id="rId18">
        <w:r>
          <w:rPr>
            <w:rStyle w:val="InternetLink"/>
            <w:rFonts w:ascii="Times New Roman" w:hAnsi="Times New Roman"/>
            <w:b/>
            <w:strike w:val="false"/>
            <w:dstrike w:val="false"/>
            <w:color w:val="000000"/>
            <w:sz w:val="20"/>
            <w:u w:val="none"/>
            <w:effect w:val="none"/>
          </w:rPr>
          <w:t>4.</w:t>
        </w:r>
      </w:hyperlink>
      <w:hyperlink r:id="rId19">
        <w:r>
          <w:rPr>
            <w:rStyle w:val="InternetLink"/>
            <w:rFonts w:ascii="times new roman;times" w:hAnsi="times new roman;times"/>
            <w:strike w:val="false"/>
            <w:dstrike w:val="false"/>
            <w:color w:val="000000"/>
            <w:sz w:val="20"/>
            <w:u w:val="none"/>
            <w:effect w:val="none"/>
          </w:rPr>
          <w:t>     </w:t>
        </w:r>
      </w:hyperlink>
      <w:hyperlink r:id="rId20">
        <w:r>
          <w:rPr>
            <w:rStyle w:val="InternetLink"/>
            <w:rFonts w:ascii="Times New Roman" w:hAnsi="Times New Roman"/>
            <w:b/>
            <w:strike w:val="false"/>
            <w:dstrike w:val="false"/>
            <w:color w:val="000000"/>
            <w:sz w:val="20"/>
            <w:u w:val="none"/>
            <w:effect w:val="none"/>
          </w:rPr>
          <w:t>CONTROLS AND PROCEDURES</w:t>
        </w:r>
      </w:hyperlink>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 xml:space="preserve">An evaluation of the effectiveness of our disclosure controls and procedures (as defined in Rules 13a-15(e) and 15d-15(e) of the Exchange Act) as of </w:t>
      </w:r>
      <w:bookmarkStart w:id="690" w:name="fs_NDRI6HQAA800000000000000000000FM"/>
      <w:bookmarkEnd w:id="690"/>
      <w:r>
        <w:rPr>
          <w:rFonts w:ascii="Times New Roman" w:hAnsi="Times New Roman"/>
          <w:sz w:val="20"/>
        </w:rPr>
        <w:t>September 30, 2025</w:t>
      </w:r>
      <w:r>
        <w:rPr>
          <w:rFonts w:ascii="times new roman;times" w:hAnsi="times new roman;times"/>
          <w:sz w:val="20"/>
        </w:rPr>
        <w:t> </w:t>
      </w:r>
      <w:r>
        <w:rPr>
          <w:rFonts w:ascii="Times New Roman" w:hAnsi="Times New Roman"/>
          <w:sz w:val="20"/>
        </w:rPr>
        <w:t xml:space="preserve">was performed under the supervision and with the participation of our management, including our Chief Executive Officer and our Principal Financial and Accounting Officer. Based upon this evaluation, our Chief Executive Officer and Chief Financial Officer concluded that, as of the end of the period covered by this Quarterly Report, our disclosure controls and procedures are effective at a reasonable assurance level as of </w:t>
      </w:r>
      <w:bookmarkStart w:id="691" w:name="fs_RL683YZN7K00000000000000000000FM"/>
      <w:bookmarkEnd w:id="691"/>
      <w:r>
        <w:rPr>
          <w:rFonts w:ascii="Times New Roman" w:hAnsi="Times New Roman"/>
          <w:sz w:val="20"/>
        </w:rPr>
        <w:t>September 30, 2025.</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 xml:space="preserve">There has been no change in the Company's internal control over financial reporting as of </w:t>
      </w:r>
      <w:bookmarkStart w:id="692" w:name="fs_219WLC9GSG00000000000000000000FM"/>
      <w:bookmarkEnd w:id="692"/>
      <w:r>
        <w:rPr>
          <w:rFonts w:ascii="Times New Roman" w:hAnsi="Times New Roman"/>
          <w:sz w:val="20"/>
        </w:rPr>
        <w:t>September 30, 2025, that has materially affected, or is reasonably likely to materially affect, the Company's internal control over financial reporting. </w:t>
      </w:r>
    </w:p>
    <w:p>
      <w:pPr>
        <w:pStyle w:val="TextBody"/>
        <w:bidi w:val="0"/>
        <w:spacing w:before="0" w:after="0"/>
        <w:ind w:left="0" w:right="0" w:hanging="0"/>
        <w:jc w:val="both"/>
        <w:rPr/>
      </w:pPr>
      <w:r>
        <w:rPr/>
        <w:t> </w:t>
      </w:r>
    </w:p>
    <w:p>
      <w:pPr>
        <w:pStyle w:val="TextBody"/>
        <w:bidi w:val="0"/>
        <w:spacing w:lineRule="auto" w:line="288" w:before="0" w:after="0"/>
        <w:ind w:left="0" w:right="0" w:hanging="0"/>
        <w:jc w:val="both"/>
        <w:rPr/>
      </w:pPr>
      <w:hyperlink w:anchor="TOC">
        <w:bookmarkStart w:id="693" w:name="BJ_TSTI5UOPUO00000000000000000000"/>
        <w:bookmarkEnd w:id="693"/>
        <w:r>
          <w:rPr>
            <w:rStyle w:val="InternetLink"/>
            <w:rFonts w:ascii="Times New Roman" w:hAnsi="Times New Roman"/>
            <w:b/>
            <w:strike w:val="false"/>
            <w:dstrike w:val="false"/>
            <w:color w:val="000000"/>
            <w:sz w:val="20"/>
            <w:u w:val="none"/>
            <w:effect w:val="none"/>
          </w:rPr>
          <w:t>PART II - OTHER INFORMATION</w:t>
        </w:r>
      </w:hyperlink>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pPr>
      <w:hyperlink w:anchor="TOC">
        <w:bookmarkStart w:id="694" w:name="BK_UH0QH1ST6800000000000000000000"/>
        <w:bookmarkEnd w:id="694"/>
        <w:r>
          <w:rPr>
            <w:rStyle w:val="InternetLink"/>
            <w:rFonts w:ascii="Times New Roman" w:hAnsi="Times New Roman"/>
            <w:b/>
            <w:strike w:val="false"/>
            <w:dstrike w:val="false"/>
            <w:color w:val="000000"/>
            <w:sz w:val="20"/>
            <w:u w:val="none"/>
            <w:effect w:val="none"/>
          </w:rPr>
          <w:t>Item 1. LEGAL PROCEEDINGS</w:t>
        </w:r>
      </w:hyperlink>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sz w:val="20"/>
        </w:rPr>
      </w:pPr>
      <w:r>
        <w:rPr>
          <w:sz w:val="20"/>
        </w:rPr>
        <w:t>The Company is a party to certain legal proceedings arising in the ordinary course of business.</w:t>
      </w:r>
    </w:p>
    <w:p>
      <w:pPr>
        <w:pStyle w:val="TextBody"/>
        <w:bidi w:val="0"/>
        <w:spacing w:lineRule="auto" w:line="288" w:before="0" w:after="0"/>
        <w:ind w:left="0" w:right="0" w:hanging="0"/>
        <w:jc w:val="left"/>
        <w:rPr/>
      </w:pPr>
      <w:r>
        <w:rPr/>
        <w:t> </w:t>
      </w:r>
    </w:p>
    <w:p>
      <w:pPr>
        <w:pStyle w:val="TextBody"/>
        <w:pBdr/>
        <w:bidi w:val="0"/>
        <w:spacing w:lineRule="auto" w:line="288" w:before="0" w:after="0"/>
        <w:ind w:left="0" w:right="0" w:hanging="0"/>
        <w:jc w:val="left"/>
        <w:rPr>
          <w:rFonts w:ascii="Times New Roman" w:hAnsi="Times New Roman"/>
          <w:sz w:val="20"/>
        </w:rPr>
      </w:pPr>
      <w:r>
        <w:rPr>
          <w:rFonts w:ascii="Times New Roman" w:hAnsi="Times New Roman"/>
          <w:sz w:val="20"/>
        </w:rPr>
        <w:t>On June 26, 2025, ClearOne Spain, SL (“ClearOne Spain”), the Company’s wholly-owned subsidiary in Spain, delivered notices to its employees of the ClearOne Spain’s intention to terminate certain employees in connection with the Company’s reduction in force that it initiated on June 20, 2025. On August 2, 2025, eight former employees of ClearOne Spain filed a claim with the High Court of Justice of Aragon Spain against the Company and ClearOne Spain claiming wrongful termination and seeking unspecified statutory compensation as damages (the “Spanish Proceeding”).</w:t>
      </w:r>
    </w:p>
    <w:p>
      <w:pPr>
        <w:pStyle w:val="TextBody"/>
        <w:pBdr/>
        <w:bidi w:val="0"/>
        <w:spacing w:lineRule="auto" w:line="288" w:before="0" w:after="0"/>
        <w:ind w:left="0" w:right="0" w:hanging="0"/>
        <w:jc w:val="left"/>
        <w:rPr/>
      </w:pPr>
      <w:r>
        <w:rPr/>
        <w:t> </w:t>
      </w:r>
    </w:p>
    <w:p>
      <w:pPr>
        <w:pStyle w:val="TextBody"/>
        <w:pBdr/>
        <w:bidi w:val="0"/>
        <w:spacing w:lineRule="auto" w:line="288" w:before="0" w:after="0"/>
        <w:ind w:left="0" w:right="0" w:hanging="0"/>
        <w:jc w:val="left"/>
        <w:rPr>
          <w:rFonts w:ascii="Times New Roman" w:hAnsi="Times New Roman"/>
          <w:sz w:val="20"/>
        </w:rPr>
      </w:pPr>
      <w:r>
        <w:rPr>
          <w:rFonts w:ascii="Times New Roman" w:hAnsi="Times New Roman"/>
          <w:sz w:val="20"/>
        </w:rPr>
        <w:t>The Company intends to defend the claims against the Company and ClearOne Spain in the Spanish Proceeding and may appeal any adverse judgements and awards of damages. It is not possible at this time to predict any outcome with respect to the Spanish Proceeding or to estimate the potential financial impact on the Company in the event of any adverse judgment against the Company and ClearOne Spain in the Spanish Proceeding. Any adverse judgment could have a material adverse effect on the Company and its financial condition and results of operations.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pPr>
      <w:hyperlink w:anchor="TOC">
        <w:bookmarkStart w:id="695" w:name="BL_C8C33AXDV400000000000000000000"/>
        <w:bookmarkEnd w:id="695"/>
        <w:r>
          <w:rPr>
            <w:rStyle w:val="InternetLink"/>
            <w:rFonts w:ascii="Times New Roman" w:hAnsi="Times New Roman"/>
            <w:b/>
            <w:strike w:val="false"/>
            <w:dstrike w:val="false"/>
            <w:color w:val="000000"/>
            <w:sz w:val="20"/>
            <w:u w:val="none"/>
            <w:effect w:val="none"/>
          </w:rPr>
          <w:t>Item 1A. RISK FACTORS</w:t>
        </w:r>
      </w:hyperlink>
    </w:p>
    <w:p>
      <w:pPr>
        <w:pStyle w:val="TextBody"/>
        <w:bidi w:val="0"/>
        <w:spacing w:lineRule="auto" w:line="288" w:before="0" w:after="0"/>
        <w:ind w:left="0" w:right="0" w:hanging="0"/>
        <w:jc w:val="both"/>
        <w:rPr>
          <w:rFonts w:ascii="Times New Roman" w:hAnsi="Times New Roman"/>
          <w:b/>
        </w:rPr>
      </w:pPr>
      <w:r>
        <w:rPr>
          <w:rFonts w:ascii="Times New Roman" w:hAnsi="Times New Roman"/>
          <w:b/>
        </w:rPr>
      </w:r>
    </w:p>
    <w:p>
      <w:pPr>
        <w:pStyle w:val="TextBody"/>
        <w:bidi w:val="0"/>
        <w:spacing w:lineRule="auto" w:line="288" w:before="0" w:after="0"/>
        <w:ind w:left="0" w:right="0" w:hanging="0"/>
        <w:jc w:val="both"/>
        <w:rPr>
          <w:rFonts w:ascii="Times New Roman;serif" w:hAnsi="Times New Roman;serif"/>
          <w:sz w:val="20"/>
        </w:rPr>
      </w:pPr>
      <w:r>
        <w:rPr>
          <w:rFonts w:ascii="Times New Roman;serif" w:hAnsi="Times New Roman;serif"/>
          <w:sz w:val="20"/>
        </w:rPr>
        <w:t xml:space="preserve">The risk factors set forth under Part I, Item 1A of our Annual Report on Form 10-K for the year ended </w:t>
      </w:r>
      <w:bookmarkStart w:id="696" w:name="fs_FFMJXU2S4G00000000000000000000FM"/>
      <w:bookmarkEnd w:id="696"/>
      <w:r>
        <w:rPr>
          <w:rFonts w:ascii="Times New Roman;serif" w:hAnsi="Times New Roman;serif"/>
          <w:sz w:val="20"/>
        </w:rPr>
        <w:t>December 31, 2024 and Part II, Item 1A of our Current Report on Form 10-Q for the quarter ended June 30, 2025 are hereby supplemented and amended with the following additional risk factor:</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i/>
          <w:color w:val="000000"/>
          <w:sz w:val="20"/>
        </w:rPr>
      </w:pPr>
      <w:r>
        <w:rPr>
          <w:rFonts w:ascii="times new roman;times" w:hAnsi="times new roman;times"/>
          <w:i/>
          <w:color w:val="000000"/>
          <w:sz w:val="20"/>
        </w:rPr>
        <w:t>Risks Related to Our Reduced Operations Following Completion of the Asset Disposition to Biamp Systems </w:t>
      </w:r>
    </w:p>
    <w:p>
      <w:pPr>
        <w:pStyle w:val="TextBody"/>
        <w:bidi w:val="0"/>
        <w:spacing w:lineRule="auto" w:line="288" w:before="200" w:after="200"/>
        <w:ind w:left="0" w:right="0" w:hanging="0"/>
        <w:jc w:val="both"/>
        <w:rPr>
          <w:rFonts w:ascii="times new roman;times" w:hAnsi="times new roman;times"/>
          <w:sz w:val="20"/>
        </w:rPr>
      </w:pPr>
      <w:r>
        <w:rPr>
          <w:rFonts w:ascii="times new roman;times" w:hAnsi="times new roman;times"/>
          <w:sz w:val="20"/>
        </w:rPr>
        <w:t xml:space="preserve">Under the terms of the Certificate of Designation for our Class A Redeemable Preferred Stock, the net proceeds of the Asset Disposition to Biamp Systems can only be used to redeem the Class A Redeemable Preferred Stock and are not available for ongoing operations, other than permitted transaction costs, which could constrain liquidity and accelerate the need for additional financing. (See Note 3 and MD&amp;A — </w:t>
      </w:r>
      <w:r>
        <w:rPr>
          <w:rFonts w:ascii="times new roman;times" w:hAnsi="times new roman;times"/>
          <w:i/>
          <w:sz w:val="20"/>
        </w:rPr>
        <w:t>Liquidity</w:t>
      </w:r>
      <w:r>
        <w:rPr>
          <w:rFonts w:ascii="times new roman;times" w:hAnsi="times new roman;times"/>
          <w:sz w:val="20"/>
        </w:rPr>
        <w:t>.)</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We will continue to offer product support and warranty services to our customers while we pursue a Strategic Transaction in the fourth quarter of 2025. Warranty claim rates and repair costs are uncertain. If actual claim volume, parts availability, labor rates, and logistics costs exceed estimates, our failure to obtain additional financing would have a material adverse effect on our business and results of operations.</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i/>
          <w:sz w:val="20"/>
        </w:rPr>
      </w:pPr>
      <w:r>
        <w:rPr>
          <w:rFonts w:ascii="times new roman;times" w:hAnsi="times new roman;times"/>
          <w:i/>
          <w:sz w:val="20"/>
        </w:rPr>
        <w:t>Risks Related to Our Pursuit of Strategic Transactions</w:t>
      </w:r>
    </w:p>
    <w:p>
      <w:pPr>
        <w:pStyle w:val="TextBody"/>
        <w:bidi w:val="0"/>
        <w:spacing w:lineRule="auto" w:line="288" w:before="0" w:after="0"/>
        <w:ind w:left="0" w:right="0" w:hanging="0"/>
        <w:jc w:val="left"/>
        <w:rPr>
          <w:i/>
        </w:rPr>
      </w:pPr>
      <w:r>
        <w:rPr>
          <w:i/>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As a publicly traded company, we are susceptible to potential creditor or stockholder claims relating to any Strategic Transactions that we may consummate, including the recently completed Asset Disposition to Biamp Systems. Any such legal challengers could delay the completion of any possible Strategic Transactions and reduce the amount of consideration available to the Company’s stockholders in connection with any such transactions and have a material adverse effect on our business and results of operations.</w:t>
      </w:r>
    </w:p>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bookmarkStart w:id="697" w:name="PageBreakNo29"/>
            <w:bookmarkEnd w:id="697"/>
            <w:r>
              <w:rPr>
                <w:sz w:val="20"/>
              </w:rPr>
              <w:t>29</w:t>
            </w:r>
          </w:p>
        </w:tc>
      </w:tr>
    </w:tbl>
    <w:p>
      <w:pPr>
        <w:pStyle w:val="HorizontalLine"/>
        <w:bidi w:val="0"/>
        <w:spacing w:lineRule="auto" w:line="288" w:before="0" w:after="0"/>
        <w:jc w:val="left"/>
        <w:rPr/>
      </w:pPr>
      <w:r>
        <w:rPr/>
      </w:r>
    </w:p>
    <w:p>
      <w:pPr>
        <w:pStyle w:val="TextBody"/>
        <w:bidi w:val="0"/>
        <w:spacing w:lineRule="auto" w:line="288" w:before="0" w:after="0"/>
        <w:jc w:val="left"/>
        <w:rPr/>
      </w:pPr>
      <w:hyperlink w:anchor="TOC">
        <w:r>
          <w:rPr>
            <w:rStyle w:val="InternetLink"/>
            <w:rFonts w:ascii="times new roman;times" w:hAnsi="times new roman;times"/>
            <w:sz w:val="20"/>
          </w:rPr>
          <w:t>Table of Contents</w:t>
        </w:r>
      </w:hyperlink>
    </w:p>
    <w:p>
      <w:pPr>
        <w:pStyle w:val="TextBody"/>
        <w:widowControl/>
        <w:bidi w:val="0"/>
        <w:spacing w:lineRule="auto" w:line="288" w:before="0" w:after="0"/>
        <w:ind w:left="0" w:right="0" w:hanging="0"/>
        <w:jc w:val="left"/>
        <w:rPr/>
      </w:pPr>
      <w:r>
        <w:rPr/>
      </w:r>
    </w:p>
    <w:p>
      <w:pPr>
        <w:pStyle w:val="TextBody"/>
        <w:bidi w:val="0"/>
        <w:spacing w:lineRule="auto" w:line="288" w:before="0" w:after="0"/>
        <w:ind w:left="0" w:right="0" w:hanging="0"/>
        <w:jc w:val="both"/>
        <w:rPr/>
      </w:pPr>
      <w:hyperlink w:anchor="TOC">
        <w:bookmarkStart w:id="698" w:name="BM_PXV2XAM1KG00000000000000000000"/>
        <w:bookmarkEnd w:id="698"/>
        <w:r>
          <w:rPr>
            <w:rStyle w:val="InternetLink"/>
            <w:rFonts w:ascii="Times New Roman" w:hAnsi="Times New Roman"/>
            <w:b/>
            <w:strike w:val="false"/>
            <w:dstrike w:val="false"/>
            <w:color w:val="000000"/>
            <w:sz w:val="20"/>
            <w:u w:val="none"/>
            <w:effect w:val="none"/>
          </w:rPr>
          <w:t>Item 2. UNREGISTERED SALES OF EQUITY SECURITIES AND USE OF PROCEEDS</w:t>
        </w:r>
      </w:hyperlink>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(a) </w:t>
      </w:r>
      <w:r>
        <w:rPr>
          <w:rFonts w:ascii="times new roman;times" w:hAnsi="times new roman;times"/>
          <w:sz w:val="20"/>
        </w:rPr>
        <w:t>None.</w:t>
      </w:r>
    </w:p>
    <w:p>
      <w:pPr>
        <w:pStyle w:val="TextBody"/>
        <w:bidi w:val="0"/>
        <w:spacing w:lineRule="auto" w:line="288" w:before="0" w:after="0"/>
        <w:ind w:left="0" w:right="0" w:hanging="0"/>
        <w:jc w:val="both"/>
        <w:rPr>
          <w:sz w:val="20"/>
        </w:rPr>
      </w:pPr>
      <w:r>
        <w:rPr>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(b) Not applicable.</w:t>
      </w:r>
    </w:p>
    <w:p>
      <w:pPr>
        <w:pStyle w:val="TextBody"/>
        <w:bidi w:val="0"/>
        <w:spacing w:lineRule="auto" w:line="288" w:before="0" w:after="0"/>
        <w:ind w:left="0" w:right="0" w:hanging="0"/>
        <w:jc w:val="both"/>
        <w:rPr>
          <w:sz w:val="20"/>
        </w:rPr>
      </w:pPr>
      <w:r>
        <w:rPr>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(c) None. </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r>
    </w:p>
    <w:p>
      <w:pPr>
        <w:pStyle w:val="TextBody"/>
        <w:bidi w:val="0"/>
        <w:spacing w:lineRule="auto" w:line="288" w:before="0" w:after="0"/>
        <w:ind w:left="0" w:right="0" w:hanging="0"/>
        <w:jc w:val="both"/>
        <w:rPr/>
      </w:pPr>
      <w:hyperlink w:anchor="TOC">
        <w:bookmarkStart w:id="699" w:name="BN_EVKECWSW2800000000000000000000"/>
        <w:bookmarkEnd w:id="699"/>
        <w:r>
          <w:rPr>
            <w:rStyle w:val="InternetLink"/>
            <w:rFonts w:ascii="Times New Roman" w:hAnsi="Times New Roman"/>
            <w:b/>
            <w:strike w:val="false"/>
            <w:dstrike w:val="false"/>
            <w:color w:val="000000"/>
            <w:sz w:val="20"/>
            <w:u w:val="none"/>
            <w:effect w:val="none"/>
          </w:rPr>
          <w:t>Item 3. DEFAULTS UPON SENIOR SECURITIES</w:t>
        </w:r>
      </w:hyperlink>
    </w:p>
    <w:p>
      <w:pPr>
        <w:pStyle w:val="TextBody"/>
        <w:bidi w:val="0"/>
        <w:spacing w:lineRule="auto" w:line="288" w:before="0" w:after="0"/>
        <w:ind w:left="0" w:right="0" w:hanging="0"/>
        <w:jc w:val="both"/>
        <w:rPr/>
      </w:pPr>
      <w:r>
        <w:rPr/>
        <w:t> </w:t>
      </w:r>
    </w:p>
    <w:p>
      <w:pPr>
        <w:pStyle w:val="TextBody"/>
        <w:widowControl/>
        <w:bidi w:val="0"/>
        <w:spacing w:lineRule="auto" w:line="240"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(a) </w:t>
      </w:r>
      <w:r>
        <w:rPr>
          <w:rFonts w:ascii="times new roman;times" w:hAnsi="times new roman;times"/>
          <w:b w:val="false"/>
          <w:i w:val="false"/>
          <w:caps w:val="false"/>
          <w:smallCaps w:val="false"/>
          <w:color w:val="000000"/>
          <w:spacing w:val="0"/>
          <w:sz w:val="20"/>
        </w:rPr>
        <w:t>Not applicable.</w:t>
      </w:r>
    </w:p>
    <w:p>
      <w:pPr>
        <w:pStyle w:val="TextBody"/>
        <w:widowControl/>
        <w:bidi w:val="0"/>
        <w:spacing w:lineRule="auto" w:line="240" w:before="0" w:after="0"/>
        <w:ind w:left="0" w:right="0" w:hanging="0"/>
        <w:jc w:val="both"/>
        <w:rPr>
          <w:sz w:val="20"/>
        </w:rPr>
      </w:pPr>
      <w:r>
        <w:rPr>
          <w:sz w:val="20"/>
        </w:rPr>
      </w:r>
    </w:p>
    <w:p>
      <w:pPr>
        <w:pStyle w:val="TextBody"/>
        <w:widowControl/>
        <w:bidi w:val="0"/>
        <w:spacing w:lineRule="auto" w:line="240"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(b) Not applicable.</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pPr>
      <w:hyperlink w:anchor="TOC">
        <w:bookmarkStart w:id="700" w:name="BO_VVB037J0C000000000000000000000"/>
        <w:bookmarkEnd w:id="700"/>
        <w:r>
          <w:rPr>
            <w:rStyle w:val="InternetLink"/>
            <w:rFonts w:ascii="Times New Roman" w:hAnsi="Times New Roman"/>
            <w:b/>
            <w:strike w:val="false"/>
            <w:dstrike w:val="false"/>
            <w:color w:val="000000"/>
            <w:sz w:val="20"/>
            <w:u w:val="none"/>
            <w:effect w:val="none"/>
          </w:rPr>
          <w:t>Item 4. MINE SAFETY DISCLOSURES</w:t>
        </w:r>
      </w:hyperlink>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Not applicable.</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pPr>
      <w:hyperlink w:anchor="TOC">
        <w:bookmarkStart w:id="701" w:name="BP_0LWBX5JVNK00000000000000000000"/>
        <w:bookmarkEnd w:id="701"/>
        <w:r>
          <w:rPr>
            <w:rStyle w:val="InternetLink"/>
            <w:rFonts w:ascii="Times New Roman" w:hAnsi="Times New Roman"/>
            <w:b/>
            <w:strike w:val="false"/>
            <w:dstrike w:val="false"/>
            <w:color w:val="000000"/>
            <w:sz w:val="20"/>
            <w:u w:val="none"/>
            <w:effect w:val="none"/>
          </w:rPr>
          <w:t>Item 5. OTHER INFORMATION </w:t>
        </w:r>
      </w:hyperlink>
    </w:p>
    <w:p>
      <w:pPr>
        <w:pStyle w:val="TextBody"/>
        <w:bidi w:val="0"/>
        <w:spacing w:lineRule="auto" w:line="288" w:before="0" w:after="0"/>
        <w:ind w:left="0" w:right="0" w:hanging="0"/>
        <w:jc w:val="both"/>
        <w:rPr/>
      </w:pPr>
      <w:r>
        <w:rPr/>
        <w:t> </w:t>
      </w:r>
    </w:p>
    <w:p>
      <w:pPr>
        <w:pStyle w:val="TextBody"/>
        <w:widowControl/>
        <w:bidi w:val="0"/>
        <w:spacing w:lineRule="auto" w:line="240"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(a) </w:t>
      </w:r>
      <w:r>
        <w:rPr>
          <w:rFonts w:ascii="times new roman;times" w:hAnsi="times new roman;times"/>
          <w:b w:val="false"/>
          <w:i w:val="false"/>
          <w:caps w:val="false"/>
          <w:smallCaps w:val="false"/>
          <w:color w:val="000000"/>
          <w:spacing w:val="0"/>
          <w:sz w:val="20"/>
        </w:rPr>
        <w:t>Not applicable.</w:t>
      </w:r>
    </w:p>
    <w:p>
      <w:pPr>
        <w:pStyle w:val="TextBody"/>
        <w:widowControl/>
        <w:bidi w:val="0"/>
        <w:spacing w:lineRule="auto" w:line="240" w:before="0" w:after="0"/>
        <w:ind w:left="0" w:right="0" w:hanging="0"/>
        <w:jc w:val="both"/>
        <w:rPr>
          <w:sz w:val="20"/>
        </w:rPr>
      </w:pPr>
      <w:r>
        <w:rPr>
          <w:sz w:val="20"/>
        </w:rPr>
      </w:r>
    </w:p>
    <w:p>
      <w:pPr>
        <w:pStyle w:val="TextBody"/>
        <w:widowControl/>
        <w:bidi w:val="0"/>
        <w:spacing w:lineRule="auto" w:line="240"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 xml:space="preserve">(b) </w:t>
      </w:r>
      <w:bookmarkStart w:id="702" w:name="fs_5NEZZL65MO00000000000000000000FM"/>
      <w:bookmarkEnd w:id="702"/>
      <w:r>
        <w:rPr>
          <w:rFonts w:ascii="times new roman;times" w:hAnsi="times new roman;times"/>
          <w:b w:val="false"/>
          <w:i w:val="false"/>
          <w:caps w:val="false"/>
          <w:smallCaps w:val="false"/>
          <w:color w:val="000000"/>
          <w:spacing w:val="0"/>
          <w:sz w:val="20"/>
        </w:rPr>
        <w:t>Not applicable.</w:t>
      </w:r>
    </w:p>
    <w:p>
      <w:pPr>
        <w:pStyle w:val="TextBody"/>
        <w:widowControl/>
        <w:bidi w:val="0"/>
        <w:spacing w:lineRule="auto" w:line="240" w:before="0" w:after="0"/>
        <w:ind w:left="0" w:right="0" w:hanging="0"/>
        <w:jc w:val="both"/>
        <w:rPr>
          <w:sz w:val="20"/>
        </w:rPr>
      </w:pPr>
      <w:r>
        <w:rPr>
          <w:sz w:val="20"/>
        </w:rPr>
      </w:r>
    </w:p>
    <w:p>
      <w:pPr>
        <w:pStyle w:val="TextBody"/>
        <w:widowControl/>
        <w:bidi w:val="0"/>
        <w:spacing w:lineRule="auto" w:line="240"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(c) Not applicable.</w:t>
      </w:r>
    </w:p>
    <w:p>
      <w:pPr>
        <w:pStyle w:val="TextBody"/>
        <w:bidi w:val="0"/>
        <w:spacing w:lineRule="auto" w:line="288" w:before="0" w:after="0"/>
        <w:ind w:left="0" w:right="0" w:hanging="0"/>
        <w:jc w:val="both"/>
        <w:rPr/>
      </w:pPr>
      <w:r>
        <w:rPr/>
        <w:t> </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bookmarkStart w:id="703" w:name="PageBreakNo30"/>
            <w:bookmarkEnd w:id="703"/>
            <w:r>
              <w:rPr>
                <w:sz w:val="20"/>
              </w:rPr>
              <w:t>30</w:t>
            </w:r>
          </w:p>
        </w:tc>
      </w:tr>
    </w:tbl>
    <w:p>
      <w:pPr>
        <w:pStyle w:val="HorizontalLine"/>
        <w:bidi w:val="0"/>
        <w:spacing w:lineRule="auto" w:line="240" w:before="0" w:after="0"/>
        <w:jc w:val="both"/>
        <w:rPr/>
      </w:pPr>
      <w:r>
        <w:rPr/>
      </w:r>
    </w:p>
    <w:p>
      <w:pPr>
        <w:pStyle w:val="TextBody"/>
        <w:bidi w:val="0"/>
        <w:spacing w:lineRule="auto" w:line="240" w:before="0" w:after="0"/>
        <w:jc w:val="left"/>
        <w:rPr/>
      </w:pPr>
      <w:hyperlink w:anchor="TOC">
        <w:r>
          <w:rPr>
            <w:rStyle w:val="InternetLink"/>
            <w:rFonts w:ascii="times new roman;times" w:hAnsi="times new roman;times"/>
            <w:sz w:val="20"/>
          </w:rPr>
          <w:t>Table of Contents</w:t>
        </w:r>
      </w:hyperlink>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pPr>
      <w:r>
        <w:rPr>
          <w:rFonts w:ascii="times new roman;times" w:hAnsi="times new roman;times"/>
          <w:b/>
          <w:sz w:val="20"/>
        </w:rPr>
        <w:t xml:space="preserve">Item 6. </w:t>
      </w:r>
      <w:hyperlink w:anchor="TOC">
        <w:bookmarkStart w:id="704" w:name="Bit6_1272025202146458"/>
        <w:bookmarkEnd w:id="704"/>
        <w:r>
          <w:rPr>
            <w:rStyle w:val="InternetLink"/>
            <w:rFonts w:ascii="times new roman;times" w:hAnsi="times new roman;times"/>
            <w:b/>
            <w:strike w:val="false"/>
            <w:dstrike w:val="false"/>
            <w:color w:val="000000"/>
            <w:sz w:val="20"/>
            <w:u w:val="none"/>
            <w:effect w:val="none"/>
          </w:rPr>
          <w:t>EXHIBITS</w:t>
        </w:r>
      </w:hyperlink>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tbl>
      <w:tblPr>
        <w:tblW w:w="5000" w:type="pct"/>
        <w:jc w:val="left"/>
        <w:tblInd w:w="0" w:type="dxa"/>
        <w:tblLayout w:type="fixed"/>
        <w:tblCellMar>
          <w:top w:w="0" w:type="dxa"/>
          <w:left w:w="0" w:type="dxa"/>
          <w:bottom w:w="0" w:type="dxa"/>
          <w:right w:w="0" w:type="dxa"/>
        </w:tblCellMar>
      </w:tblPr>
      <w:tblGrid>
        <w:gridCol w:w="769"/>
        <w:gridCol w:w="60"/>
        <w:gridCol w:w="9376"/>
      </w:tblGrid>
      <w:tr>
        <w:trPr/>
        <w:tc>
          <w:tcPr>
            <w:tcW w:w="769" w:type="dxa"/>
            <w:tcBorders/>
            <w:vAlign w:val="center"/>
          </w:tcPr>
          <w:p>
            <w:pPr>
              <w:pStyle w:val="TableContents"/>
              <w:bidi w:val="0"/>
              <w:spacing w:before="0" w:after="0"/>
              <w:ind w:left="0" w:right="0" w:hanging="0"/>
              <w:jc w:val="both"/>
              <w:rPr>
                <w:rFonts w:ascii="Times New Roman" w:hAnsi="Times New Roman"/>
                <w:b/>
                <w:sz w:val="20"/>
              </w:rPr>
            </w:pPr>
            <w:r>
              <w:rPr>
                <w:rFonts w:ascii="Times New Roman" w:hAnsi="Times New Roman"/>
                <w:b/>
                <w:sz w:val="20"/>
              </w:rPr>
              <w:t>Exhibit No.</w:t>
            </w:r>
          </w:p>
        </w:tc>
        <w:tc>
          <w:tcPr>
            <w:tcW w:w="60" w:type="dxa"/>
            <w:tcBorders/>
            <w:vAlign w:val="center"/>
          </w:tcPr>
          <w:p>
            <w:pPr>
              <w:pStyle w:val="TableContents"/>
              <w:bidi w:val="0"/>
              <w:spacing w:before="0" w:after="0"/>
              <w:ind w:left="0" w:right="0" w:hanging="0"/>
              <w:jc w:val="left"/>
              <w:rPr/>
            </w:pPr>
            <w:r>
              <w:rPr/>
              <w:t> </w:t>
            </w:r>
          </w:p>
        </w:tc>
        <w:tc>
          <w:tcPr>
            <w:tcW w:w="9376" w:type="dxa"/>
            <w:tcBorders/>
            <w:vAlign w:val="center"/>
          </w:tcPr>
          <w:p>
            <w:pPr>
              <w:pStyle w:val="TableContents"/>
              <w:bidi w:val="0"/>
              <w:spacing w:before="0" w:after="0"/>
              <w:ind w:left="0" w:right="0" w:hanging="0"/>
              <w:jc w:val="both"/>
              <w:rPr>
                <w:rFonts w:ascii="Times New Roman" w:hAnsi="Times New Roman"/>
                <w:b/>
                <w:sz w:val="20"/>
              </w:rPr>
            </w:pPr>
            <w:r>
              <w:rPr>
                <w:rFonts w:ascii="Times New Roman" w:hAnsi="Times New Roman"/>
                <w:b/>
                <w:sz w:val="20"/>
              </w:rPr>
              <w:t>Title of Document</w:t>
            </w:r>
          </w:p>
        </w:tc>
      </w:tr>
      <w:tr>
        <w:trPr/>
        <w:tc>
          <w:tcPr>
            <w:tcW w:w="769"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9376" w:type="dxa"/>
            <w:tcBorders/>
            <w:vAlign w:val="center"/>
          </w:tcPr>
          <w:p>
            <w:pPr>
              <w:pStyle w:val="TableContents"/>
              <w:bidi w:val="0"/>
              <w:spacing w:before="0" w:after="0"/>
              <w:ind w:left="0" w:right="0" w:hanging="0"/>
              <w:jc w:val="left"/>
              <w:rPr/>
            </w:pPr>
            <w:r>
              <w:rPr/>
              <w:t> </w:t>
            </w:r>
          </w:p>
        </w:tc>
      </w:tr>
      <w:tr>
        <w:trPr/>
        <w:tc>
          <w:tcPr>
            <w:tcW w:w="769" w:type="dxa"/>
            <w:tcBorders/>
            <w:vAlign w:val="center"/>
          </w:tcPr>
          <w:p>
            <w:pPr>
              <w:pStyle w:val="TableContents"/>
              <w:bidi w:val="0"/>
              <w:spacing w:before="0" w:after="0"/>
              <w:ind w:left="0" w:right="0" w:hanging="0"/>
              <w:jc w:val="left"/>
              <w:rPr/>
            </w:pPr>
            <w:r>
              <w:rPr/>
              <w:t>3.1</w:t>
            </w:r>
          </w:p>
        </w:tc>
        <w:tc>
          <w:tcPr>
            <w:tcW w:w="60" w:type="dxa"/>
            <w:tcBorders/>
            <w:vAlign w:val="center"/>
          </w:tcPr>
          <w:p>
            <w:pPr>
              <w:pStyle w:val="TableContents"/>
              <w:bidi w:val="0"/>
              <w:spacing w:before="0" w:after="283"/>
              <w:ind w:left="0" w:right="0" w:hanging="0"/>
              <w:jc w:val="left"/>
              <w:rPr/>
            </w:pPr>
            <w:r>
              <w:rPr/>
            </w:r>
          </w:p>
        </w:tc>
        <w:tc>
          <w:tcPr>
            <w:tcW w:w="9376" w:type="dxa"/>
            <w:tcBorders/>
            <w:vAlign w:val="center"/>
          </w:tcPr>
          <w:p>
            <w:pPr>
              <w:pStyle w:val="TableContents"/>
              <w:bidi w:val="0"/>
              <w:spacing w:before="0" w:after="0"/>
              <w:ind w:left="0" w:right="0" w:hanging="0"/>
              <w:jc w:val="both"/>
              <w:rPr/>
            </w:pPr>
            <w:hyperlink r:id="rId21">
              <w:r>
                <w:rPr>
                  <w:rStyle w:val="InternetLink"/>
                  <w:rFonts w:ascii="times new roman;times" w:hAnsi="times new roman;times"/>
                  <w:sz w:val="20"/>
                </w:rPr>
                <w:t xml:space="preserve">Certificate of Designation for Class A Redeemable Preferred Stock (filed as Exhibit 3.1 to the Company’s Current Report on Form 8-K as filed with the SEC on June 25, 2025 and incorporated herein by reference). </w:t>
              </w:r>
            </w:hyperlink>
          </w:p>
        </w:tc>
      </w:tr>
      <w:tr>
        <w:trPr/>
        <w:tc>
          <w:tcPr>
            <w:tcW w:w="769" w:type="dxa"/>
            <w:tcBorders/>
            <w:vAlign w:val="center"/>
          </w:tcPr>
          <w:p>
            <w:pPr>
              <w:pStyle w:val="TableContents"/>
              <w:bidi w:val="0"/>
              <w:spacing w:before="0" w:after="283"/>
              <w:ind w:left="0" w:right="0" w:hanging="0"/>
              <w:jc w:val="left"/>
              <w:rPr/>
            </w:pPr>
            <w:r>
              <w:rPr/>
            </w:r>
          </w:p>
        </w:tc>
        <w:tc>
          <w:tcPr>
            <w:tcW w:w="60" w:type="dxa"/>
            <w:tcBorders/>
            <w:vAlign w:val="center"/>
          </w:tcPr>
          <w:p>
            <w:pPr>
              <w:pStyle w:val="TableContents"/>
              <w:bidi w:val="0"/>
              <w:spacing w:before="0" w:after="283"/>
              <w:ind w:left="0" w:right="0" w:hanging="0"/>
              <w:jc w:val="left"/>
              <w:rPr/>
            </w:pPr>
            <w:r>
              <w:rPr/>
            </w:r>
          </w:p>
        </w:tc>
        <w:tc>
          <w:tcPr>
            <w:tcW w:w="9376" w:type="dxa"/>
            <w:tcBorders/>
            <w:vAlign w:val="center"/>
          </w:tcPr>
          <w:p>
            <w:pPr>
              <w:pStyle w:val="TableContents"/>
              <w:bidi w:val="0"/>
              <w:spacing w:before="0" w:after="283"/>
              <w:ind w:left="0" w:right="0" w:hanging="0"/>
              <w:jc w:val="left"/>
              <w:rPr/>
            </w:pPr>
            <w:r>
              <w:rPr/>
            </w:r>
          </w:p>
        </w:tc>
      </w:tr>
      <w:tr>
        <w:trPr/>
        <w:tc>
          <w:tcPr>
            <w:tcW w:w="769" w:type="dxa"/>
            <w:tcBorders/>
            <w:vAlign w:val="center"/>
          </w:tcPr>
          <w:p>
            <w:pPr>
              <w:pStyle w:val="TableContents"/>
              <w:bidi w:val="0"/>
              <w:spacing w:before="0" w:after="0"/>
              <w:ind w:left="0" w:right="0" w:hanging="0"/>
              <w:jc w:val="left"/>
              <w:rPr/>
            </w:pPr>
            <w:r>
              <w:rPr/>
              <w:t>3.2</w:t>
            </w:r>
          </w:p>
        </w:tc>
        <w:tc>
          <w:tcPr>
            <w:tcW w:w="60" w:type="dxa"/>
            <w:tcBorders/>
            <w:vAlign w:val="center"/>
          </w:tcPr>
          <w:p>
            <w:pPr>
              <w:pStyle w:val="TableContents"/>
              <w:bidi w:val="0"/>
              <w:spacing w:before="0" w:after="283"/>
              <w:ind w:left="0" w:right="0" w:hanging="0"/>
              <w:jc w:val="left"/>
              <w:rPr/>
            </w:pPr>
            <w:r>
              <w:rPr/>
            </w:r>
          </w:p>
        </w:tc>
        <w:tc>
          <w:tcPr>
            <w:tcW w:w="9376" w:type="dxa"/>
            <w:tcBorders/>
            <w:vAlign w:val="center"/>
          </w:tcPr>
          <w:p>
            <w:pPr>
              <w:pStyle w:val="TableContents"/>
              <w:bidi w:val="0"/>
              <w:spacing w:before="0" w:after="0"/>
              <w:ind w:left="0" w:right="0" w:hanging="0"/>
              <w:jc w:val="both"/>
              <w:rPr/>
            </w:pPr>
            <w:hyperlink r:id="rId22">
              <w:r>
                <w:rPr>
                  <w:rStyle w:val="InternetLink"/>
                  <w:rFonts w:ascii="times new roman;times" w:hAnsi="times new roman;times"/>
                  <w:sz w:val="20"/>
                </w:rPr>
                <w:t xml:space="preserve">Certificate of Designation for Class B Convertible Preferred Stock (filed as Exhibit 3.2 to the Company’s Current Report on Form 8-K as filed with the SEC on June 25, 2025 and incorporated herein by reference). </w:t>
              </w:r>
            </w:hyperlink>
          </w:p>
        </w:tc>
      </w:tr>
      <w:tr>
        <w:trPr/>
        <w:tc>
          <w:tcPr>
            <w:tcW w:w="769" w:type="dxa"/>
            <w:tcBorders/>
            <w:vAlign w:val="center"/>
          </w:tcPr>
          <w:p>
            <w:pPr>
              <w:pStyle w:val="TableContents"/>
              <w:bidi w:val="0"/>
              <w:spacing w:before="0" w:after="283"/>
              <w:ind w:left="0" w:right="0" w:hanging="0"/>
              <w:jc w:val="left"/>
              <w:rPr/>
            </w:pPr>
            <w:r>
              <w:rPr/>
            </w:r>
          </w:p>
        </w:tc>
        <w:tc>
          <w:tcPr>
            <w:tcW w:w="60" w:type="dxa"/>
            <w:tcBorders/>
            <w:vAlign w:val="center"/>
          </w:tcPr>
          <w:p>
            <w:pPr>
              <w:pStyle w:val="TableContents"/>
              <w:bidi w:val="0"/>
              <w:spacing w:before="0" w:after="283"/>
              <w:ind w:left="0" w:right="0" w:hanging="0"/>
              <w:jc w:val="left"/>
              <w:rPr/>
            </w:pPr>
            <w:r>
              <w:rPr/>
            </w:r>
          </w:p>
        </w:tc>
        <w:tc>
          <w:tcPr>
            <w:tcW w:w="9376" w:type="dxa"/>
            <w:tcBorders/>
            <w:vAlign w:val="center"/>
          </w:tcPr>
          <w:p>
            <w:pPr>
              <w:pStyle w:val="TableContents"/>
              <w:bidi w:val="0"/>
              <w:spacing w:before="0" w:after="283"/>
              <w:ind w:left="0" w:right="0" w:hanging="0"/>
              <w:jc w:val="left"/>
              <w:rPr/>
            </w:pPr>
            <w:r>
              <w:rPr/>
            </w:r>
          </w:p>
        </w:tc>
      </w:tr>
      <w:tr>
        <w:trPr/>
        <w:tc>
          <w:tcPr>
            <w:tcW w:w="769" w:type="dxa"/>
            <w:tcBorders/>
            <w:vAlign w:val="center"/>
          </w:tcPr>
          <w:p>
            <w:pPr>
              <w:pStyle w:val="TableContents"/>
              <w:bidi w:val="0"/>
              <w:spacing w:before="0" w:after="0"/>
              <w:ind w:left="0" w:right="0" w:hanging="0"/>
              <w:jc w:val="left"/>
              <w:rPr/>
            </w:pPr>
            <w:r>
              <w:rPr/>
              <w:t>3.3</w:t>
            </w:r>
          </w:p>
        </w:tc>
        <w:tc>
          <w:tcPr>
            <w:tcW w:w="60" w:type="dxa"/>
            <w:tcBorders/>
            <w:vAlign w:val="center"/>
          </w:tcPr>
          <w:p>
            <w:pPr>
              <w:pStyle w:val="TableContents"/>
              <w:bidi w:val="0"/>
              <w:spacing w:before="0" w:after="283"/>
              <w:ind w:left="0" w:right="0" w:hanging="0"/>
              <w:jc w:val="left"/>
              <w:rPr/>
            </w:pPr>
            <w:r>
              <w:rPr/>
            </w:r>
          </w:p>
        </w:tc>
        <w:tc>
          <w:tcPr>
            <w:tcW w:w="9376" w:type="dxa"/>
            <w:tcBorders/>
            <w:vAlign w:val="center"/>
          </w:tcPr>
          <w:p>
            <w:pPr>
              <w:pStyle w:val="TableContents"/>
              <w:bidi w:val="0"/>
              <w:spacing w:before="0" w:after="0"/>
              <w:ind w:left="0" w:right="0" w:hanging="0"/>
              <w:jc w:val="both"/>
              <w:rPr/>
            </w:pPr>
            <w:hyperlink r:id="rId23">
              <w:r>
                <w:rPr>
                  <w:rStyle w:val="InternetLink"/>
                  <w:rFonts w:ascii="times new roman;times" w:hAnsi="times new roman;times"/>
                  <w:sz w:val="20"/>
                </w:rPr>
                <w:t xml:space="preserve">Certificate of Amendment to Certificate of Incorporation dated June 2, 2025 (filed as Exhibit 3.1 to the Company’s Current Report on Form 8-K as filed with the SEC on June 2, 2025 and incorporated herein by reference). </w:t>
              </w:r>
            </w:hyperlink>
          </w:p>
        </w:tc>
      </w:tr>
      <w:tr>
        <w:trPr/>
        <w:tc>
          <w:tcPr>
            <w:tcW w:w="769" w:type="dxa"/>
            <w:tcBorders/>
            <w:vAlign w:val="center"/>
          </w:tcPr>
          <w:p>
            <w:pPr>
              <w:pStyle w:val="TableContents"/>
              <w:bidi w:val="0"/>
              <w:spacing w:before="0" w:after="283"/>
              <w:ind w:left="0" w:right="0" w:hanging="0"/>
              <w:jc w:val="left"/>
              <w:rPr/>
            </w:pPr>
            <w:r>
              <w:rPr/>
            </w:r>
          </w:p>
        </w:tc>
        <w:tc>
          <w:tcPr>
            <w:tcW w:w="60" w:type="dxa"/>
            <w:tcBorders/>
            <w:vAlign w:val="center"/>
          </w:tcPr>
          <w:p>
            <w:pPr>
              <w:pStyle w:val="TableContents"/>
              <w:bidi w:val="0"/>
              <w:spacing w:before="0" w:after="283"/>
              <w:ind w:left="0" w:right="0" w:hanging="0"/>
              <w:jc w:val="left"/>
              <w:rPr/>
            </w:pPr>
            <w:r>
              <w:rPr/>
            </w:r>
          </w:p>
        </w:tc>
        <w:tc>
          <w:tcPr>
            <w:tcW w:w="9376" w:type="dxa"/>
            <w:tcBorders/>
            <w:vAlign w:val="center"/>
          </w:tcPr>
          <w:p>
            <w:pPr>
              <w:pStyle w:val="TableContents"/>
              <w:bidi w:val="0"/>
              <w:spacing w:before="0" w:after="283"/>
              <w:ind w:left="0" w:right="0" w:hanging="0"/>
              <w:jc w:val="left"/>
              <w:rPr/>
            </w:pPr>
            <w:r>
              <w:rPr/>
            </w:r>
          </w:p>
        </w:tc>
      </w:tr>
      <w:tr>
        <w:trPr/>
        <w:tc>
          <w:tcPr>
            <w:tcW w:w="769" w:type="dxa"/>
            <w:tcBorders/>
            <w:vAlign w:val="center"/>
          </w:tcPr>
          <w:p>
            <w:pPr>
              <w:pStyle w:val="TableContents"/>
              <w:bidi w:val="0"/>
              <w:spacing w:before="0" w:after="0"/>
              <w:ind w:left="0" w:right="0" w:hanging="0"/>
              <w:jc w:val="left"/>
              <w:rPr/>
            </w:pPr>
            <w:r>
              <w:rPr/>
              <w:t>3.4</w:t>
            </w:r>
          </w:p>
        </w:tc>
        <w:tc>
          <w:tcPr>
            <w:tcW w:w="60" w:type="dxa"/>
            <w:tcBorders/>
            <w:vAlign w:val="center"/>
          </w:tcPr>
          <w:p>
            <w:pPr>
              <w:pStyle w:val="TableContents"/>
              <w:bidi w:val="0"/>
              <w:spacing w:before="0" w:after="283"/>
              <w:ind w:left="0" w:right="0" w:hanging="0"/>
              <w:jc w:val="left"/>
              <w:rPr/>
            </w:pPr>
            <w:r>
              <w:rPr/>
            </w:r>
          </w:p>
        </w:tc>
        <w:tc>
          <w:tcPr>
            <w:tcW w:w="9376" w:type="dxa"/>
            <w:tcBorders/>
            <w:vAlign w:val="center"/>
          </w:tcPr>
          <w:p>
            <w:pPr>
              <w:pStyle w:val="TableContents"/>
              <w:bidi w:val="0"/>
              <w:spacing w:before="0" w:after="0"/>
              <w:ind w:left="0" w:right="0" w:hanging="0"/>
              <w:jc w:val="both"/>
              <w:rPr/>
            </w:pPr>
            <w:hyperlink r:id="rId24">
              <w:r>
                <w:rPr>
                  <w:rStyle w:val="InternetLink"/>
                  <w:rFonts w:ascii="Times New Roman" w:hAnsi="Times New Roman"/>
                  <w:sz w:val="20"/>
                </w:rPr>
                <w:t>Certificate of Amendment to Certificate of Incorporation dated June 20, 2025 (filed as Exhibit 3.4 to the Company’s Quarterly Report on Form 10-Q for the quarter ended June 30, 2025 and incorporated herein by reference).</w:t>
              </w:r>
            </w:hyperlink>
          </w:p>
        </w:tc>
      </w:tr>
      <w:tr>
        <w:trPr/>
        <w:tc>
          <w:tcPr>
            <w:tcW w:w="769" w:type="dxa"/>
            <w:tcBorders/>
            <w:vAlign w:val="center"/>
          </w:tcPr>
          <w:p>
            <w:pPr>
              <w:pStyle w:val="TableContents"/>
              <w:bidi w:val="0"/>
              <w:spacing w:before="0" w:after="283"/>
              <w:ind w:left="0" w:right="0" w:hanging="0"/>
              <w:jc w:val="left"/>
              <w:rPr/>
            </w:pPr>
            <w:r>
              <w:rPr/>
            </w:r>
          </w:p>
        </w:tc>
        <w:tc>
          <w:tcPr>
            <w:tcW w:w="60" w:type="dxa"/>
            <w:tcBorders/>
            <w:vAlign w:val="center"/>
          </w:tcPr>
          <w:p>
            <w:pPr>
              <w:pStyle w:val="TableContents"/>
              <w:bidi w:val="0"/>
              <w:spacing w:before="0" w:after="283"/>
              <w:ind w:left="0" w:right="0" w:hanging="0"/>
              <w:jc w:val="left"/>
              <w:rPr/>
            </w:pPr>
            <w:r>
              <w:rPr/>
            </w:r>
          </w:p>
        </w:tc>
        <w:tc>
          <w:tcPr>
            <w:tcW w:w="9376" w:type="dxa"/>
            <w:tcBorders/>
            <w:vAlign w:val="center"/>
          </w:tcPr>
          <w:p>
            <w:pPr>
              <w:pStyle w:val="TableContents"/>
              <w:bidi w:val="0"/>
              <w:spacing w:before="0" w:after="283"/>
              <w:ind w:left="0" w:right="0" w:hanging="0"/>
              <w:jc w:val="left"/>
              <w:rPr/>
            </w:pPr>
            <w:r>
              <w:rPr/>
            </w:r>
          </w:p>
        </w:tc>
      </w:tr>
      <w:tr>
        <w:trPr/>
        <w:tc>
          <w:tcPr>
            <w:tcW w:w="769" w:type="dxa"/>
            <w:tcBorders/>
            <w:vAlign w:val="center"/>
          </w:tcPr>
          <w:p>
            <w:pPr>
              <w:pStyle w:val="TableContents"/>
              <w:bidi w:val="0"/>
              <w:spacing w:before="0" w:after="0"/>
              <w:ind w:left="0" w:right="0" w:hanging="0"/>
              <w:jc w:val="left"/>
              <w:rPr/>
            </w:pPr>
            <w:r>
              <w:rPr/>
              <w:t>10.1</w:t>
            </w:r>
          </w:p>
        </w:tc>
        <w:tc>
          <w:tcPr>
            <w:tcW w:w="60" w:type="dxa"/>
            <w:tcBorders/>
            <w:vAlign w:val="center"/>
          </w:tcPr>
          <w:p>
            <w:pPr>
              <w:pStyle w:val="TableContents"/>
              <w:bidi w:val="0"/>
              <w:spacing w:before="0" w:after="283"/>
              <w:ind w:left="0" w:right="0" w:hanging="0"/>
              <w:jc w:val="left"/>
              <w:rPr>
                <w:u w:val="single"/>
              </w:rPr>
            </w:pPr>
            <w:r>
              <w:rPr>
                <w:u w:val="single"/>
              </w:rPr>
            </w:r>
          </w:p>
        </w:tc>
        <w:tc>
          <w:tcPr>
            <w:tcW w:w="9376" w:type="dxa"/>
            <w:tcBorders/>
            <w:vAlign w:val="center"/>
          </w:tcPr>
          <w:p>
            <w:pPr>
              <w:pStyle w:val="TableContents"/>
              <w:bidi w:val="0"/>
              <w:spacing w:before="0" w:after="0"/>
              <w:ind w:left="0" w:right="0" w:hanging="0"/>
              <w:jc w:val="both"/>
              <w:rPr/>
            </w:pPr>
            <w:hyperlink r:id="rId25">
              <w:r>
                <w:rPr>
                  <w:rStyle w:val="InternetLink"/>
                  <w:rFonts w:ascii="times new roman;times" w:hAnsi="times new roman;times"/>
                  <w:sz w:val="20"/>
                </w:rPr>
                <w:t>Securities Purchase Agreement dated February 26, 2025 by and between ClearOne, Inc. and Edward D. Bagley (filed as Exhibit 10. 1 to the Company’s Current Report on Form 8-K as filed with the SEC on February 27, 2025 and incorporated herein by reference).</w:t>
              </w:r>
            </w:hyperlink>
          </w:p>
        </w:tc>
      </w:tr>
      <w:tr>
        <w:trPr/>
        <w:tc>
          <w:tcPr>
            <w:tcW w:w="769" w:type="dxa"/>
            <w:tcBorders/>
            <w:vAlign w:val="center"/>
          </w:tcPr>
          <w:p>
            <w:pPr>
              <w:pStyle w:val="TableContents"/>
              <w:bidi w:val="0"/>
              <w:spacing w:before="0" w:after="283"/>
              <w:ind w:left="0" w:right="0" w:hanging="0"/>
              <w:jc w:val="left"/>
              <w:rPr/>
            </w:pPr>
            <w:r>
              <w:rPr/>
            </w:r>
          </w:p>
        </w:tc>
        <w:tc>
          <w:tcPr>
            <w:tcW w:w="60" w:type="dxa"/>
            <w:tcBorders/>
            <w:vAlign w:val="center"/>
          </w:tcPr>
          <w:p>
            <w:pPr>
              <w:pStyle w:val="TableContents"/>
              <w:bidi w:val="0"/>
              <w:spacing w:before="0" w:after="283"/>
              <w:ind w:left="0" w:right="0" w:hanging="0"/>
              <w:jc w:val="left"/>
              <w:rPr/>
            </w:pPr>
            <w:r>
              <w:rPr/>
            </w:r>
          </w:p>
        </w:tc>
        <w:tc>
          <w:tcPr>
            <w:tcW w:w="9376" w:type="dxa"/>
            <w:tcBorders/>
            <w:vAlign w:val="center"/>
          </w:tcPr>
          <w:p>
            <w:pPr>
              <w:pStyle w:val="TableContents"/>
              <w:bidi w:val="0"/>
              <w:spacing w:before="0" w:after="283"/>
              <w:ind w:left="0" w:right="0" w:hanging="0"/>
              <w:jc w:val="left"/>
              <w:rPr/>
            </w:pPr>
            <w:r>
              <w:rPr/>
            </w:r>
          </w:p>
        </w:tc>
      </w:tr>
      <w:tr>
        <w:trPr/>
        <w:tc>
          <w:tcPr>
            <w:tcW w:w="769" w:type="dxa"/>
            <w:tcBorders/>
            <w:vAlign w:val="center"/>
          </w:tcPr>
          <w:p>
            <w:pPr>
              <w:pStyle w:val="TableContents"/>
              <w:bidi w:val="0"/>
              <w:spacing w:before="0" w:after="0"/>
              <w:ind w:left="0" w:right="0" w:hanging="0"/>
              <w:jc w:val="left"/>
              <w:rPr/>
            </w:pPr>
            <w:r>
              <w:rPr/>
              <w:t>10.2</w:t>
            </w:r>
          </w:p>
        </w:tc>
        <w:tc>
          <w:tcPr>
            <w:tcW w:w="60" w:type="dxa"/>
            <w:tcBorders/>
            <w:vAlign w:val="center"/>
          </w:tcPr>
          <w:p>
            <w:pPr>
              <w:pStyle w:val="TableContents"/>
              <w:bidi w:val="0"/>
              <w:spacing w:before="0" w:after="283"/>
              <w:ind w:left="0" w:right="0" w:hanging="0"/>
              <w:jc w:val="left"/>
              <w:rPr/>
            </w:pPr>
            <w:r>
              <w:rPr/>
            </w:r>
          </w:p>
        </w:tc>
        <w:tc>
          <w:tcPr>
            <w:tcW w:w="9376" w:type="dxa"/>
            <w:tcBorders/>
            <w:vAlign w:val="center"/>
          </w:tcPr>
          <w:p>
            <w:pPr>
              <w:pStyle w:val="TableContents"/>
              <w:bidi w:val="0"/>
              <w:spacing w:before="0" w:after="0"/>
              <w:ind w:left="0" w:right="0" w:hanging="0"/>
              <w:jc w:val="left"/>
              <w:rPr/>
            </w:pPr>
            <w:hyperlink r:id="rId26">
              <w:r>
                <w:rPr>
                  <w:rStyle w:val="InternetLink"/>
                </w:rPr>
                <w:t>Warrant Repurchase Agreement, dated September 2, 2025, by and between ClearOne, Inc. and Intracoastal Capital, LLC (filed as Exhibit 10.1 to the Company’s Current Report on Form 8-K as filed with the SEC on September 5, 2025 and incorporated herein by reference).</w:t>
              </w:r>
            </w:hyperlink>
          </w:p>
        </w:tc>
      </w:tr>
      <w:tr>
        <w:trPr/>
        <w:tc>
          <w:tcPr>
            <w:tcW w:w="769" w:type="dxa"/>
            <w:tcBorders/>
            <w:vAlign w:val="center"/>
          </w:tcPr>
          <w:p>
            <w:pPr>
              <w:pStyle w:val="TableContents"/>
              <w:bidi w:val="0"/>
              <w:spacing w:before="0" w:after="283"/>
              <w:ind w:left="0" w:right="0" w:hanging="0"/>
              <w:jc w:val="left"/>
              <w:rPr/>
            </w:pPr>
            <w:r>
              <w:rPr/>
            </w:r>
          </w:p>
        </w:tc>
        <w:tc>
          <w:tcPr>
            <w:tcW w:w="60" w:type="dxa"/>
            <w:tcBorders/>
            <w:vAlign w:val="center"/>
          </w:tcPr>
          <w:p>
            <w:pPr>
              <w:pStyle w:val="TableContents"/>
              <w:bidi w:val="0"/>
              <w:spacing w:before="0" w:after="283"/>
              <w:ind w:left="0" w:right="0" w:hanging="0"/>
              <w:jc w:val="left"/>
              <w:rPr/>
            </w:pPr>
            <w:r>
              <w:rPr/>
            </w:r>
          </w:p>
        </w:tc>
        <w:tc>
          <w:tcPr>
            <w:tcW w:w="9376" w:type="dxa"/>
            <w:tcBorders/>
            <w:vAlign w:val="center"/>
          </w:tcPr>
          <w:p>
            <w:pPr>
              <w:pStyle w:val="TableContents"/>
              <w:bidi w:val="0"/>
              <w:spacing w:before="0" w:after="283"/>
              <w:ind w:left="0" w:right="0" w:hanging="0"/>
              <w:jc w:val="left"/>
              <w:rPr/>
            </w:pPr>
            <w:r>
              <w:rPr/>
            </w:r>
          </w:p>
        </w:tc>
      </w:tr>
      <w:tr>
        <w:trPr/>
        <w:tc>
          <w:tcPr>
            <w:tcW w:w="769" w:type="dxa"/>
            <w:tcBorders/>
            <w:vAlign w:val="center"/>
          </w:tcPr>
          <w:p>
            <w:pPr>
              <w:pStyle w:val="TableContents"/>
              <w:bidi w:val="0"/>
              <w:spacing w:before="0" w:after="0"/>
              <w:ind w:left="0" w:right="0" w:hanging="0"/>
              <w:jc w:val="left"/>
              <w:rPr/>
            </w:pPr>
            <w:r>
              <w:rPr/>
              <w:t>10.3</w:t>
            </w:r>
          </w:p>
        </w:tc>
        <w:tc>
          <w:tcPr>
            <w:tcW w:w="60" w:type="dxa"/>
            <w:tcBorders/>
            <w:vAlign w:val="center"/>
          </w:tcPr>
          <w:p>
            <w:pPr>
              <w:pStyle w:val="TableContents"/>
              <w:bidi w:val="0"/>
              <w:spacing w:before="0" w:after="283"/>
              <w:ind w:left="0" w:right="0" w:hanging="0"/>
              <w:jc w:val="left"/>
              <w:rPr/>
            </w:pPr>
            <w:r>
              <w:rPr/>
            </w:r>
          </w:p>
        </w:tc>
        <w:tc>
          <w:tcPr>
            <w:tcW w:w="9376" w:type="dxa"/>
            <w:tcBorders/>
            <w:vAlign w:val="center"/>
          </w:tcPr>
          <w:p>
            <w:pPr>
              <w:pStyle w:val="TableContents"/>
              <w:bidi w:val="0"/>
              <w:spacing w:before="0" w:after="0"/>
              <w:ind w:left="0" w:right="0" w:hanging="0"/>
              <w:jc w:val="left"/>
              <w:rPr/>
            </w:pPr>
            <w:hyperlink r:id="rId27">
              <w:r>
                <w:rPr>
                  <w:rStyle w:val="InternetLink"/>
                </w:rPr>
                <w:t>Warrant Repurchase Agreement, dated September 10, 2025, by and between ClearOne, Inc. and Lind Global Fund Group II LP (filed as Exhibit 10.1 to the Company’s Current Report on Form 8-K as filed with the SEC on September 12, 2025 and incorporated herein by reference).</w:t>
              </w:r>
            </w:hyperlink>
          </w:p>
        </w:tc>
      </w:tr>
      <w:tr>
        <w:trPr/>
        <w:tc>
          <w:tcPr>
            <w:tcW w:w="769" w:type="dxa"/>
            <w:tcBorders/>
            <w:vAlign w:val="center"/>
          </w:tcPr>
          <w:p>
            <w:pPr>
              <w:pStyle w:val="TableContents"/>
              <w:bidi w:val="0"/>
              <w:spacing w:before="0" w:after="283"/>
              <w:ind w:left="0" w:right="0" w:hanging="0"/>
              <w:jc w:val="left"/>
              <w:rPr/>
            </w:pPr>
            <w:r>
              <w:rPr/>
            </w:r>
          </w:p>
        </w:tc>
        <w:tc>
          <w:tcPr>
            <w:tcW w:w="60" w:type="dxa"/>
            <w:tcBorders/>
            <w:vAlign w:val="center"/>
          </w:tcPr>
          <w:p>
            <w:pPr>
              <w:pStyle w:val="TableContents"/>
              <w:bidi w:val="0"/>
              <w:spacing w:before="0" w:after="283"/>
              <w:ind w:left="0" w:right="0" w:hanging="0"/>
              <w:jc w:val="left"/>
              <w:rPr/>
            </w:pPr>
            <w:r>
              <w:rPr/>
            </w:r>
          </w:p>
        </w:tc>
        <w:tc>
          <w:tcPr>
            <w:tcW w:w="9376" w:type="dxa"/>
            <w:tcBorders/>
            <w:vAlign w:val="center"/>
          </w:tcPr>
          <w:p>
            <w:pPr>
              <w:pStyle w:val="TableContents"/>
              <w:bidi w:val="0"/>
              <w:spacing w:before="0" w:after="283"/>
              <w:ind w:left="0" w:right="0" w:hanging="0"/>
              <w:jc w:val="left"/>
              <w:rPr/>
            </w:pPr>
            <w:r>
              <w:rPr/>
            </w:r>
          </w:p>
        </w:tc>
      </w:tr>
      <w:tr>
        <w:trPr/>
        <w:tc>
          <w:tcPr>
            <w:tcW w:w="769" w:type="dxa"/>
            <w:tcBorders/>
            <w:vAlign w:val="center"/>
          </w:tcPr>
          <w:p>
            <w:pPr>
              <w:pStyle w:val="TableContents"/>
              <w:bidi w:val="0"/>
              <w:spacing w:before="0" w:after="0"/>
              <w:ind w:left="0" w:right="0" w:hanging="0"/>
              <w:jc w:val="left"/>
              <w:rPr/>
            </w:pPr>
            <w:r>
              <w:rPr/>
              <w:t>10.4</w:t>
            </w:r>
          </w:p>
        </w:tc>
        <w:tc>
          <w:tcPr>
            <w:tcW w:w="60" w:type="dxa"/>
            <w:tcBorders/>
            <w:vAlign w:val="center"/>
          </w:tcPr>
          <w:p>
            <w:pPr>
              <w:pStyle w:val="TableContents"/>
              <w:bidi w:val="0"/>
              <w:spacing w:before="0" w:after="283"/>
              <w:ind w:left="0" w:right="0" w:hanging="0"/>
              <w:jc w:val="left"/>
              <w:rPr/>
            </w:pPr>
            <w:r>
              <w:rPr/>
            </w:r>
          </w:p>
        </w:tc>
        <w:tc>
          <w:tcPr>
            <w:tcW w:w="9376" w:type="dxa"/>
            <w:tcBorders/>
            <w:vAlign w:val="center"/>
          </w:tcPr>
          <w:p>
            <w:pPr>
              <w:pStyle w:val="TableContents"/>
              <w:bidi w:val="0"/>
              <w:spacing w:before="0" w:after="0"/>
              <w:ind w:left="0" w:right="0" w:hanging="0"/>
              <w:jc w:val="left"/>
              <w:rPr/>
            </w:pPr>
            <w:hyperlink r:id="rId28">
              <w:r>
                <w:rPr>
                  <w:rStyle w:val="InternetLink"/>
                </w:rPr>
                <w:t>Warrant Repurchase Agreement, dated September 17, 2025, by and between ClearOne, Inc. and Edward Dallin Bagley (filed as Exhibit 10.1 to the Company’s Current Report on Form 8-K as filed with the SEC on September 18, 2025 and incorporated herein by reference).</w:t>
              </w:r>
            </w:hyperlink>
          </w:p>
        </w:tc>
      </w:tr>
      <w:tr>
        <w:trPr/>
        <w:tc>
          <w:tcPr>
            <w:tcW w:w="769" w:type="dxa"/>
            <w:tcBorders/>
            <w:vAlign w:val="center"/>
          </w:tcPr>
          <w:p>
            <w:pPr>
              <w:pStyle w:val="TableContents"/>
              <w:bidi w:val="0"/>
              <w:spacing w:before="0" w:after="283"/>
              <w:ind w:left="0" w:right="0" w:hanging="0"/>
              <w:jc w:val="left"/>
              <w:rPr/>
            </w:pPr>
            <w:r>
              <w:rPr/>
            </w:r>
          </w:p>
        </w:tc>
        <w:tc>
          <w:tcPr>
            <w:tcW w:w="60" w:type="dxa"/>
            <w:tcBorders/>
            <w:vAlign w:val="center"/>
          </w:tcPr>
          <w:p>
            <w:pPr>
              <w:pStyle w:val="TableContents"/>
              <w:bidi w:val="0"/>
              <w:spacing w:before="0" w:after="283"/>
              <w:ind w:left="0" w:right="0" w:hanging="0"/>
              <w:jc w:val="left"/>
              <w:rPr/>
            </w:pPr>
            <w:r>
              <w:rPr/>
            </w:r>
          </w:p>
        </w:tc>
        <w:tc>
          <w:tcPr>
            <w:tcW w:w="9376" w:type="dxa"/>
            <w:tcBorders/>
            <w:vAlign w:val="center"/>
          </w:tcPr>
          <w:p>
            <w:pPr>
              <w:pStyle w:val="TableContents"/>
              <w:bidi w:val="0"/>
              <w:spacing w:before="0" w:after="283"/>
              <w:ind w:left="0" w:right="0" w:hanging="0"/>
              <w:jc w:val="left"/>
              <w:rPr/>
            </w:pPr>
            <w:r>
              <w:rPr/>
            </w:r>
          </w:p>
        </w:tc>
      </w:tr>
      <w:tr>
        <w:trPr/>
        <w:tc>
          <w:tcPr>
            <w:tcW w:w="769" w:type="dxa"/>
            <w:tcBorders/>
            <w:vAlign w:val="center"/>
          </w:tcPr>
          <w:p>
            <w:pPr>
              <w:pStyle w:val="TableContents"/>
              <w:bidi w:val="0"/>
              <w:spacing w:before="0" w:after="0"/>
              <w:ind w:left="0" w:right="0" w:hanging="0"/>
              <w:jc w:val="left"/>
              <w:rPr/>
            </w:pPr>
            <w:r>
              <w:rPr/>
              <w:t>10.5</w:t>
            </w:r>
          </w:p>
        </w:tc>
        <w:tc>
          <w:tcPr>
            <w:tcW w:w="60" w:type="dxa"/>
            <w:tcBorders/>
            <w:vAlign w:val="center"/>
          </w:tcPr>
          <w:p>
            <w:pPr>
              <w:pStyle w:val="TableContents"/>
              <w:bidi w:val="0"/>
              <w:spacing w:before="0" w:after="283"/>
              <w:ind w:left="0" w:right="0" w:hanging="0"/>
              <w:jc w:val="left"/>
              <w:rPr/>
            </w:pPr>
            <w:r>
              <w:rPr/>
            </w:r>
          </w:p>
        </w:tc>
        <w:tc>
          <w:tcPr>
            <w:tcW w:w="9376" w:type="dxa"/>
            <w:tcBorders/>
            <w:vAlign w:val="center"/>
          </w:tcPr>
          <w:p>
            <w:pPr>
              <w:pStyle w:val="TableContents"/>
              <w:bidi w:val="0"/>
              <w:spacing w:before="0" w:after="0"/>
              <w:ind w:left="0" w:right="0" w:hanging="0"/>
              <w:jc w:val="left"/>
              <w:rPr/>
            </w:pPr>
            <w:hyperlink r:id="rId29">
              <w:r>
                <w:rPr>
                  <w:rStyle w:val="InternetLink"/>
                </w:rPr>
                <w:t>Warrant Repurchase Agreement, dated September 16, 2025, by and between ClearOne, Inc. and Edward Bryan Bagley (filed as Exhibit 10.1 to the Company’s Current Report on Form 8-K as filed with the SEC on September 19, 2025 and incorporated herein by reference).</w:t>
              </w:r>
            </w:hyperlink>
          </w:p>
        </w:tc>
      </w:tr>
      <w:tr>
        <w:trPr/>
        <w:tc>
          <w:tcPr>
            <w:tcW w:w="769" w:type="dxa"/>
            <w:tcBorders/>
            <w:vAlign w:val="center"/>
          </w:tcPr>
          <w:p>
            <w:pPr>
              <w:pStyle w:val="TableContents"/>
              <w:bidi w:val="0"/>
              <w:spacing w:before="0" w:after="283"/>
              <w:ind w:left="0" w:right="0" w:hanging="0"/>
              <w:jc w:val="left"/>
              <w:rPr/>
            </w:pPr>
            <w:r>
              <w:rPr/>
            </w:r>
          </w:p>
        </w:tc>
        <w:tc>
          <w:tcPr>
            <w:tcW w:w="60" w:type="dxa"/>
            <w:tcBorders/>
            <w:vAlign w:val="center"/>
          </w:tcPr>
          <w:p>
            <w:pPr>
              <w:pStyle w:val="TableContents"/>
              <w:bidi w:val="0"/>
              <w:spacing w:before="0" w:after="283"/>
              <w:ind w:left="0" w:right="0" w:hanging="0"/>
              <w:jc w:val="left"/>
              <w:rPr/>
            </w:pPr>
            <w:r>
              <w:rPr/>
            </w:r>
          </w:p>
        </w:tc>
        <w:tc>
          <w:tcPr>
            <w:tcW w:w="9376" w:type="dxa"/>
            <w:tcBorders/>
            <w:vAlign w:val="center"/>
          </w:tcPr>
          <w:p>
            <w:pPr>
              <w:pStyle w:val="TableContents"/>
              <w:bidi w:val="0"/>
              <w:spacing w:before="0" w:after="283"/>
              <w:ind w:left="0" w:right="0" w:hanging="0"/>
              <w:jc w:val="left"/>
              <w:rPr/>
            </w:pPr>
            <w:r>
              <w:rPr/>
            </w:r>
          </w:p>
        </w:tc>
      </w:tr>
      <w:tr>
        <w:trPr/>
        <w:tc>
          <w:tcPr>
            <w:tcW w:w="769" w:type="dxa"/>
            <w:tcBorders/>
            <w:vAlign w:val="center"/>
          </w:tcPr>
          <w:p>
            <w:pPr>
              <w:pStyle w:val="TableContents"/>
              <w:bidi w:val="0"/>
              <w:spacing w:before="0" w:after="0"/>
              <w:ind w:left="0" w:right="0" w:hanging="0"/>
              <w:jc w:val="left"/>
              <w:rPr/>
            </w:pPr>
            <w:r>
              <w:rPr/>
              <w:t>10.6#</w:t>
            </w:r>
          </w:p>
        </w:tc>
        <w:tc>
          <w:tcPr>
            <w:tcW w:w="60" w:type="dxa"/>
            <w:tcBorders/>
            <w:vAlign w:val="center"/>
          </w:tcPr>
          <w:p>
            <w:pPr>
              <w:pStyle w:val="TableContents"/>
              <w:bidi w:val="0"/>
              <w:spacing w:before="0" w:after="283"/>
              <w:ind w:left="0" w:right="0" w:hanging="0"/>
              <w:jc w:val="left"/>
              <w:rPr/>
            </w:pPr>
            <w:r>
              <w:rPr/>
            </w:r>
          </w:p>
        </w:tc>
        <w:tc>
          <w:tcPr>
            <w:tcW w:w="9376" w:type="dxa"/>
            <w:tcBorders/>
            <w:vAlign w:val="center"/>
          </w:tcPr>
          <w:p>
            <w:pPr>
              <w:pStyle w:val="TableContents"/>
              <w:bidi w:val="0"/>
              <w:spacing w:before="0" w:after="0"/>
              <w:ind w:left="0" w:right="0" w:hanging="0"/>
              <w:jc w:val="left"/>
              <w:rPr/>
            </w:pPr>
            <w:hyperlink r:id="rId30">
              <w:r>
                <w:rPr>
                  <w:rStyle w:val="InternetLink"/>
                </w:rPr>
                <w:t>Asset Purchase Agreement dated October 24, 2025, by and between ClearOne, Inc. and Biamp Systems LLC (filed as Exhibit 10.1 to the Company’s Current Report on Form 8-K as filed with the SEC on October 30, 2025 and incorporated herein by reference).</w:t>
              </w:r>
            </w:hyperlink>
          </w:p>
        </w:tc>
      </w:tr>
      <w:tr>
        <w:trPr/>
        <w:tc>
          <w:tcPr>
            <w:tcW w:w="769" w:type="dxa"/>
            <w:tcBorders/>
            <w:vAlign w:val="center"/>
          </w:tcPr>
          <w:p>
            <w:pPr>
              <w:pStyle w:val="TableContents"/>
              <w:bidi w:val="0"/>
              <w:spacing w:before="0" w:after="283"/>
              <w:ind w:left="0" w:right="0" w:hanging="0"/>
              <w:jc w:val="left"/>
              <w:rPr/>
            </w:pPr>
            <w:r>
              <w:rPr/>
            </w:r>
          </w:p>
        </w:tc>
        <w:tc>
          <w:tcPr>
            <w:tcW w:w="60" w:type="dxa"/>
            <w:tcBorders/>
            <w:vAlign w:val="center"/>
          </w:tcPr>
          <w:p>
            <w:pPr>
              <w:pStyle w:val="TableContents"/>
              <w:bidi w:val="0"/>
              <w:spacing w:before="0" w:after="283"/>
              <w:ind w:left="0" w:right="0" w:hanging="0"/>
              <w:jc w:val="left"/>
              <w:rPr/>
            </w:pPr>
            <w:r>
              <w:rPr/>
            </w:r>
          </w:p>
        </w:tc>
        <w:tc>
          <w:tcPr>
            <w:tcW w:w="9376" w:type="dxa"/>
            <w:tcBorders/>
            <w:vAlign w:val="center"/>
          </w:tcPr>
          <w:p>
            <w:pPr>
              <w:pStyle w:val="TableContents"/>
              <w:bidi w:val="0"/>
              <w:spacing w:before="0" w:after="283"/>
              <w:ind w:left="0" w:right="0" w:hanging="0"/>
              <w:jc w:val="left"/>
              <w:rPr/>
            </w:pPr>
            <w:r>
              <w:rPr/>
            </w:r>
          </w:p>
        </w:tc>
      </w:tr>
      <w:tr>
        <w:trPr/>
        <w:tc>
          <w:tcPr>
            <w:tcW w:w="769"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31.1*</w:t>
            </w:r>
          </w:p>
        </w:tc>
        <w:tc>
          <w:tcPr>
            <w:tcW w:w="60" w:type="dxa"/>
            <w:tcBorders/>
            <w:vAlign w:val="center"/>
          </w:tcPr>
          <w:p>
            <w:pPr>
              <w:pStyle w:val="TableContents"/>
              <w:bidi w:val="0"/>
              <w:spacing w:before="0" w:after="0"/>
              <w:ind w:left="0" w:right="0" w:hanging="0"/>
              <w:jc w:val="left"/>
              <w:rPr/>
            </w:pPr>
            <w:r>
              <w:rPr/>
              <w:t> </w:t>
            </w:r>
          </w:p>
        </w:tc>
        <w:tc>
          <w:tcPr>
            <w:tcW w:w="9376" w:type="dxa"/>
            <w:tcBorders/>
            <w:vAlign w:val="center"/>
          </w:tcPr>
          <w:p>
            <w:pPr>
              <w:pStyle w:val="TableContents"/>
              <w:bidi w:val="0"/>
              <w:spacing w:before="0" w:after="0"/>
              <w:ind w:left="0" w:right="0" w:hanging="0"/>
              <w:jc w:val="left"/>
              <w:rPr/>
            </w:pPr>
            <w:hyperlink w:anchor="ex311_1.htm">
              <w:r>
                <w:rPr>
                  <w:rStyle w:val="InternetLink"/>
                  <w:rFonts w:ascii="Times New Roman" w:hAnsi="Times New Roman"/>
                  <w:sz w:val="20"/>
                </w:rPr>
                <w:t>Section 302 Certification of Chief Executive Officer (filed herewith)</w:t>
              </w:r>
            </w:hyperlink>
          </w:p>
        </w:tc>
      </w:tr>
      <w:tr>
        <w:trPr/>
        <w:tc>
          <w:tcPr>
            <w:tcW w:w="769"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9376" w:type="dxa"/>
            <w:tcBorders/>
            <w:vAlign w:val="center"/>
          </w:tcPr>
          <w:p>
            <w:pPr>
              <w:pStyle w:val="TableContents"/>
              <w:bidi w:val="0"/>
              <w:spacing w:before="0" w:after="0"/>
              <w:ind w:left="0" w:right="0" w:hanging="0"/>
              <w:jc w:val="left"/>
              <w:rPr/>
            </w:pPr>
            <w:r>
              <w:rPr/>
              <w:t> </w:t>
            </w:r>
          </w:p>
        </w:tc>
      </w:tr>
      <w:tr>
        <w:trPr/>
        <w:tc>
          <w:tcPr>
            <w:tcW w:w="769"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31.2*</w:t>
            </w:r>
          </w:p>
        </w:tc>
        <w:tc>
          <w:tcPr>
            <w:tcW w:w="60" w:type="dxa"/>
            <w:tcBorders/>
            <w:vAlign w:val="center"/>
          </w:tcPr>
          <w:p>
            <w:pPr>
              <w:pStyle w:val="TableContents"/>
              <w:bidi w:val="0"/>
              <w:spacing w:before="0" w:after="0"/>
              <w:ind w:left="0" w:right="0" w:hanging="0"/>
              <w:jc w:val="left"/>
              <w:rPr/>
            </w:pPr>
            <w:r>
              <w:rPr/>
              <w:t> </w:t>
            </w:r>
          </w:p>
        </w:tc>
        <w:tc>
          <w:tcPr>
            <w:tcW w:w="9376" w:type="dxa"/>
            <w:tcBorders/>
            <w:vAlign w:val="center"/>
          </w:tcPr>
          <w:p>
            <w:pPr>
              <w:pStyle w:val="TableContents"/>
              <w:bidi w:val="0"/>
              <w:spacing w:before="0" w:after="0"/>
              <w:ind w:left="0" w:right="0" w:hanging="0"/>
              <w:jc w:val="left"/>
              <w:rPr/>
            </w:pPr>
            <w:hyperlink w:anchor="ex312_2.htm">
              <w:r>
                <w:rPr>
                  <w:rStyle w:val="InternetLink"/>
                  <w:rFonts w:ascii="Times New Roman" w:hAnsi="Times New Roman"/>
                  <w:sz w:val="20"/>
                </w:rPr>
                <w:t>Section 302 Certification of Principal Financial Officer (filed herewith)</w:t>
              </w:r>
            </w:hyperlink>
          </w:p>
        </w:tc>
      </w:tr>
      <w:tr>
        <w:trPr/>
        <w:tc>
          <w:tcPr>
            <w:tcW w:w="769"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9376" w:type="dxa"/>
            <w:tcBorders/>
            <w:vAlign w:val="center"/>
          </w:tcPr>
          <w:p>
            <w:pPr>
              <w:pStyle w:val="TableContents"/>
              <w:bidi w:val="0"/>
              <w:spacing w:before="0" w:after="0"/>
              <w:ind w:left="0" w:right="0" w:hanging="0"/>
              <w:jc w:val="left"/>
              <w:rPr/>
            </w:pPr>
            <w:r>
              <w:rPr/>
              <w:t> </w:t>
            </w:r>
          </w:p>
        </w:tc>
      </w:tr>
      <w:tr>
        <w:trPr/>
        <w:tc>
          <w:tcPr>
            <w:tcW w:w="769"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32.1*</w:t>
            </w:r>
          </w:p>
        </w:tc>
        <w:tc>
          <w:tcPr>
            <w:tcW w:w="60" w:type="dxa"/>
            <w:tcBorders/>
            <w:vAlign w:val="center"/>
          </w:tcPr>
          <w:p>
            <w:pPr>
              <w:pStyle w:val="TableContents"/>
              <w:bidi w:val="0"/>
              <w:spacing w:before="0" w:after="0"/>
              <w:ind w:left="0" w:right="0" w:hanging="0"/>
              <w:jc w:val="left"/>
              <w:rPr/>
            </w:pPr>
            <w:r>
              <w:rPr/>
              <w:t> </w:t>
            </w:r>
          </w:p>
        </w:tc>
        <w:tc>
          <w:tcPr>
            <w:tcW w:w="9376" w:type="dxa"/>
            <w:tcBorders/>
            <w:vAlign w:val="center"/>
          </w:tcPr>
          <w:p>
            <w:pPr>
              <w:pStyle w:val="TableContents"/>
              <w:bidi w:val="0"/>
              <w:spacing w:before="0" w:after="0"/>
              <w:ind w:left="0" w:right="0" w:hanging="0"/>
              <w:jc w:val="left"/>
              <w:rPr/>
            </w:pPr>
            <w:hyperlink w:anchor="ex321_3.htm">
              <w:r>
                <w:rPr>
                  <w:rStyle w:val="InternetLink"/>
                  <w:rFonts w:ascii="Times New Roman" w:hAnsi="Times New Roman"/>
                  <w:sz w:val="20"/>
                </w:rPr>
                <w:t>Section 906 Certification of Chief Executive Officer (filed herewith)</w:t>
              </w:r>
            </w:hyperlink>
          </w:p>
        </w:tc>
      </w:tr>
      <w:tr>
        <w:trPr/>
        <w:tc>
          <w:tcPr>
            <w:tcW w:w="769"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9376" w:type="dxa"/>
            <w:tcBorders/>
            <w:vAlign w:val="center"/>
          </w:tcPr>
          <w:p>
            <w:pPr>
              <w:pStyle w:val="TableContents"/>
              <w:bidi w:val="0"/>
              <w:spacing w:before="0" w:after="0"/>
              <w:ind w:left="0" w:right="0" w:hanging="0"/>
              <w:jc w:val="left"/>
              <w:rPr/>
            </w:pPr>
            <w:r>
              <w:rPr/>
              <w:t> </w:t>
            </w:r>
          </w:p>
        </w:tc>
      </w:tr>
      <w:tr>
        <w:trPr/>
        <w:tc>
          <w:tcPr>
            <w:tcW w:w="769"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32.2*</w:t>
            </w:r>
          </w:p>
        </w:tc>
        <w:tc>
          <w:tcPr>
            <w:tcW w:w="60" w:type="dxa"/>
            <w:tcBorders/>
            <w:vAlign w:val="center"/>
          </w:tcPr>
          <w:p>
            <w:pPr>
              <w:pStyle w:val="TableContents"/>
              <w:bidi w:val="0"/>
              <w:spacing w:before="0" w:after="0"/>
              <w:ind w:left="0" w:right="0" w:hanging="0"/>
              <w:jc w:val="left"/>
              <w:rPr/>
            </w:pPr>
            <w:r>
              <w:rPr/>
              <w:t> </w:t>
            </w:r>
          </w:p>
        </w:tc>
        <w:tc>
          <w:tcPr>
            <w:tcW w:w="9376" w:type="dxa"/>
            <w:tcBorders/>
            <w:vAlign w:val="center"/>
          </w:tcPr>
          <w:p>
            <w:pPr>
              <w:pStyle w:val="TableContents"/>
              <w:bidi w:val="0"/>
              <w:spacing w:before="0" w:after="0"/>
              <w:ind w:left="0" w:right="0" w:hanging="0"/>
              <w:jc w:val="left"/>
              <w:rPr/>
            </w:pPr>
            <w:hyperlink w:anchor="ex322_4.htm">
              <w:r>
                <w:rPr>
                  <w:rStyle w:val="InternetLink"/>
                  <w:rFonts w:ascii="Times New Roman" w:hAnsi="Times New Roman"/>
                  <w:sz w:val="20"/>
                </w:rPr>
                <w:t>Section 906 Certification of Principal Financial Officer (filed herewith)</w:t>
              </w:r>
            </w:hyperlink>
          </w:p>
        </w:tc>
      </w:tr>
      <w:tr>
        <w:trPr/>
        <w:tc>
          <w:tcPr>
            <w:tcW w:w="769"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9376" w:type="dxa"/>
            <w:tcBorders/>
            <w:vAlign w:val="center"/>
          </w:tcPr>
          <w:p>
            <w:pPr>
              <w:pStyle w:val="TableContents"/>
              <w:bidi w:val="0"/>
              <w:spacing w:before="0" w:after="0"/>
              <w:ind w:left="0" w:right="0" w:hanging="0"/>
              <w:jc w:val="left"/>
              <w:rPr/>
            </w:pPr>
            <w:r>
              <w:rPr/>
              <w:t> </w:t>
            </w:r>
          </w:p>
        </w:tc>
      </w:tr>
      <w:tr>
        <w:trPr/>
        <w:tc>
          <w:tcPr>
            <w:tcW w:w="769"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101.INS</w:t>
            </w:r>
          </w:p>
        </w:tc>
        <w:tc>
          <w:tcPr>
            <w:tcW w:w="60" w:type="dxa"/>
            <w:tcBorders/>
            <w:vAlign w:val="center"/>
          </w:tcPr>
          <w:p>
            <w:pPr>
              <w:pStyle w:val="TableContents"/>
              <w:bidi w:val="0"/>
              <w:spacing w:before="0" w:after="0"/>
              <w:ind w:left="0" w:right="0" w:hanging="0"/>
              <w:jc w:val="left"/>
              <w:rPr/>
            </w:pPr>
            <w:r>
              <w:rPr/>
              <w:t> </w:t>
            </w:r>
          </w:p>
        </w:tc>
        <w:tc>
          <w:tcPr>
            <w:tcW w:w="9376"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XBRL Instance Document (filed herewith) </w:t>
            </w:r>
          </w:p>
        </w:tc>
      </w:tr>
      <w:tr>
        <w:trPr/>
        <w:tc>
          <w:tcPr>
            <w:tcW w:w="769"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9376" w:type="dxa"/>
            <w:tcBorders/>
            <w:vAlign w:val="center"/>
          </w:tcPr>
          <w:p>
            <w:pPr>
              <w:pStyle w:val="TableContents"/>
              <w:bidi w:val="0"/>
              <w:spacing w:before="0" w:after="0"/>
              <w:ind w:left="0" w:right="0" w:hanging="0"/>
              <w:jc w:val="left"/>
              <w:rPr/>
            </w:pPr>
            <w:r>
              <w:rPr/>
              <w:t> </w:t>
            </w:r>
          </w:p>
        </w:tc>
      </w:tr>
      <w:tr>
        <w:trPr/>
        <w:tc>
          <w:tcPr>
            <w:tcW w:w="769"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101.SCH</w:t>
            </w:r>
          </w:p>
        </w:tc>
        <w:tc>
          <w:tcPr>
            <w:tcW w:w="60" w:type="dxa"/>
            <w:tcBorders/>
            <w:vAlign w:val="center"/>
          </w:tcPr>
          <w:p>
            <w:pPr>
              <w:pStyle w:val="TableContents"/>
              <w:bidi w:val="0"/>
              <w:spacing w:before="0" w:after="0"/>
              <w:ind w:left="0" w:right="0" w:hanging="0"/>
              <w:jc w:val="left"/>
              <w:rPr/>
            </w:pPr>
            <w:r>
              <w:rPr/>
              <w:t> </w:t>
            </w:r>
          </w:p>
        </w:tc>
        <w:tc>
          <w:tcPr>
            <w:tcW w:w="9376"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XBRL Taxonomy Extension Schema (filed herewith)</w:t>
            </w:r>
          </w:p>
        </w:tc>
      </w:tr>
      <w:tr>
        <w:trPr/>
        <w:tc>
          <w:tcPr>
            <w:tcW w:w="769"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9376" w:type="dxa"/>
            <w:tcBorders/>
            <w:vAlign w:val="center"/>
          </w:tcPr>
          <w:p>
            <w:pPr>
              <w:pStyle w:val="TableContents"/>
              <w:bidi w:val="0"/>
              <w:spacing w:before="0" w:after="0"/>
              <w:ind w:left="0" w:right="0" w:hanging="0"/>
              <w:jc w:val="left"/>
              <w:rPr/>
            </w:pPr>
            <w:r>
              <w:rPr/>
              <w:t> </w:t>
            </w:r>
          </w:p>
        </w:tc>
      </w:tr>
      <w:tr>
        <w:trPr/>
        <w:tc>
          <w:tcPr>
            <w:tcW w:w="769"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101.CAL</w:t>
            </w:r>
          </w:p>
        </w:tc>
        <w:tc>
          <w:tcPr>
            <w:tcW w:w="60" w:type="dxa"/>
            <w:tcBorders/>
            <w:vAlign w:val="center"/>
          </w:tcPr>
          <w:p>
            <w:pPr>
              <w:pStyle w:val="TableContents"/>
              <w:bidi w:val="0"/>
              <w:spacing w:before="0" w:after="0"/>
              <w:ind w:left="0" w:right="0" w:hanging="0"/>
              <w:jc w:val="left"/>
              <w:rPr/>
            </w:pPr>
            <w:r>
              <w:rPr/>
              <w:t> </w:t>
            </w:r>
          </w:p>
        </w:tc>
        <w:tc>
          <w:tcPr>
            <w:tcW w:w="9376"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XBRL Taxonomy Extension Calculation Linkbase (filed herewith)</w:t>
            </w:r>
          </w:p>
        </w:tc>
      </w:tr>
      <w:tr>
        <w:trPr/>
        <w:tc>
          <w:tcPr>
            <w:tcW w:w="769"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9376" w:type="dxa"/>
            <w:tcBorders/>
            <w:vAlign w:val="center"/>
          </w:tcPr>
          <w:p>
            <w:pPr>
              <w:pStyle w:val="TableContents"/>
              <w:bidi w:val="0"/>
              <w:spacing w:before="0" w:after="0"/>
              <w:ind w:left="0" w:right="0" w:hanging="0"/>
              <w:jc w:val="left"/>
              <w:rPr/>
            </w:pPr>
            <w:r>
              <w:rPr/>
              <w:t> </w:t>
            </w:r>
          </w:p>
        </w:tc>
      </w:tr>
      <w:tr>
        <w:trPr/>
        <w:tc>
          <w:tcPr>
            <w:tcW w:w="769"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101.DEF</w:t>
            </w:r>
          </w:p>
        </w:tc>
        <w:tc>
          <w:tcPr>
            <w:tcW w:w="60" w:type="dxa"/>
            <w:tcBorders/>
            <w:vAlign w:val="center"/>
          </w:tcPr>
          <w:p>
            <w:pPr>
              <w:pStyle w:val="TableContents"/>
              <w:bidi w:val="0"/>
              <w:spacing w:before="0" w:after="0"/>
              <w:ind w:left="0" w:right="0" w:hanging="0"/>
              <w:jc w:val="left"/>
              <w:rPr/>
            </w:pPr>
            <w:r>
              <w:rPr/>
              <w:t> </w:t>
            </w:r>
          </w:p>
        </w:tc>
        <w:tc>
          <w:tcPr>
            <w:tcW w:w="9376"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XBRL Taxonomy Extension Definitions Linkbase (filed herewith)</w:t>
            </w:r>
          </w:p>
        </w:tc>
      </w:tr>
      <w:tr>
        <w:trPr/>
        <w:tc>
          <w:tcPr>
            <w:tcW w:w="769"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9376" w:type="dxa"/>
            <w:tcBorders/>
            <w:vAlign w:val="center"/>
          </w:tcPr>
          <w:p>
            <w:pPr>
              <w:pStyle w:val="TableContents"/>
              <w:bidi w:val="0"/>
              <w:spacing w:before="0" w:after="0"/>
              <w:ind w:left="0" w:right="0" w:hanging="0"/>
              <w:jc w:val="left"/>
              <w:rPr/>
            </w:pPr>
            <w:r>
              <w:rPr/>
              <w:t> </w:t>
            </w:r>
          </w:p>
        </w:tc>
      </w:tr>
      <w:tr>
        <w:trPr/>
        <w:tc>
          <w:tcPr>
            <w:tcW w:w="769"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101.LAB</w:t>
            </w:r>
          </w:p>
        </w:tc>
        <w:tc>
          <w:tcPr>
            <w:tcW w:w="60" w:type="dxa"/>
            <w:tcBorders/>
            <w:vAlign w:val="center"/>
          </w:tcPr>
          <w:p>
            <w:pPr>
              <w:pStyle w:val="TableContents"/>
              <w:bidi w:val="0"/>
              <w:spacing w:before="0" w:after="0"/>
              <w:ind w:left="0" w:right="0" w:hanging="0"/>
              <w:jc w:val="left"/>
              <w:rPr/>
            </w:pPr>
            <w:r>
              <w:rPr/>
              <w:t> </w:t>
            </w:r>
          </w:p>
        </w:tc>
        <w:tc>
          <w:tcPr>
            <w:tcW w:w="9376"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XBRL Taxonomy Extension Label Linkbase (filed herewith)</w:t>
            </w:r>
          </w:p>
        </w:tc>
      </w:tr>
      <w:tr>
        <w:trPr/>
        <w:tc>
          <w:tcPr>
            <w:tcW w:w="769"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9376" w:type="dxa"/>
            <w:tcBorders/>
            <w:vAlign w:val="center"/>
          </w:tcPr>
          <w:p>
            <w:pPr>
              <w:pStyle w:val="TableContents"/>
              <w:bidi w:val="0"/>
              <w:spacing w:before="0" w:after="0"/>
              <w:ind w:left="0" w:right="0" w:hanging="0"/>
              <w:jc w:val="left"/>
              <w:rPr/>
            </w:pPr>
            <w:r>
              <w:rPr/>
              <w:t> </w:t>
            </w:r>
          </w:p>
        </w:tc>
      </w:tr>
      <w:tr>
        <w:trPr/>
        <w:tc>
          <w:tcPr>
            <w:tcW w:w="769"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101.PRE</w:t>
            </w:r>
          </w:p>
        </w:tc>
        <w:tc>
          <w:tcPr>
            <w:tcW w:w="60" w:type="dxa"/>
            <w:tcBorders/>
            <w:vAlign w:val="center"/>
          </w:tcPr>
          <w:p>
            <w:pPr>
              <w:pStyle w:val="TableContents"/>
              <w:bidi w:val="0"/>
              <w:spacing w:before="0" w:after="0"/>
              <w:ind w:left="0" w:right="0" w:hanging="0"/>
              <w:jc w:val="left"/>
              <w:rPr/>
            </w:pPr>
            <w:r>
              <w:rPr/>
              <w:t> </w:t>
            </w:r>
          </w:p>
        </w:tc>
        <w:tc>
          <w:tcPr>
            <w:tcW w:w="9376"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XBRL Taxonomy Extension Presentation Linkbase (filed herewith)</w:t>
            </w:r>
          </w:p>
        </w:tc>
      </w:tr>
      <w:tr>
        <w:trPr/>
        <w:tc>
          <w:tcPr>
            <w:tcW w:w="769" w:type="dxa"/>
            <w:tcBorders/>
            <w:vAlign w:val="center"/>
          </w:tcPr>
          <w:p>
            <w:pPr>
              <w:pStyle w:val="TableContents"/>
              <w:bidi w:val="0"/>
              <w:spacing w:before="0" w:after="283"/>
              <w:ind w:left="0" w:right="0" w:hanging="0"/>
              <w:jc w:val="left"/>
              <w:rPr/>
            </w:pPr>
            <w:r>
              <w:rPr/>
            </w:r>
          </w:p>
        </w:tc>
        <w:tc>
          <w:tcPr>
            <w:tcW w:w="60" w:type="dxa"/>
            <w:tcBorders/>
            <w:vAlign w:val="center"/>
          </w:tcPr>
          <w:p>
            <w:pPr>
              <w:pStyle w:val="TableContents"/>
              <w:bidi w:val="0"/>
              <w:spacing w:before="0" w:after="283"/>
              <w:ind w:left="0" w:right="0" w:hanging="0"/>
              <w:jc w:val="left"/>
              <w:rPr/>
            </w:pPr>
            <w:r>
              <w:rPr/>
            </w:r>
          </w:p>
        </w:tc>
        <w:tc>
          <w:tcPr>
            <w:tcW w:w="9376" w:type="dxa"/>
            <w:tcBorders/>
            <w:vAlign w:val="center"/>
          </w:tcPr>
          <w:p>
            <w:pPr>
              <w:pStyle w:val="TableContents"/>
              <w:bidi w:val="0"/>
              <w:spacing w:before="0" w:after="283"/>
              <w:ind w:left="0" w:right="0" w:hanging="0"/>
              <w:jc w:val="left"/>
              <w:rPr/>
            </w:pPr>
            <w:r>
              <w:rPr/>
            </w:r>
          </w:p>
        </w:tc>
      </w:tr>
      <w:tr>
        <w:trPr/>
        <w:tc>
          <w:tcPr>
            <w:tcW w:w="769" w:type="dxa"/>
            <w:tcBorders/>
            <w:vAlign w:val="center"/>
          </w:tcPr>
          <w:p>
            <w:pPr>
              <w:pStyle w:val="TableContents"/>
              <w:bidi w:val="0"/>
              <w:spacing w:before="0" w:after="0"/>
              <w:ind w:left="0" w:right="0" w:hanging="0"/>
              <w:jc w:val="left"/>
              <w:rPr/>
            </w:pPr>
            <w:r>
              <w:rPr/>
              <w:t>104.1</w:t>
            </w:r>
          </w:p>
        </w:tc>
        <w:tc>
          <w:tcPr>
            <w:tcW w:w="60" w:type="dxa"/>
            <w:tcBorders/>
            <w:vAlign w:val="center"/>
          </w:tcPr>
          <w:p>
            <w:pPr>
              <w:pStyle w:val="TableContents"/>
              <w:bidi w:val="0"/>
              <w:spacing w:before="0" w:after="283"/>
              <w:ind w:left="0" w:right="0" w:hanging="0"/>
              <w:jc w:val="left"/>
              <w:rPr/>
            </w:pPr>
            <w:r>
              <w:rPr/>
            </w:r>
          </w:p>
        </w:tc>
        <w:tc>
          <w:tcPr>
            <w:tcW w:w="9376" w:type="dxa"/>
            <w:tcBorders/>
            <w:vAlign w:val="center"/>
          </w:tcPr>
          <w:p>
            <w:pPr>
              <w:pStyle w:val="TableContents"/>
              <w:bidi w:val="0"/>
              <w:spacing w:before="0" w:after="0"/>
              <w:ind w:left="0" w:right="0" w:hanging="0"/>
              <w:jc w:val="left"/>
              <w:rPr/>
            </w:pPr>
            <w:r>
              <w:rPr/>
              <w:t>The cover page of this Quarterly Report on Form 10-Q, formatted in Inline XBRL.</w:t>
            </w:r>
          </w:p>
        </w:tc>
      </w:tr>
      <w:tr>
        <w:trPr/>
        <w:tc>
          <w:tcPr>
            <w:tcW w:w="10205" w:type="dxa"/>
            <w:gridSpan w:val="3"/>
            <w:tcBorders/>
            <w:vAlign w:val="center"/>
          </w:tcPr>
          <w:p>
            <w:pPr>
              <w:pStyle w:val="TableContents"/>
              <w:bidi w:val="0"/>
              <w:spacing w:before="100" w:after="0"/>
              <w:ind w:left="0" w:right="0" w:hanging="0"/>
              <w:jc w:val="left"/>
              <w:rPr>
                <w:sz w:val="20"/>
              </w:rPr>
            </w:pPr>
            <w:r>
              <w:rPr>
                <w:sz w:val="20"/>
              </w:rPr>
              <w:t>* Filed herewith.</w:t>
            </w:r>
          </w:p>
          <w:p>
            <w:pPr>
              <w:pStyle w:val="TableContents"/>
              <w:bidi w:val="0"/>
              <w:spacing w:before="0" w:after="100"/>
              <w:ind w:left="0" w:right="0" w:hanging="0"/>
              <w:jc w:val="left"/>
              <w:rPr/>
            </w:pPr>
            <w:r>
              <w:rPr/>
              <w:t># Certain portions of this exhibit (indicated by “[***]”) have been omitted pursuant to Item 601(b)(10)(iv) of Regulation S-K, and exhibits and schedules have been omitted pursuant to Item 601(a)(5) of Regulation S-K.</w:t>
            </w:r>
          </w:p>
        </w:tc>
      </w:tr>
    </w:tbl>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bookmarkStart w:id="705" w:name="PageBreakNo31"/>
            <w:bookmarkEnd w:id="705"/>
            <w:r>
              <w:rPr>
                <w:sz w:val="20"/>
              </w:rPr>
              <w:t>31</w:t>
            </w:r>
          </w:p>
        </w:tc>
      </w:tr>
    </w:tbl>
    <w:p>
      <w:pPr>
        <w:pStyle w:val="HorizontalLine"/>
        <w:bidi w:val="0"/>
        <w:spacing w:lineRule="auto" w:line="288" w:before="0" w:after="0"/>
        <w:jc w:val="left"/>
        <w:rPr/>
      </w:pPr>
      <w:r>
        <w:rPr/>
      </w:r>
    </w:p>
    <w:p>
      <w:pPr>
        <w:pStyle w:val="TextBody"/>
        <w:bidi w:val="0"/>
        <w:spacing w:lineRule="auto" w:line="288" w:before="0" w:after="0"/>
        <w:jc w:val="left"/>
        <w:rPr/>
      </w:pPr>
      <w:hyperlink w:anchor="TOC">
        <w:r>
          <w:rPr>
            <w:rStyle w:val="InternetLink"/>
            <w:rFonts w:ascii="times new roman;times" w:hAnsi="times new roman;times"/>
            <w:sz w:val="20"/>
          </w:rPr>
          <w:t>Table of Contents</w:t>
        </w:r>
      </w:hyperlink>
    </w:p>
    <w:p>
      <w:pPr>
        <w:pStyle w:val="TextBody"/>
        <w:bidi w:val="0"/>
        <w:spacing w:lineRule="auto" w:line="288"/>
        <w:jc w:val="left"/>
        <w:rPr/>
      </w:pPr>
      <w:r>
        <w:rPr/>
      </w:r>
    </w:p>
    <w:p>
      <w:pPr>
        <w:pStyle w:val="TextBody"/>
        <w:bidi w:val="0"/>
        <w:spacing w:lineRule="auto" w:line="288" w:before="0" w:after="0"/>
        <w:ind w:left="144" w:right="144" w:hanging="0"/>
        <w:jc w:val="center"/>
        <w:rPr>
          <w:rFonts w:ascii="Times New Roman" w:hAnsi="Times New Roman"/>
          <w:b/>
          <w:sz w:val="20"/>
        </w:rPr>
      </w:pPr>
      <w:r>
        <w:rPr>
          <w:rFonts w:ascii="Times New Roman" w:hAnsi="Times New Roman"/>
          <w:b/>
          <w:sz w:val="20"/>
        </w:rPr>
        <w:t>SIGNATURES</w:t>
      </w:r>
    </w:p>
    <w:p>
      <w:pPr>
        <w:pStyle w:val="TextBody"/>
        <w:bidi w:val="0"/>
        <w:spacing w:lineRule="auto" w:line="288" w:before="0" w:after="0"/>
        <w:ind w:left="144" w:right="144" w:hanging="0"/>
        <w:jc w:val="center"/>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Pursuant to the requirements of the Securities and Exchange Act of 1934, the registrant has duly caused this report to be signed on its behalf by the undersigned thereunto duly authorized.</w:t>
      </w:r>
    </w:p>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2611"/>
        <w:gridCol w:w="496"/>
        <w:gridCol w:w="7098"/>
      </w:tblGrid>
      <w:tr>
        <w:trPr/>
        <w:tc>
          <w:tcPr>
            <w:tcW w:w="2611" w:type="dxa"/>
            <w:tcBorders/>
            <w:vAlign w:val="center"/>
          </w:tcPr>
          <w:p>
            <w:pPr>
              <w:pStyle w:val="TableContents"/>
              <w:bidi w:val="0"/>
              <w:spacing w:before="0" w:after="0"/>
              <w:ind w:left="0" w:right="0" w:hanging="0"/>
              <w:jc w:val="left"/>
              <w:rPr/>
            </w:pPr>
            <w:r>
              <w:rPr/>
              <w:t> </w:t>
            </w:r>
          </w:p>
        </w:tc>
        <w:tc>
          <w:tcPr>
            <w:tcW w:w="7594" w:type="dxa"/>
            <w:gridSpan w:val="2"/>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ClearOne, Inc.,</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(Registrant)</w:t>
            </w:r>
          </w:p>
        </w:tc>
      </w:tr>
      <w:tr>
        <w:trPr/>
        <w:tc>
          <w:tcPr>
            <w:tcW w:w="2611"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left"/>
              <w:rPr/>
            </w:pPr>
            <w:r>
              <w:rPr/>
              <w:t> </w:t>
            </w:r>
          </w:p>
        </w:tc>
        <w:tc>
          <w:tcPr>
            <w:tcW w:w="7098" w:type="dxa"/>
            <w:tcBorders/>
            <w:vAlign w:val="center"/>
          </w:tcPr>
          <w:p>
            <w:pPr>
              <w:pStyle w:val="TableContents"/>
              <w:bidi w:val="0"/>
              <w:spacing w:before="0" w:after="0"/>
              <w:ind w:left="0" w:right="0" w:hanging="0"/>
              <w:jc w:val="left"/>
              <w:rPr/>
            </w:pPr>
            <w:r>
              <w:rPr/>
              <w:t> </w:t>
            </w:r>
          </w:p>
        </w:tc>
      </w:tr>
      <w:tr>
        <w:trPr/>
        <w:tc>
          <w:tcPr>
            <w:tcW w:w="2611"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By:</w:t>
            </w:r>
          </w:p>
        </w:tc>
        <w:tc>
          <w:tcPr>
            <w:tcW w:w="7098" w:type="dxa"/>
            <w:tcBorders/>
            <w:vAlign w:val="center"/>
          </w:tcPr>
          <w:p>
            <w:pPr>
              <w:pStyle w:val="TableContents"/>
              <w:bidi w:val="0"/>
              <w:spacing w:before="0" w:after="0"/>
              <w:ind w:left="0" w:right="0" w:hanging="0"/>
              <w:jc w:val="left"/>
              <w:rPr>
                <w:rFonts w:ascii="Times New Roman" w:hAnsi="Times New Roman"/>
                <w:i/>
                <w:sz w:val="20"/>
              </w:rPr>
            </w:pPr>
            <w:r>
              <w:rPr>
                <w:rFonts w:ascii="Times New Roman" w:hAnsi="Times New Roman"/>
                <w:i/>
                <w:sz w:val="20"/>
              </w:rPr>
              <w:t>/s/ Derek L. Graham</w:t>
            </w:r>
          </w:p>
        </w:tc>
      </w:tr>
      <w:tr>
        <w:trPr/>
        <w:tc>
          <w:tcPr>
            <w:tcW w:w="2611" w:type="dxa"/>
            <w:tcBorders/>
            <w:vAlign w:val="center"/>
          </w:tcPr>
          <w:p>
            <w:pPr>
              <w:pStyle w:val="TableContents"/>
              <w:bidi w:val="0"/>
              <w:spacing w:before="0" w:after="0"/>
              <w:ind w:left="0" w:right="0" w:hanging="0"/>
              <w:jc w:val="left"/>
              <w:rPr>
                <w:rFonts w:ascii="Times New Roman" w:hAnsi="Times New Roman"/>
                <w:sz w:val="20"/>
              </w:rPr>
            </w:pPr>
            <w:bookmarkStart w:id="706" w:name="fs_M48CNX43WG00000000000000000000FM"/>
            <w:bookmarkEnd w:id="706"/>
            <w:r>
              <w:rPr>
                <w:rFonts w:ascii="Times New Roman" w:hAnsi="Times New Roman"/>
                <w:sz w:val="20"/>
              </w:rPr>
              <w:t>November 14, 2025</w:t>
            </w:r>
          </w:p>
        </w:tc>
        <w:tc>
          <w:tcPr>
            <w:tcW w:w="496" w:type="dxa"/>
            <w:tcBorders/>
            <w:vAlign w:val="center"/>
          </w:tcPr>
          <w:p>
            <w:pPr>
              <w:pStyle w:val="TableContents"/>
              <w:bidi w:val="0"/>
              <w:spacing w:before="0" w:after="0"/>
              <w:ind w:left="0" w:right="0" w:hanging="0"/>
              <w:jc w:val="left"/>
              <w:rPr/>
            </w:pPr>
            <w:r>
              <w:rPr/>
              <w:t> </w:t>
            </w:r>
          </w:p>
        </w:tc>
        <w:tc>
          <w:tcPr>
            <w:tcW w:w="709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Derek L. Graham</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Chief Executive Officer</w:t>
            </w:r>
          </w:p>
          <w:p>
            <w:pPr>
              <w:pStyle w:val="TableContents"/>
              <w:bidi w:val="0"/>
              <w:spacing w:before="0" w:after="0"/>
              <w:ind w:left="0" w:right="0" w:hanging="0"/>
              <w:jc w:val="left"/>
              <w:rPr>
                <w:rFonts w:ascii="Times New Roman" w:hAnsi="Times New Roman"/>
                <w:i/>
                <w:sz w:val="20"/>
              </w:rPr>
            </w:pPr>
            <w:r>
              <w:rPr>
                <w:rFonts w:ascii="Times New Roman" w:hAnsi="Times New Roman"/>
                <w:i/>
                <w:sz w:val="20"/>
              </w:rPr>
              <w:t>(Principal Executive Officer)</w:t>
            </w:r>
          </w:p>
        </w:tc>
      </w:tr>
      <w:tr>
        <w:trPr/>
        <w:tc>
          <w:tcPr>
            <w:tcW w:w="2611"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left"/>
              <w:rPr/>
            </w:pPr>
            <w:r>
              <w:rPr/>
              <w:t> </w:t>
            </w:r>
          </w:p>
        </w:tc>
        <w:tc>
          <w:tcPr>
            <w:tcW w:w="7098" w:type="dxa"/>
            <w:tcBorders/>
            <w:vAlign w:val="center"/>
          </w:tcPr>
          <w:p>
            <w:pPr>
              <w:pStyle w:val="TableContents"/>
              <w:bidi w:val="0"/>
              <w:spacing w:before="0" w:after="0"/>
              <w:ind w:left="0" w:right="0" w:hanging="0"/>
              <w:jc w:val="left"/>
              <w:rPr/>
            </w:pPr>
            <w:r>
              <w:rPr/>
              <w:t> </w:t>
            </w:r>
          </w:p>
        </w:tc>
      </w:tr>
      <w:tr>
        <w:trPr/>
        <w:tc>
          <w:tcPr>
            <w:tcW w:w="2611"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By:</w:t>
            </w:r>
          </w:p>
        </w:tc>
        <w:tc>
          <w:tcPr>
            <w:tcW w:w="7098" w:type="dxa"/>
            <w:tcBorders/>
            <w:vAlign w:val="center"/>
          </w:tcPr>
          <w:p>
            <w:pPr>
              <w:pStyle w:val="TableContents"/>
              <w:bidi w:val="0"/>
              <w:spacing w:before="0" w:after="0"/>
              <w:ind w:left="0" w:right="0" w:hanging="0"/>
              <w:jc w:val="left"/>
              <w:rPr>
                <w:rFonts w:ascii="Times New Roman" w:hAnsi="Times New Roman"/>
                <w:i/>
                <w:sz w:val="20"/>
              </w:rPr>
            </w:pPr>
            <w:r>
              <w:rPr>
                <w:rFonts w:ascii="Times New Roman" w:hAnsi="Times New Roman"/>
                <w:i/>
                <w:sz w:val="20"/>
              </w:rPr>
              <w:t>/s/ Simon Brewer</w:t>
            </w:r>
          </w:p>
        </w:tc>
      </w:tr>
      <w:tr>
        <w:trPr/>
        <w:tc>
          <w:tcPr>
            <w:tcW w:w="2611" w:type="dxa"/>
            <w:tcBorders/>
            <w:vAlign w:val="center"/>
          </w:tcPr>
          <w:p>
            <w:pPr>
              <w:pStyle w:val="TableContents"/>
              <w:bidi w:val="0"/>
              <w:spacing w:before="0" w:after="0"/>
              <w:ind w:left="0" w:right="0" w:hanging="0"/>
              <w:jc w:val="left"/>
              <w:rPr>
                <w:rFonts w:ascii="Times New Roman" w:hAnsi="Times New Roman"/>
                <w:sz w:val="20"/>
              </w:rPr>
            </w:pPr>
            <w:bookmarkStart w:id="707" w:name="fs_N9TB6XQPTS00000000000000000000FM"/>
            <w:bookmarkEnd w:id="707"/>
            <w:r>
              <w:rPr>
                <w:rFonts w:ascii="Times New Roman" w:hAnsi="Times New Roman"/>
                <w:sz w:val="20"/>
              </w:rPr>
              <w:t>November 14, 2025 </w:t>
            </w:r>
          </w:p>
        </w:tc>
        <w:tc>
          <w:tcPr>
            <w:tcW w:w="496" w:type="dxa"/>
            <w:tcBorders/>
            <w:vAlign w:val="center"/>
          </w:tcPr>
          <w:p>
            <w:pPr>
              <w:pStyle w:val="TableContents"/>
              <w:bidi w:val="0"/>
              <w:spacing w:before="0" w:after="0"/>
              <w:ind w:left="0" w:right="0" w:hanging="0"/>
              <w:jc w:val="left"/>
              <w:rPr/>
            </w:pPr>
            <w:r>
              <w:rPr/>
              <w:t> </w:t>
            </w:r>
          </w:p>
        </w:tc>
        <w:tc>
          <w:tcPr>
            <w:tcW w:w="709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Simon Brewer</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Chief Financial Officer</w:t>
            </w:r>
          </w:p>
          <w:p>
            <w:pPr>
              <w:pStyle w:val="TableContents"/>
              <w:bidi w:val="0"/>
              <w:spacing w:before="0" w:after="0"/>
              <w:ind w:left="0" w:right="0" w:hanging="0"/>
              <w:jc w:val="left"/>
              <w:rPr>
                <w:rFonts w:ascii="Times New Roman" w:hAnsi="Times New Roman"/>
                <w:i/>
                <w:sz w:val="20"/>
              </w:rPr>
            </w:pPr>
            <w:r>
              <w:rPr>
                <w:rFonts w:ascii="Times New Roman" w:hAnsi="Times New Roman"/>
                <w:i/>
                <w:sz w:val="20"/>
              </w:rPr>
              <w:t>(Principal Accounting and Principal Financial Officer)</w:t>
            </w:r>
          </w:p>
        </w:tc>
      </w:tr>
    </w:tbl>
    <w:p>
      <w:pPr>
        <w:pStyle w:val="TextBody"/>
        <w:bidi w:val="0"/>
        <w:spacing w:before="0" w:after="0"/>
        <w:ind w:left="0" w:right="0" w:hanging="0"/>
        <w:jc w:val="left"/>
        <w:rPr/>
      </w:pPr>
      <w:r>
        <w:rPr/>
        <w:t>  </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bookmarkStart w:id="708" w:name="PageBreakNo32"/>
            <w:bookmarkEnd w:id="708"/>
            <w:r>
              <w:rPr>
                <w:sz w:val="20"/>
              </w:rPr>
              <w:t>32</w:t>
            </w:r>
          </w:p>
        </w:tc>
      </w:tr>
    </w:tbl>
    <w:p>
      <w:pPr>
        <w:pStyle w:val="HorizontalLine"/>
        <w:pBdr>
          <w:bottom w:val="double" w:sz="2" w:space="0" w:color="808080"/>
        </w:pBdr>
        <w:bidi w:val="0"/>
        <w:spacing w:before="0" w:after="283"/>
        <w:jc w:val="left"/>
        <w:rPr/>
      </w:pPr>
      <w:r>
        <w:rPr/>
      </w:r>
    </w:p>
    <w:p>
      <w:pPr>
        <w:pStyle w:val="TextBody"/>
        <w:bidi w:val="0"/>
        <w:spacing w:lineRule="auto" w:line="288" w:before="0" w:after="0"/>
        <w:ind w:left="0" w:right="0" w:hanging="0"/>
        <w:jc w:val="right"/>
        <w:rPr>
          <w:rFonts w:ascii="Times New Roman" w:hAnsi="Times New Roman"/>
          <w:b/>
          <w:sz w:val="20"/>
        </w:rPr>
      </w:pPr>
      <w:bookmarkStart w:id="709" w:name="ex311_1.htm"/>
      <w:bookmarkStart w:id="710" w:name="ksex311_1"/>
      <w:bookmarkEnd w:id="709"/>
      <w:bookmarkEnd w:id="710"/>
      <w:r>
        <w:rPr>
          <w:rFonts w:ascii="Times New Roman" w:hAnsi="Times New Roman"/>
          <w:b/>
          <w:sz w:val="20"/>
        </w:rPr>
        <w:t>EXHIBIT 31.1</w:t>
      </w:r>
      <w:r>
        <w:br w:type="page"/>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CERTIFICATION</w:t>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I, Derek L. Graham, certify that:</w:t>
      </w:r>
    </w:p>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pBdr/>
              <w:bidi w:val="0"/>
              <w:spacing w:before="0" w:after="0"/>
              <w:ind w:left="0" w:right="0" w:hanging="0"/>
              <w:jc w:val="both"/>
              <w:rPr>
                <w:rFonts w:ascii="Times New Roman" w:hAnsi="Times New Roman"/>
                <w:sz w:val="20"/>
              </w:rPr>
            </w:pPr>
            <w:r>
              <w:rPr>
                <w:rFonts w:ascii="Times New Roman" w:hAnsi="Times New Roman"/>
                <w:sz w:val="20"/>
              </w:rPr>
              <w:t>1.</w:t>
            </w:r>
          </w:p>
        </w:tc>
        <w:tc>
          <w:tcPr>
            <w:tcW w:w="10050" w:type="dxa"/>
            <w:tcBorders/>
            <w:vAlign w:val="center"/>
          </w:tcPr>
          <w:p>
            <w:pPr>
              <w:pStyle w:val="TableContents"/>
              <w:pBdr/>
              <w:bidi w:val="0"/>
              <w:spacing w:before="0" w:after="0"/>
              <w:ind w:left="0" w:right="0" w:hanging="0"/>
              <w:jc w:val="both"/>
              <w:rPr>
                <w:rFonts w:ascii="Times New Roman" w:hAnsi="Times New Roman"/>
                <w:sz w:val="20"/>
              </w:rPr>
            </w:pPr>
            <w:r>
              <w:rPr>
                <w:rFonts w:ascii="Times New Roman" w:hAnsi="Times New Roman"/>
                <w:sz w:val="20"/>
              </w:rPr>
              <w:t>I have reviewed this quarterly report of ClearOne, Inc. on Form 10-Q;</w:t>
            </w:r>
          </w:p>
        </w:tc>
      </w:tr>
      <w:tr>
        <w:trPr/>
        <w:tc>
          <w:tcPr>
            <w:tcW w:w="155" w:type="dxa"/>
            <w:tcBorders/>
            <w:vAlign w:val="center"/>
          </w:tcPr>
          <w:p>
            <w:pPr>
              <w:pStyle w:val="TableContents"/>
              <w:bidi w:val="0"/>
              <w:spacing w:before="0" w:after="283"/>
              <w:ind w:left="0" w:right="0" w:hanging="0"/>
              <w:jc w:val="left"/>
              <w:rPr/>
            </w:pPr>
            <w:r>
              <w:rPr/>
            </w:r>
          </w:p>
        </w:tc>
        <w:tc>
          <w:tcPr>
            <w:tcW w:w="10050" w:type="dxa"/>
            <w:tcBorders/>
            <w:vAlign w:val="center"/>
          </w:tcPr>
          <w:p>
            <w:pPr>
              <w:pStyle w:val="TableContents"/>
              <w:bidi w:val="0"/>
              <w:spacing w:before="0" w:after="283"/>
              <w:ind w:left="0" w:right="0" w:hanging="0"/>
              <w:jc w:val="left"/>
              <w:rPr/>
            </w:pPr>
            <w:r>
              <w:rPr/>
            </w:r>
          </w:p>
        </w:tc>
      </w:tr>
      <w:tr>
        <w:trPr/>
        <w:tc>
          <w:tcPr>
            <w:tcW w:w="155" w:type="dxa"/>
            <w:tcBorders/>
            <w:vAlign w:val="center"/>
          </w:tcPr>
          <w:p>
            <w:pPr>
              <w:pStyle w:val="TableContents"/>
              <w:pBdr/>
              <w:bidi w:val="0"/>
              <w:spacing w:before="0" w:after="0"/>
              <w:ind w:left="0" w:right="0" w:hanging="0"/>
              <w:jc w:val="both"/>
              <w:rPr>
                <w:rFonts w:ascii="Times New Roman" w:hAnsi="Times New Roman"/>
                <w:sz w:val="20"/>
              </w:rPr>
            </w:pPr>
            <w:r>
              <w:rPr>
                <w:rFonts w:ascii="Times New Roman" w:hAnsi="Times New Roman"/>
                <w:sz w:val="20"/>
              </w:rPr>
              <w:t>2.</w:t>
            </w:r>
          </w:p>
        </w:tc>
        <w:tc>
          <w:tcPr>
            <w:tcW w:w="10050" w:type="dxa"/>
            <w:tcBorders/>
            <w:vAlign w:val="center"/>
          </w:tcPr>
          <w:p>
            <w:pPr>
              <w:pStyle w:val="TableContents"/>
              <w:pBdr/>
              <w:bidi w:val="0"/>
              <w:spacing w:before="0" w:after="0"/>
              <w:ind w:left="0" w:right="0" w:hanging="0"/>
              <w:jc w:val="both"/>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55" w:type="dxa"/>
            <w:tcBorders/>
            <w:vAlign w:val="center"/>
          </w:tcPr>
          <w:p>
            <w:pPr>
              <w:pStyle w:val="TableContents"/>
              <w:bidi w:val="0"/>
              <w:spacing w:before="0" w:after="283"/>
              <w:ind w:left="0" w:right="0" w:hanging="0"/>
              <w:jc w:val="left"/>
              <w:rPr/>
            </w:pPr>
            <w:r>
              <w:rPr/>
            </w:r>
          </w:p>
        </w:tc>
        <w:tc>
          <w:tcPr>
            <w:tcW w:w="10050" w:type="dxa"/>
            <w:tcBorders/>
            <w:vAlign w:val="center"/>
          </w:tcPr>
          <w:p>
            <w:pPr>
              <w:pStyle w:val="TableContents"/>
              <w:bidi w:val="0"/>
              <w:spacing w:before="0" w:after="283"/>
              <w:ind w:left="0" w:right="0" w:hanging="0"/>
              <w:jc w:val="left"/>
              <w:rPr/>
            </w:pPr>
            <w:r>
              <w:rPr/>
            </w:r>
          </w:p>
        </w:tc>
      </w:tr>
      <w:tr>
        <w:trPr/>
        <w:tc>
          <w:tcPr>
            <w:tcW w:w="155" w:type="dxa"/>
            <w:tcBorders/>
            <w:vAlign w:val="center"/>
          </w:tcPr>
          <w:p>
            <w:pPr>
              <w:pStyle w:val="TableContents"/>
              <w:pBdr/>
              <w:bidi w:val="0"/>
              <w:spacing w:before="0" w:after="0"/>
              <w:ind w:left="0" w:right="0" w:hanging="0"/>
              <w:jc w:val="both"/>
              <w:rPr>
                <w:rFonts w:ascii="Times New Roman" w:hAnsi="Times New Roman"/>
                <w:sz w:val="20"/>
              </w:rPr>
            </w:pPr>
            <w:r>
              <w:rPr>
                <w:rFonts w:ascii="Times New Roman" w:hAnsi="Times New Roman"/>
                <w:sz w:val="20"/>
              </w:rPr>
              <w:t>3.</w:t>
            </w:r>
          </w:p>
        </w:tc>
        <w:tc>
          <w:tcPr>
            <w:tcW w:w="10050" w:type="dxa"/>
            <w:tcBorders/>
            <w:vAlign w:val="center"/>
          </w:tcPr>
          <w:p>
            <w:pPr>
              <w:pStyle w:val="TableContents"/>
              <w:pBdr/>
              <w:bidi w:val="0"/>
              <w:spacing w:lineRule="auto" w:line="288" w:before="0" w:after="0"/>
              <w:ind w:left="0" w:right="0" w:hanging="0"/>
              <w:jc w:val="both"/>
              <w:rPr>
                <w:rFonts w:ascii="Times New Roman" w:hAnsi="Times New Roman"/>
                <w:sz w:val="20"/>
              </w:rPr>
            </w:pPr>
            <w:r>
              <w:rPr>
                <w:rFonts w:ascii="Times New Roman" w:hAnsi="Times New Roman"/>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55" w:type="dxa"/>
            <w:tcBorders/>
            <w:vAlign w:val="center"/>
          </w:tcPr>
          <w:p>
            <w:pPr>
              <w:pStyle w:val="TableContents"/>
              <w:bidi w:val="0"/>
              <w:spacing w:before="0" w:after="283"/>
              <w:ind w:left="0" w:right="0" w:hanging="0"/>
              <w:jc w:val="left"/>
              <w:rPr/>
            </w:pPr>
            <w:r>
              <w:rPr/>
            </w:r>
          </w:p>
        </w:tc>
        <w:tc>
          <w:tcPr>
            <w:tcW w:w="10050" w:type="dxa"/>
            <w:tcBorders/>
            <w:vAlign w:val="center"/>
          </w:tcPr>
          <w:p>
            <w:pPr>
              <w:pStyle w:val="TableContents"/>
              <w:bidi w:val="0"/>
              <w:spacing w:before="0" w:after="283"/>
              <w:ind w:left="0" w:right="0" w:hanging="0"/>
              <w:jc w:val="left"/>
              <w:rPr/>
            </w:pPr>
            <w:r>
              <w:rPr/>
            </w:r>
          </w:p>
        </w:tc>
      </w:tr>
      <w:tr>
        <w:trPr/>
        <w:tc>
          <w:tcPr>
            <w:tcW w:w="155" w:type="dxa"/>
            <w:tcBorders/>
            <w:vAlign w:val="center"/>
          </w:tcPr>
          <w:p>
            <w:pPr>
              <w:pStyle w:val="TableContents"/>
              <w:pBdr/>
              <w:bidi w:val="0"/>
              <w:spacing w:before="0" w:after="0"/>
              <w:ind w:left="0" w:right="0" w:hanging="0"/>
              <w:jc w:val="both"/>
              <w:rPr>
                <w:rFonts w:ascii="Times New Roman" w:hAnsi="Times New Roman"/>
                <w:sz w:val="20"/>
              </w:rPr>
            </w:pPr>
            <w:r>
              <w:rPr>
                <w:rFonts w:ascii="Times New Roman" w:hAnsi="Times New Roman"/>
                <w:sz w:val="20"/>
              </w:rPr>
              <w:t>4.</w:t>
            </w:r>
          </w:p>
        </w:tc>
        <w:tc>
          <w:tcPr>
            <w:tcW w:w="10050" w:type="dxa"/>
            <w:tcBorders/>
            <w:vAlign w:val="center"/>
          </w:tcPr>
          <w:p>
            <w:pPr>
              <w:pStyle w:val="TableContents"/>
              <w:pBdr/>
              <w:bidi w:val="0"/>
              <w:spacing w:lineRule="auto" w:line="288" w:before="0" w:after="0"/>
              <w:ind w:left="0" w:right="0" w:hanging="0"/>
              <w:jc w:val="both"/>
              <w:rPr>
                <w:rFonts w:ascii="Times New Roman" w:hAnsi="Times New Roman"/>
                <w:sz w:val="20"/>
              </w:rPr>
            </w:pPr>
            <w:r>
              <w:rPr>
                <w:rFonts w:ascii="Times New Roman" w:hAnsi="Times New Roman"/>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88"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74"/>
        <w:gridCol w:w="143"/>
        <w:gridCol w:w="9988"/>
      </w:tblGrid>
      <w:tr>
        <w:trPr/>
        <w:tc>
          <w:tcPr>
            <w:tcW w:w="74" w:type="dxa"/>
            <w:tcBorders/>
            <w:vAlign w:val="center"/>
          </w:tcPr>
          <w:p>
            <w:pPr>
              <w:pStyle w:val="TableContents"/>
              <w:pBdr/>
              <w:bidi w:val="0"/>
              <w:spacing w:before="0" w:after="0"/>
              <w:ind w:left="0" w:right="0" w:hanging="0"/>
              <w:jc w:val="both"/>
              <w:rPr/>
            </w:pPr>
            <w:r>
              <w:rPr/>
              <w:t> </w:t>
            </w:r>
          </w:p>
        </w:tc>
        <w:tc>
          <w:tcPr>
            <w:tcW w:w="143" w:type="dxa"/>
            <w:tcBorders/>
            <w:vAlign w:val="center"/>
          </w:tcPr>
          <w:p>
            <w:pPr>
              <w:pStyle w:val="TableContents"/>
              <w:pBdr/>
              <w:bidi w:val="0"/>
              <w:spacing w:before="0" w:after="0"/>
              <w:ind w:left="0" w:right="0" w:hanging="0"/>
              <w:jc w:val="both"/>
              <w:rPr>
                <w:rFonts w:ascii="Times New Roman" w:hAnsi="Times New Roman"/>
                <w:sz w:val="20"/>
              </w:rPr>
            </w:pPr>
            <w:r>
              <w:rPr>
                <w:rFonts w:ascii="Times New Roman" w:hAnsi="Times New Roman"/>
                <w:sz w:val="20"/>
              </w:rPr>
              <w:t>a)</w:t>
            </w:r>
          </w:p>
        </w:tc>
        <w:tc>
          <w:tcPr>
            <w:tcW w:w="9988" w:type="dxa"/>
            <w:tcBorders/>
            <w:vAlign w:val="center"/>
          </w:tcPr>
          <w:p>
            <w:pPr>
              <w:pStyle w:val="TableContents"/>
              <w:pBdr/>
              <w:bidi w:val="0"/>
              <w:spacing w:before="0" w:after="0"/>
              <w:ind w:left="0" w:right="0" w:hanging="0"/>
              <w:jc w:val="both"/>
              <w:rPr>
                <w:rFonts w:ascii="Times New Roman" w:hAnsi="Times New Roman"/>
                <w:sz w:val="20"/>
              </w:rPr>
            </w:pPr>
            <w:r>
              <w:rPr>
                <w:rFonts w:ascii="Times New Roman" w:hAnsi="Times New Roman"/>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4" w:type="dxa"/>
            <w:tcBorders/>
            <w:vAlign w:val="center"/>
          </w:tcPr>
          <w:p>
            <w:pPr>
              <w:pStyle w:val="TableContents"/>
              <w:pBdr/>
              <w:bidi w:val="0"/>
              <w:spacing w:before="0" w:after="0"/>
              <w:ind w:left="0" w:right="0" w:hanging="0"/>
              <w:jc w:val="both"/>
              <w:rPr/>
            </w:pPr>
            <w:r>
              <w:rPr/>
              <w:t> </w:t>
            </w:r>
          </w:p>
        </w:tc>
        <w:tc>
          <w:tcPr>
            <w:tcW w:w="143" w:type="dxa"/>
            <w:tcBorders/>
            <w:vAlign w:val="center"/>
          </w:tcPr>
          <w:p>
            <w:pPr>
              <w:pStyle w:val="TableContents"/>
              <w:pBdr/>
              <w:bidi w:val="0"/>
              <w:spacing w:before="0" w:after="0"/>
              <w:ind w:left="0" w:right="0" w:hanging="0"/>
              <w:jc w:val="both"/>
              <w:rPr/>
            </w:pPr>
            <w:r>
              <w:rPr/>
              <w:t> </w:t>
            </w:r>
          </w:p>
        </w:tc>
        <w:tc>
          <w:tcPr>
            <w:tcW w:w="9988" w:type="dxa"/>
            <w:tcBorders/>
            <w:vAlign w:val="center"/>
          </w:tcPr>
          <w:p>
            <w:pPr>
              <w:pStyle w:val="TableContents"/>
              <w:pBdr/>
              <w:bidi w:val="0"/>
              <w:spacing w:before="0" w:after="0"/>
              <w:ind w:left="0" w:right="0" w:hanging="0"/>
              <w:jc w:val="both"/>
              <w:rPr/>
            </w:pPr>
            <w:r>
              <w:rPr/>
              <w:t> </w:t>
            </w:r>
          </w:p>
        </w:tc>
      </w:tr>
      <w:tr>
        <w:trPr/>
        <w:tc>
          <w:tcPr>
            <w:tcW w:w="74" w:type="dxa"/>
            <w:tcBorders/>
            <w:vAlign w:val="center"/>
          </w:tcPr>
          <w:p>
            <w:pPr>
              <w:pStyle w:val="TableContents"/>
              <w:pBdr/>
              <w:bidi w:val="0"/>
              <w:spacing w:before="0" w:after="0"/>
              <w:ind w:left="0" w:right="0" w:hanging="0"/>
              <w:jc w:val="both"/>
              <w:rPr/>
            </w:pPr>
            <w:r>
              <w:rPr/>
              <w:t> </w:t>
            </w:r>
          </w:p>
        </w:tc>
        <w:tc>
          <w:tcPr>
            <w:tcW w:w="143" w:type="dxa"/>
            <w:tcBorders/>
            <w:vAlign w:val="center"/>
          </w:tcPr>
          <w:p>
            <w:pPr>
              <w:pStyle w:val="TableContents"/>
              <w:pBdr/>
              <w:bidi w:val="0"/>
              <w:spacing w:before="0" w:after="0"/>
              <w:ind w:left="0" w:right="0" w:hanging="0"/>
              <w:jc w:val="both"/>
              <w:rPr>
                <w:rFonts w:ascii="Times New Roman" w:hAnsi="Times New Roman"/>
                <w:sz w:val="20"/>
              </w:rPr>
            </w:pPr>
            <w:r>
              <w:rPr>
                <w:rFonts w:ascii="Times New Roman" w:hAnsi="Times New Roman"/>
                <w:sz w:val="20"/>
              </w:rPr>
              <w:t>b)</w:t>
            </w:r>
          </w:p>
        </w:tc>
        <w:tc>
          <w:tcPr>
            <w:tcW w:w="9988" w:type="dxa"/>
            <w:tcBorders/>
            <w:vAlign w:val="center"/>
          </w:tcPr>
          <w:p>
            <w:pPr>
              <w:pStyle w:val="TableContents"/>
              <w:pBdr/>
              <w:bidi w:val="0"/>
              <w:spacing w:before="0" w:after="0"/>
              <w:ind w:left="0" w:right="0" w:hanging="0"/>
              <w:jc w:val="both"/>
              <w:rPr>
                <w:rFonts w:ascii="Times New Roman" w:hAnsi="Times New Roman"/>
                <w:sz w:val="20"/>
              </w:rPr>
            </w:pPr>
            <w:r>
              <w:rPr>
                <w:rFonts w:ascii="Times New Roman" w:hAnsi="Times New Roman"/>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4" w:type="dxa"/>
            <w:tcBorders/>
            <w:vAlign w:val="center"/>
          </w:tcPr>
          <w:p>
            <w:pPr>
              <w:pStyle w:val="TableContents"/>
              <w:pBdr/>
              <w:bidi w:val="0"/>
              <w:spacing w:before="0" w:after="0"/>
              <w:ind w:left="0" w:right="0" w:hanging="0"/>
              <w:jc w:val="both"/>
              <w:rPr/>
            </w:pPr>
            <w:r>
              <w:rPr/>
              <w:t> </w:t>
            </w:r>
          </w:p>
        </w:tc>
        <w:tc>
          <w:tcPr>
            <w:tcW w:w="143" w:type="dxa"/>
            <w:tcBorders/>
            <w:vAlign w:val="center"/>
          </w:tcPr>
          <w:p>
            <w:pPr>
              <w:pStyle w:val="TableContents"/>
              <w:pBdr/>
              <w:bidi w:val="0"/>
              <w:spacing w:before="0" w:after="0"/>
              <w:ind w:left="0" w:right="0" w:hanging="0"/>
              <w:jc w:val="both"/>
              <w:rPr/>
            </w:pPr>
            <w:r>
              <w:rPr/>
              <w:t> </w:t>
            </w:r>
          </w:p>
        </w:tc>
        <w:tc>
          <w:tcPr>
            <w:tcW w:w="9988" w:type="dxa"/>
            <w:tcBorders/>
            <w:vAlign w:val="center"/>
          </w:tcPr>
          <w:p>
            <w:pPr>
              <w:pStyle w:val="TableContents"/>
              <w:pBdr/>
              <w:bidi w:val="0"/>
              <w:spacing w:before="0" w:after="0"/>
              <w:ind w:left="0" w:right="0" w:hanging="0"/>
              <w:jc w:val="both"/>
              <w:rPr/>
            </w:pPr>
            <w:r>
              <w:rPr/>
              <w:t> </w:t>
            </w:r>
          </w:p>
        </w:tc>
      </w:tr>
      <w:tr>
        <w:trPr/>
        <w:tc>
          <w:tcPr>
            <w:tcW w:w="74" w:type="dxa"/>
            <w:tcBorders/>
            <w:vAlign w:val="center"/>
          </w:tcPr>
          <w:p>
            <w:pPr>
              <w:pStyle w:val="TableContents"/>
              <w:pBdr/>
              <w:bidi w:val="0"/>
              <w:spacing w:before="0" w:after="0"/>
              <w:ind w:left="0" w:right="0" w:hanging="0"/>
              <w:jc w:val="both"/>
              <w:rPr/>
            </w:pPr>
            <w:r>
              <w:rPr/>
              <w:t> </w:t>
            </w:r>
          </w:p>
        </w:tc>
        <w:tc>
          <w:tcPr>
            <w:tcW w:w="143" w:type="dxa"/>
            <w:tcBorders/>
            <w:vAlign w:val="center"/>
          </w:tcPr>
          <w:p>
            <w:pPr>
              <w:pStyle w:val="TableContents"/>
              <w:pBdr/>
              <w:bidi w:val="0"/>
              <w:spacing w:before="0" w:after="0"/>
              <w:ind w:left="0" w:right="0" w:hanging="0"/>
              <w:jc w:val="both"/>
              <w:rPr>
                <w:rFonts w:ascii="Times New Roman" w:hAnsi="Times New Roman"/>
                <w:sz w:val="20"/>
              </w:rPr>
            </w:pPr>
            <w:r>
              <w:rPr>
                <w:rFonts w:ascii="Times New Roman" w:hAnsi="Times New Roman"/>
                <w:sz w:val="20"/>
              </w:rPr>
              <w:t>c)</w:t>
            </w:r>
          </w:p>
        </w:tc>
        <w:tc>
          <w:tcPr>
            <w:tcW w:w="9988" w:type="dxa"/>
            <w:tcBorders/>
            <w:vAlign w:val="center"/>
          </w:tcPr>
          <w:p>
            <w:pPr>
              <w:pStyle w:val="TableContents"/>
              <w:pBdr/>
              <w:bidi w:val="0"/>
              <w:spacing w:before="0" w:after="0"/>
              <w:ind w:left="0" w:right="0" w:hanging="0"/>
              <w:jc w:val="both"/>
              <w:rPr>
                <w:rFonts w:ascii="Times New Roman" w:hAnsi="Times New Roman"/>
                <w:sz w:val="20"/>
              </w:rPr>
            </w:pPr>
            <w:r>
              <w:rPr>
                <w:rFonts w:ascii="Times New Roman" w:hAnsi="Times New Roman"/>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4" w:type="dxa"/>
            <w:tcBorders/>
            <w:vAlign w:val="center"/>
          </w:tcPr>
          <w:p>
            <w:pPr>
              <w:pStyle w:val="TableContents"/>
              <w:pBdr/>
              <w:bidi w:val="0"/>
              <w:spacing w:before="0" w:after="0"/>
              <w:ind w:left="0" w:right="0" w:hanging="0"/>
              <w:jc w:val="both"/>
              <w:rPr/>
            </w:pPr>
            <w:r>
              <w:rPr/>
              <w:t> </w:t>
            </w:r>
          </w:p>
        </w:tc>
        <w:tc>
          <w:tcPr>
            <w:tcW w:w="143" w:type="dxa"/>
            <w:tcBorders/>
            <w:vAlign w:val="center"/>
          </w:tcPr>
          <w:p>
            <w:pPr>
              <w:pStyle w:val="TableContents"/>
              <w:pBdr/>
              <w:bidi w:val="0"/>
              <w:spacing w:before="0" w:after="0"/>
              <w:ind w:left="0" w:right="0" w:hanging="0"/>
              <w:jc w:val="both"/>
              <w:rPr/>
            </w:pPr>
            <w:r>
              <w:rPr/>
              <w:t> </w:t>
            </w:r>
          </w:p>
        </w:tc>
        <w:tc>
          <w:tcPr>
            <w:tcW w:w="9988" w:type="dxa"/>
            <w:tcBorders/>
            <w:vAlign w:val="center"/>
          </w:tcPr>
          <w:p>
            <w:pPr>
              <w:pStyle w:val="TableContents"/>
              <w:pBdr/>
              <w:bidi w:val="0"/>
              <w:spacing w:before="0" w:after="0"/>
              <w:ind w:left="0" w:right="0" w:hanging="0"/>
              <w:jc w:val="both"/>
              <w:rPr/>
            </w:pPr>
            <w:r>
              <w:rPr/>
              <w:t> </w:t>
            </w:r>
          </w:p>
        </w:tc>
      </w:tr>
      <w:tr>
        <w:trPr/>
        <w:tc>
          <w:tcPr>
            <w:tcW w:w="74" w:type="dxa"/>
            <w:tcBorders/>
            <w:vAlign w:val="center"/>
          </w:tcPr>
          <w:p>
            <w:pPr>
              <w:pStyle w:val="TableContents"/>
              <w:pBdr/>
              <w:bidi w:val="0"/>
              <w:spacing w:before="0" w:after="0"/>
              <w:ind w:left="0" w:right="0" w:hanging="0"/>
              <w:jc w:val="both"/>
              <w:rPr/>
            </w:pPr>
            <w:r>
              <w:rPr/>
              <w:t> </w:t>
            </w:r>
          </w:p>
        </w:tc>
        <w:tc>
          <w:tcPr>
            <w:tcW w:w="143" w:type="dxa"/>
            <w:tcBorders/>
            <w:vAlign w:val="center"/>
          </w:tcPr>
          <w:p>
            <w:pPr>
              <w:pStyle w:val="TableContents"/>
              <w:pBdr/>
              <w:bidi w:val="0"/>
              <w:spacing w:before="0" w:after="0"/>
              <w:ind w:left="0" w:right="0" w:hanging="0"/>
              <w:jc w:val="both"/>
              <w:rPr>
                <w:rFonts w:ascii="Times New Roman" w:hAnsi="Times New Roman"/>
                <w:sz w:val="20"/>
              </w:rPr>
            </w:pPr>
            <w:r>
              <w:rPr>
                <w:rFonts w:ascii="Times New Roman" w:hAnsi="Times New Roman"/>
                <w:sz w:val="20"/>
              </w:rPr>
              <w:t>d)</w:t>
            </w:r>
          </w:p>
        </w:tc>
        <w:tc>
          <w:tcPr>
            <w:tcW w:w="9988" w:type="dxa"/>
            <w:tcBorders/>
            <w:vAlign w:val="center"/>
          </w:tcPr>
          <w:p>
            <w:pPr>
              <w:pStyle w:val="TableContents"/>
              <w:pBdr/>
              <w:bidi w:val="0"/>
              <w:spacing w:before="0" w:after="0"/>
              <w:ind w:left="0" w:right="0" w:hanging="0"/>
              <w:jc w:val="both"/>
              <w:rPr>
                <w:rFonts w:ascii="Times New Roman" w:hAnsi="Times New Roman"/>
                <w:sz w:val="20"/>
              </w:rPr>
            </w:pPr>
            <w:r>
              <w:rPr>
                <w:rFonts w:ascii="Times New Roman" w:hAnsi="Times New Roman"/>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tc>
      </w:tr>
    </w:tbl>
    <w:p>
      <w:pPr>
        <w:pStyle w:val="TextBody"/>
        <w:bidi w:val="0"/>
        <w:spacing w:lineRule="auto" w:line="288"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5.</w:t>
            </w:r>
          </w:p>
        </w:tc>
        <w:tc>
          <w:tcPr>
            <w:tcW w:w="10048"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88"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74"/>
        <w:gridCol w:w="151"/>
        <w:gridCol w:w="9980"/>
      </w:tblGrid>
      <w:tr>
        <w:trPr/>
        <w:tc>
          <w:tcPr>
            <w:tcW w:w="74" w:type="dxa"/>
            <w:tcBorders/>
            <w:vAlign w:val="center"/>
          </w:tcPr>
          <w:p>
            <w:pPr>
              <w:pStyle w:val="TableContents"/>
              <w:bidi w:val="0"/>
              <w:spacing w:before="0" w:after="0"/>
              <w:ind w:left="0" w:right="0" w:hanging="0"/>
              <w:jc w:val="both"/>
              <w:rPr/>
            </w:pPr>
            <w:r>
              <w:rPr/>
              <w:t> </w:t>
            </w:r>
          </w:p>
        </w:tc>
        <w:tc>
          <w:tcPr>
            <w:tcW w:w="151"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w:t>
            </w:r>
          </w:p>
        </w:tc>
        <w:tc>
          <w:tcPr>
            <w:tcW w:w="998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4" w:type="dxa"/>
            <w:tcBorders/>
            <w:vAlign w:val="center"/>
          </w:tcPr>
          <w:p>
            <w:pPr>
              <w:pStyle w:val="TableContents"/>
              <w:bidi w:val="0"/>
              <w:spacing w:before="0" w:after="0"/>
              <w:ind w:left="0" w:right="0" w:hanging="0"/>
              <w:jc w:val="both"/>
              <w:rPr/>
            </w:pPr>
            <w:r>
              <w:rPr/>
              <w:t> </w:t>
            </w:r>
          </w:p>
        </w:tc>
        <w:tc>
          <w:tcPr>
            <w:tcW w:w="151" w:type="dxa"/>
            <w:tcBorders/>
            <w:vAlign w:val="center"/>
          </w:tcPr>
          <w:p>
            <w:pPr>
              <w:pStyle w:val="TableContents"/>
              <w:bidi w:val="0"/>
              <w:spacing w:before="0" w:after="0"/>
              <w:ind w:left="0" w:right="0" w:hanging="0"/>
              <w:jc w:val="both"/>
              <w:rPr/>
            </w:pPr>
            <w:r>
              <w:rPr/>
              <w:t> </w:t>
            </w:r>
          </w:p>
        </w:tc>
        <w:tc>
          <w:tcPr>
            <w:tcW w:w="9980" w:type="dxa"/>
            <w:tcBorders/>
            <w:vAlign w:val="center"/>
          </w:tcPr>
          <w:p>
            <w:pPr>
              <w:pStyle w:val="TableContents"/>
              <w:bidi w:val="0"/>
              <w:spacing w:before="0" w:after="0"/>
              <w:ind w:left="0" w:right="0" w:hanging="0"/>
              <w:jc w:val="both"/>
              <w:rPr/>
            </w:pPr>
            <w:r>
              <w:rPr/>
              <w:t> </w:t>
            </w:r>
          </w:p>
        </w:tc>
      </w:tr>
      <w:tr>
        <w:trPr/>
        <w:tc>
          <w:tcPr>
            <w:tcW w:w="74" w:type="dxa"/>
            <w:tcBorders/>
            <w:vAlign w:val="center"/>
          </w:tcPr>
          <w:p>
            <w:pPr>
              <w:pStyle w:val="TableContents"/>
              <w:bidi w:val="0"/>
              <w:spacing w:before="0" w:after="0"/>
              <w:ind w:left="0" w:right="0" w:hanging="0"/>
              <w:jc w:val="both"/>
              <w:rPr/>
            </w:pPr>
            <w:r>
              <w:rPr/>
              <w:t> </w:t>
            </w:r>
          </w:p>
        </w:tc>
        <w:tc>
          <w:tcPr>
            <w:tcW w:w="151"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b)</w:t>
            </w:r>
          </w:p>
        </w:tc>
        <w:tc>
          <w:tcPr>
            <w:tcW w:w="998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Any fraud, whether or not material, that involves management or other employees who have a significant role in the registrant’s internal control over financial reporting.</w:t>
            </w:r>
          </w:p>
        </w:tc>
      </w:tr>
    </w:tbl>
    <w:p>
      <w:pPr>
        <w:pStyle w:val="TextBody"/>
        <w:bidi w:val="0"/>
        <w:spacing w:lineRule="auto" w:line="288"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847"/>
        <w:gridCol w:w="751"/>
        <w:gridCol w:w="5607"/>
      </w:tblGrid>
      <w:tr>
        <w:trPr/>
        <w:tc>
          <w:tcPr>
            <w:tcW w:w="3847"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By:</w:t>
            </w:r>
          </w:p>
        </w:tc>
        <w:tc>
          <w:tcPr>
            <w:tcW w:w="5607" w:type="dxa"/>
            <w:tcBorders/>
            <w:vAlign w:val="center"/>
          </w:tcPr>
          <w:p>
            <w:pPr>
              <w:pStyle w:val="TableContents"/>
              <w:bidi w:val="0"/>
              <w:spacing w:before="0" w:after="0"/>
              <w:ind w:left="0" w:right="0" w:hanging="0"/>
              <w:jc w:val="both"/>
              <w:rPr>
                <w:rFonts w:ascii="Times New Roman" w:hAnsi="Times New Roman"/>
                <w:i/>
                <w:sz w:val="20"/>
              </w:rPr>
            </w:pPr>
            <w:r>
              <w:rPr>
                <w:rFonts w:ascii="Times New Roman" w:hAnsi="Times New Roman"/>
                <w:i/>
                <w:sz w:val="20"/>
              </w:rPr>
              <w:t>/s/ Derek L. Graham</w:t>
            </w:r>
          </w:p>
        </w:tc>
      </w:tr>
      <w:tr>
        <w:trPr/>
        <w:tc>
          <w:tcPr>
            <w:tcW w:w="384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November 14, 2025</w:t>
            </w:r>
          </w:p>
        </w:tc>
        <w:tc>
          <w:tcPr>
            <w:tcW w:w="751" w:type="dxa"/>
            <w:tcBorders/>
            <w:vAlign w:val="center"/>
          </w:tcPr>
          <w:p>
            <w:pPr>
              <w:pStyle w:val="TableContents"/>
              <w:bidi w:val="0"/>
              <w:spacing w:before="0" w:after="0"/>
              <w:ind w:left="0" w:right="0" w:hanging="0"/>
              <w:jc w:val="both"/>
              <w:rPr/>
            </w:pPr>
            <w:r>
              <w:rPr/>
              <w:t> </w:t>
            </w:r>
          </w:p>
        </w:tc>
        <w:tc>
          <w:tcPr>
            <w:tcW w:w="560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Derek L. Graham</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Chief Executive Officer</w:t>
            </w:r>
          </w:p>
          <w:p>
            <w:pPr>
              <w:pStyle w:val="TableContents"/>
              <w:bidi w:val="0"/>
              <w:spacing w:before="0" w:after="0"/>
              <w:ind w:left="0" w:right="0" w:hanging="0"/>
              <w:jc w:val="left"/>
              <w:rPr>
                <w:rFonts w:ascii="Times New Roman" w:hAnsi="Times New Roman"/>
                <w:i/>
                <w:sz w:val="20"/>
              </w:rPr>
            </w:pPr>
            <w:r>
              <w:rPr>
                <w:rFonts w:ascii="Times New Roman" w:hAnsi="Times New Roman"/>
                <w:i/>
                <w:sz w:val="20"/>
              </w:rPr>
              <w:t>(Principal Executive Officer)</w:t>
            </w:r>
          </w:p>
        </w:tc>
      </w:tr>
    </w:tbl>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right"/>
        <w:rPr>
          <w:rFonts w:ascii="Times New Roman" w:hAnsi="Times New Roman"/>
          <w:b/>
          <w:sz w:val="20"/>
        </w:rPr>
      </w:pPr>
      <w:bookmarkStart w:id="711" w:name="ex312_2.htm"/>
      <w:bookmarkStart w:id="712" w:name="ksex312_2"/>
      <w:bookmarkEnd w:id="711"/>
      <w:bookmarkEnd w:id="712"/>
      <w:r>
        <w:rPr>
          <w:rFonts w:ascii="Times New Roman" w:hAnsi="Times New Roman"/>
          <w:b/>
          <w:sz w:val="20"/>
        </w:rPr>
        <w:t>EXHIBIT 31.2</w:t>
      </w:r>
      <w:r>
        <w:br w:type="page"/>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CERTIFICATION</w:t>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I, Simon Brewer, certify that:</w:t>
      </w:r>
    </w:p>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1.</w:t>
            </w:r>
          </w:p>
        </w:tc>
        <w:tc>
          <w:tcPr>
            <w:tcW w:w="1005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I have reviewed this quarterly report of ClearOne, Inc. on Form 10-Q;</w:t>
            </w:r>
          </w:p>
        </w:tc>
      </w:tr>
      <w:tr>
        <w:trPr/>
        <w:tc>
          <w:tcPr>
            <w:tcW w:w="155" w:type="dxa"/>
            <w:tcBorders/>
            <w:vAlign w:val="center"/>
          </w:tcPr>
          <w:p>
            <w:pPr>
              <w:pStyle w:val="TableContents"/>
              <w:bidi w:val="0"/>
              <w:spacing w:before="0" w:after="0"/>
              <w:ind w:left="0" w:right="0" w:hanging="0"/>
              <w:jc w:val="both"/>
              <w:rPr/>
            </w:pPr>
            <w:r>
              <w:rPr/>
              <w:t> </w:t>
            </w:r>
          </w:p>
        </w:tc>
        <w:tc>
          <w:tcPr>
            <w:tcW w:w="10050" w:type="dxa"/>
            <w:tcBorders/>
            <w:vAlign w:val="center"/>
          </w:tcPr>
          <w:p>
            <w:pPr>
              <w:pStyle w:val="TableContents"/>
              <w:bidi w:val="0"/>
              <w:spacing w:before="0" w:after="0"/>
              <w:ind w:left="0" w:right="0" w:hanging="0"/>
              <w:jc w:val="both"/>
              <w:rPr/>
            </w:pPr>
            <w:r>
              <w:rPr/>
              <w:t> </w:t>
            </w:r>
          </w:p>
        </w:tc>
      </w:tr>
      <w:tr>
        <w:trPr/>
        <w:tc>
          <w:tcPr>
            <w:tcW w:w="15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2.</w:t>
            </w:r>
          </w:p>
        </w:tc>
        <w:tc>
          <w:tcPr>
            <w:tcW w:w="10050" w:type="dxa"/>
            <w:tcBorders/>
            <w:vAlign w:val="center"/>
          </w:tcPr>
          <w:p>
            <w:pPr>
              <w:pStyle w:val="TableContents"/>
              <w:bidi w:val="0"/>
              <w:spacing w:lineRule="auto" w:line="288" w:before="0" w:after="0"/>
              <w:ind w:left="0" w:right="0" w:hanging="0"/>
              <w:jc w:val="both"/>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55" w:type="dxa"/>
            <w:tcBorders/>
            <w:vAlign w:val="center"/>
          </w:tcPr>
          <w:p>
            <w:pPr>
              <w:pStyle w:val="TableContents"/>
              <w:bidi w:val="0"/>
              <w:spacing w:before="0" w:after="0"/>
              <w:ind w:left="0" w:right="0" w:hanging="0"/>
              <w:jc w:val="both"/>
              <w:rPr/>
            </w:pPr>
            <w:r>
              <w:rPr/>
              <w:t> </w:t>
            </w:r>
          </w:p>
        </w:tc>
        <w:tc>
          <w:tcPr>
            <w:tcW w:w="10050" w:type="dxa"/>
            <w:tcBorders/>
            <w:vAlign w:val="center"/>
          </w:tcPr>
          <w:p>
            <w:pPr>
              <w:pStyle w:val="TableContents"/>
              <w:bidi w:val="0"/>
              <w:spacing w:before="0" w:after="0"/>
              <w:ind w:left="0" w:right="0" w:hanging="0"/>
              <w:jc w:val="both"/>
              <w:rPr/>
            </w:pPr>
            <w:r>
              <w:rPr/>
              <w:t> </w:t>
            </w:r>
          </w:p>
        </w:tc>
      </w:tr>
      <w:tr>
        <w:trPr/>
        <w:tc>
          <w:tcPr>
            <w:tcW w:w="15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3.</w:t>
            </w:r>
          </w:p>
        </w:tc>
        <w:tc>
          <w:tcPr>
            <w:tcW w:w="10050" w:type="dxa"/>
            <w:tcBorders/>
            <w:vAlign w:val="center"/>
          </w:tcPr>
          <w:p>
            <w:pPr>
              <w:pStyle w:val="TableContents"/>
              <w:bidi w:val="0"/>
              <w:spacing w:lineRule="auto" w:line="288" w:before="0" w:after="0"/>
              <w:ind w:left="0" w:right="0" w:hanging="0"/>
              <w:jc w:val="both"/>
              <w:rPr>
                <w:rFonts w:ascii="Times New Roman" w:hAnsi="Times New Roman"/>
                <w:sz w:val="20"/>
              </w:rPr>
            </w:pPr>
            <w:r>
              <w:rPr>
                <w:rFonts w:ascii="Times New Roman" w:hAnsi="Times New Roman"/>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55" w:type="dxa"/>
            <w:tcBorders/>
            <w:vAlign w:val="center"/>
          </w:tcPr>
          <w:p>
            <w:pPr>
              <w:pStyle w:val="TableContents"/>
              <w:bidi w:val="0"/>
              <w:spacing w:before="0" w:after="0"/>
              <w:ind w:left="0" w:right="0" w:hanging="0"/>
              <w:jc w:val="both"/>
              <w:rPr/>
            </w:pPr>
            <w:r>
              <w:rPr/>
              <w:t> </w:t>
            </w:r>
          </w:p>
        </w:tc>
        <w:tc>
          <w:tcPr>
            <w:tcW w:w="10050" w:type="dxa"/>
            <w:tcBorders/>
            <w:vAlign w:val="center"/>
          </w:tcPr>
          <w:p>
            <w:pPr>
              <w:pStyle w:val="TableContents"/>
              <w:bidi w:val="0"/>
              <w:spacing w:before="0" w:after="0"/>
              <w:ind w:left="0" w:right="0" w:hanging="0"/>
              <w:jc w:val="both"/>
              <w:rPr/>
            </w:pPr>
            <w:r>
              <w:rPr/>
              <w:t> </w:t>
            </w:r>
          </w:p>
        </w:tc>
      </w:tr>
      <w:tr>
        <w:trPr/>
        <w:tc>
          <w:tcPr>
            <w:tcW w:w="15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4.</w:t>
            </w:r>
          </w:p>
        </w:tc>
        <w:tc>
          <w:tcPr>
            <w:tcW w:w="10050" w:type="dxa"/>
            <w:tcBorders/>
            <w:vAlign w:val="center"/>
          </w:tcPr>
          <w:p>
            <w:pPr>
              <w:pStyle w:val="TableContents"/>
              <w:bidi w:val="0"/>
              <w:spacing w:lineRule="auto" w:line="288" w:before="0" w:after="0"/>
              <w:ind w:left="0" w:right="0" w:hanging="0"/>
              <w:jc w:val="both"/>
              <w:rPr>
                <w:rFonts w:ascii="Times New Roman" w:hAnsi="Times New Roman"/>
                <w:sz w:val="20"/>
              </w:rPr>
            </w:pPr>
            <w:r>
              <w:rPr>
                <w:rFonts w:ascii="Times New Roman" w:hAnsi="Times New Roman"/>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74"/>
        <w:gridCol w:w="143"/>
        <w:gridCol w:w="9988"/>
      </w:tblGrid>
      <w:tr>
        <w:trPr/>
        <w:tc>
          <w:tcPr>
            <w:tcW w:w="74" w:type="dxa"/>
            <w:tcBorders/>
            <w:vAlign w:val="center"/>
          </w:tcPr>
          <w:p>
            <w:pPr>
              <w:pStyle w:val="TableContents"/>
              <w:bidi w:val="0"/>
              <w:spacing w:before="0" w:after="0"/>
              <w:ind w:left="0" w:right="0" w:hanging="0"/>
              <w:jc w:val="both"/>
              <w:rPr/>
            </w:pPr>
            <w:r>
              <w:rPr/>
              <w:t> </w:t>
            </w:r>
          </w:p>
        </w:tc>
        <w:tc>
          <w:tcPr>
            <w:tcW w:w="143"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w:t>
            </w:r>
          </w:p>
        </w:tc>
        <w:tc>
          <w:tcPr>
            <w:tcW w:w="9988" w:type="dxa"/>
            <w:tcBorders/>
            <w:vAlign w:val="center"/>
          </w:tcPr>
          <w:p>
            <w:pPr>
              <w:pStyle w:val="TableContents"/>
              <w:bidi w:val="0"/>
              <w:spacing w:lineRule="auto" w:line="288" w:before="0" w:after="0"/>
              <w:ind w:left="0" w:right="0" w:hanging="0"/>
              <w:jc w:val="both"/>
              <w:rPr>
                <w:rFonts w:ascii="Times New Roman" w:hAnsi="Times New Roman"/>
                <w:sz w:val="20"/>
              </w:rPr>
            </w:pPr>
            <w:r>
              <w:rPr>
                <w:rFonts w:ascii="Times New Roman" w:hAnsi="Times New Roman"/>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4" w:type="dxa"/>
            <w:tcBorders/>
            <w:vAlign w:val="center"/>
          </w:tcPr>
          <w:p>
            <w:pPr>
              <w:pStyle w:val="TableContents"/>
              <w:bidi w:val="0"/>
              <w:spacing w:before="0" w:after="0"/>
              <w:ind w:left="0" w:right="0" w:hanging="0"/>
              <w:jc w:val="both"/>
              <w:rPr/>
            </w:pPr>
            <w:r>
              <w:rPr/>
              <w:t> </w:t>
            </w:r>
          </w:p>
        </w:tc>
        <w:tc>
          <w:tcPr>
            <w:tcW w:w="143" w:type="dxa"/>
            <w:tcBorders/>
            <w:vAlign w:val="center"/>
          </w:tcPr>
          <w:p>
            <w:pPr>
              <w:pStyle w:val="TableContents"/>
              <w:bidi w:val="0"/>
              <w:spacing w:before="0" w:after="0"/>
              <w:ind w:left="0" w:right="0" w:hanging="0"/>
              <w:jc w:val="both"/>
              <w:rPr/>
            </w:pPr>
            <w:r>
              <w:rPr/>
              <w:t> </w:t>
            </w:r>
          </w:p>
        </w:tc>
        <w:tc>
          <w:tcPr>
            <w:tcW w:w="9988" w:type="dxa"/>
            <w:tcBorders/>
            <w:vAlign w:val="center"/>
          </w:tcPr>
          <w:p>
            <w:pPr>
              <w:pStyle w:val="TableContents"/>
              <w:bidi w:val="0"/>
              <w:spacing w:before="0" w:after="0"/>
              <w:ind w:left="0" w:right="0" w:hanging="0"/>
              <w:jc w:val="both"/>
              <w:rPr/>
            </w:pPr>
            <w:r>
              <w:rPr/>
              <w:t> </w:t>
            </w:r>
          </w:p>
        </w:tc>
      </w:tr>
      <w:tr>
        <w:trPr/>
        <w:tc>
          <w:tcPr>
            <w:tcW w:w="74" w:type="dxa"/>
            <w:tcBorders/>
            <w:vAlign w:val="center"/>
          </w:tcPr>
          <w:p>
            <w:pPr>
              <w:pStyle w:val="TableContents"/>
              <w:bidi w:val="0"/>
              <w:spacing w:before="0" w:after="0"/>
              <w:ind w:left="0" w:right="0" w:hanging="0"/>
              <w:jc w:val="both"/>
              <w:rPr/>
            </w:pPr>
            <w:r>
              <w:rPr/>
              <w:t> </w:t>
            </w:r>
          </w:p>
        </w:tc>
        <w:tc>
          <w:tcPr>
            <w:tcW w:w="143"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b)</w:t>
            </w:r>
          </w:p>
        </w:tc>
        <w:tc>
          <w:tcPr>
            <w:tcW w:w="9988" w:type="dxa"/>
            <w:tcBorders/>
            <w:vAlign w:val="center"/>
          </w:tcPr>
          <w:p>
            <w:pPr>
              <w:pStyle w:val="TableContents"/>
              <w:bidi w:val="0"/>
              <w:spacing w:lineRule="auto" w:line="288" w:before="0" w:after="0"/>
              <w:ind w:left="0" w:right="0" w:hanging="0"/>
              <w:jc w:val="both"/>
              <w:rPr>
                <w:rFonts w:ascii="Times New Roman" w:hAnsi="Times New Roman"/>
                <w:sz w:val="20"/>
              </w:rPr>
            </w:pPr>
            <w:r>
              <w:rPr>
                <w:rFonts w:ascii="Times New Roman" w:hAnsi="Times New Roman"/>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4" w:type="dxa"/>
            <w:tcBorders/>
            <w:vAlign w:val="center"/>
          </w:tcPr>
          <w:p>
            <w:pPr>
              <w:pStyle w:val="TableContents"/>
              <w:bidi w:val="0"/>
              <w:spacing w:before="0" w:after="0"/>
              <w:ind w:left="0" w:right="0" w:hanging="0"/>
              <w:jc w:val="both"/>
              <w:rPr/>
            </w:pPr>
            <w:r>
              <w:rPr/>
              <w:t> </w:t>
            </w:r>
          </w:p>
        </w:tc>
        <w:tc>
          <w:tcPr>
            <w:tcW w:w="143" w:type="dxa"/>
            <w:tcBorders/>
            <w:vAlign w:val="center"/>
          </w:tcPr>
          <w:p>
            <w:pPr>
              <w:pStyle w:val="TableContents"/>
              <w:bidi w:val="0"/>
              <w:spacing w:before="0" w:after="0"/>
              <w:ind w:left="0" w:right="0" w:hanging="0"/>
              <w:jc w:val="both"/>
              <w:rPr/>
            </w:pPr>
            <w:r>
              <w:rPr/>
              <w:t> </w:t>
            </w:r>
          </w:p>
        </w:tc>
        <w:tc>
          <w:tcPr>
            <w:tcW w:w="9988" w:type="dxa"/>
            <w:tcBorders/>
            <w:vAlign w:val="center"/>
          </w:tcPr>
          <w:p>
            <w:pPr>
              <w:pStyle w:val="TableContents"/>
              <w:bidi w:val="0"/>
              <w:spacing w:before="0" w:after="0"/>
              <w:ind w:left="0" w:right="0" w:hanging="0"/>
              <w:jc w:val="both"/>
              <w:rPr/>
            </w:pPr>
            <w:r>
              <w:rPr/>
              <w:t> </w:t>
            </w:r>
          </w:p>
        </w:tc>
      </w:tr>
      <w:tr>
        <w:trPr/>
        <w:tc>
          <w:tcPr>
            <w:tcW w:w="74" w:type="dxa"/>
            <w:tcBorders/>
            <w:vAlign w:val="center"/>
          </w:tcPr>
          <w:p>
            <w:pPr>
              <w:pStyle w:val="TableContents"/>
              <w:bidi w:val="0"/>
              <w:spacing w:before="0" w:after="0"/>
              <w:ind w:left="0" w:right="0" w:hanging="0"/>
              <w:jc w:val="both"/>
              <w:rPr/>
            </w:pPr>
            <w:r>
              <w:rPr/>
              <w:t> </w:t>
            </w:r>
          </w:p>
        </w:tc>
        <w:tc>
          <w:tcPr>
            <w:tcW w:w="143"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c)</w:t>
            </w:r>
          </w:p>
        </w:tc>
        <w:tc>
          <w:tcPr>
            <w:tcW w:w="9988"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4" w:type="dxa"/>
            <w:tcBorders/>
            <w:vAlign w:val="center"/>
          </w:tcPr>
          <w:p>
            <w:pPr>
              <w:pStyle w:val="TableContents"/>
              <w:bidi w:val="0"/>
              <w:spacing w:before="0" w:after="0"/>
              <w:ind w:left="0" w:right="0" w:hanging="0"/>
              <w:jc w:val="both"/>
              <w:rPr/>
            </w:pPr>
            <w:r>
              <w:rPr/>
              <w:t> </w:t>
            </w:r>
          </w:p>
        </w:tc>
        <w:tc>
          <w:tcPr>
            <w:tcW w:w="143" w:type="dxa"/>
            <w:tcBorders/>
            <w:vAlign w:val="center"/>
          </w:tcPr>
          <w:p>
            <w:pPr>
              <w:pStyle w:val="TableContents"/>
              <w:bidi w:val="0"/>
              <w:spacing w:before="0" w:after="0"/>
              <w:ind w:left="0" w:right="0" w:hanging="0"/>
              <w:jc w:val="both"/>
              <w:rPr/>
            </w:pPr>
            <w:r>
              <w:rPr/>
              <w:t> </w:t>
            </w:r>
          </w:p>
        </w:tc>
        <w:tc>
          <w:tcPr>
            <w:tcW w:w="9988" w:type="dxa"/>
            <w:tcBorders/>
            <w:vAlign w:val="center"/>
          </w:tcPr>
          <w:p>
            <w:pPr>
              <w:pStyle w:val="TableContents"/>
              <w:bidi w:val="0"/>
              <w:spacing w:before="0" w:after="0"/>
              <w:ind w:left="0" w:right="0" w:hanging="0"/>
              <w:jc w:val="both"/>
              <w:rPr/>
            </w:pPr>
            <w:r>
              <w:rPr/>
              <w:t> </w:t>
            </w:r>
          </w:p>
        </w:tc>
      </w:tr>
      <w:tr>
        <w:trPr/>
        <w:tc>
          <w:tcPr>
            <w:tcW w:w="74" w:type="dxa"/>
            <w:tcBorders/>
            <w:vAlign w:val="center"/>
          </w:tcPr>
          <w:p>
            <w:pPr>
              <w:pStyle w:val="TableContents"/>
              <w:bidi w:val="0"/>
              <w:spacing w:before="0" w:after="0"/>
              <w:ind w:left="0" w:right="0" w:hanging="0"/>
              <w:jc w:val="both"/>
              <w:rPr/>
            </w:pPr>
            <w:r>
              <w:rPr/>
              <w:t> </w:t>
            </w:r>
          </w:p>
        </w:tc>
        <w:tc>
          <w:tcPr>
            <w:tcW w:w="143"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d)</w:t>
            </w:r>
          </w:p>
        </w:tc>
        <w:tc>
          <w:tcPr>
            <w:tcW w:w="9988" w:type="dxa"/>
            <w:tcBorders/>
            <w:vAlign w:val="center"/>
          </w:tcPr>
          <w:p>
            <w:pPr>
              <w:pStyle w:val="TableContents"/>
              <w:bidi w:val="0"/>
              <w:spacing w:before="0" w:after="0"/>
              <w:ind w:left="0" w:right="0" w:hanging="0"/>
              <w:jc w:val="both"/>
              <w:rPr/>
            </w:pPr>
            <w:r>
              <w:rPr>
                <w:rFonts w:ascii="Times New Roman" w:hAnsi="Times New Roman"/>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w:t>
            </w:r>
            <w:r>
              <w:rPr/>
              <w:t> </w:t>
            </w:r>
            <w:r>
              <w:rPr>
                <w:rFonts w:ascii="Times New Roman" w:hAnsi="Times New Roman"/>
                <w:sz w:val="20"/>
              </w:rPr>
              <w:t>the registrant’s internal control over financial reporting.</w:t>
            </w:r>
          </w:p>
        </w:tc>
      </w:tr>
    </w:tbl>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5.</w:t>
            </w:r>
          </w:p>
        </w:tc>
        <w:tc>
          <w:tcPr>
            <w:tcW w:w="10048"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74"/>
        <w:gridCol w:w="151"/>
        <w:gridCol w:w="9980"/>
      </w:tblGrid>
      <w:tr>
        <w:trPr/>
        <w:tc>
          <w:tcPr>
            <w:tcW w:w="74" w:type="dxa"/>
            <w:tcBorders/>
            <w:vAlign w:val="center"/>
          </w:tcPr>
          <w:p>
            <w:pPr>
              <w:pStyle w:val="TableContents"/>
              <w:bidi w:val="0"/>
              <w:spacing w:before="0" w:after="0"/>
              <w:ind w:left="0" w:right="0" w:hanging="0"/>
              <w:jc w:val="both"/>
              <w:rPr/>
            </w:pPr>
            <w:r>
              <w:rPr/>
              <w:t> </w:t>
            </w:r>
          </w:p>
        </w:tc>
        <w:tc>
          <w:tcPr>
            <w:tcW w:w="151"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w:t>
            </w:r>
          </w:p>
        </w:tc>
        <w:tc>
          <w:tcPr>
            <w:tcW w:w="998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4" w:type="dxa"/>
            <w:tcBorders/>
            <w:vAlign w:val="center"/>
          </w:tcPr>
          <w:p>
            <w:pPr>
              <w:pStyle w:val="TableContents"/>
              <w:bidi w:val="0"/>
              <w:spacing w:before="0" w:after="0"/>
              <w:ind w:left="0" w:right="0" w:hanging="0"/>
              <w:jc w:val="both"/>
              <w:rPr/>
            </w:pPr>
            <w:r>
              <w:rPr/>
              <w:t> </w:t>
            </w:r>
          </w:p>
        </w:tc>
        <w:tc>
          <w:tcPr>
            <w:tcW w:w="151" w:type="dxa"/>
            <w:tcBorders/>
            <w:vAlign w:val="center"/>
          </w:tcPr>
          <w:p>
            <w:pPr>
              <w:pStyle w:val="TableContents"/>
              <w:bidi w:val="0"/>
              <w:spacing w:before="0" w:after="0"/>
              <w:ind w:left="0" w:right="0" w:hanging="0"/>
              <w:jc w:val="both"/>
              <w:rPr/>
            </w:pPr>
            <w:r>
              <w:rPr/>
              <w:t> </w:t>
            </w:r>
          </w:p>
        </w:tc>
        <w:tc>
          <w:tcPr>
            <w:tcW w:w="9980" w:type="dxa"/>
            <w:tcBorders/>
            <w:vAlign w:val="center"/>
          </w:tcPr>
          <w:p>
            <w:pPr>
              <w:pStyle w:val="TableContents"/>
              <w:bidi w:val="0"/>
              <w:spacing w:before="0" w:after="0"/>
              <w:ind w:left="0" w:right="0" w:hanging="0"/>
              <w:jc w:val="both"/>
              <w:rPr/>
            </w:pPr>
            <w:r>
              <w:rPr/>
              <w:t> </w:t>
            </w:r>
          </w:p>
        </w:tc>
      </w:tr>
      <w:tr>
        <w:trPr/>
        <w:tc>
          <w:tcPr>
            <w:tcW w:w="74" w:type="dxa"/>
            <w:tcBorders/>
            <w:vAlign w:val="center"/>
          </w:tcPr>
          <w:p>
            <w:pPr>
              <w:pStyle w:val="TableContents"/>
              <w:bidi w:val="0"/>
              <w:spacing w:before="0" w:after="0"/>
              <w:ind w:left="0" w:right="0" w:hanging="0"/>
              <w:jc w:val="both"/>
              <w:rPr/>
            </w:pPr>
            <w:r>
              <w:rPr/>
              <w:t> </w:t>
            </w:r>
          </w:p>
        </w:tc>
        <w:tc>
          <w:tcPr>
            <w:tcW w:w="151"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b)</w:t>
            </w:r>
          </w:p>
        </w:tc>
        <w:tc>
          <w:tcPr>
            <w:tcW w:w="998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Any fraud, whether or not material, that involves management or other employees who have a significant role in the registrant’s internal control over financial reporting.</w:t>
            </w:r>
          </w:p>
        </w:tc>
      </w:tr>
    </w:tbl>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2558"/>
        <w:gridCol w:w="500"/>
        <w:gridCol w:w="7147"/>
      </w:tblGrid>
      <w:tr>
        <w:trPr/>
        <w:tc>
          <w:tcPr>
            <w:tcW w:w="2558"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By:</w:t>
            </w:r>
          </w:p>
        </w:tc>
        <w:tc>
          <w:tcPr>
            <w:tcW w:w="7147" w:type="dxa"/>
            <w:tcBorders/>
            <w:vAlign w:val="center"/>
          </w:tcPr>
          <w:p>
            <w:pPr>
              <w:pStyle w:val="TableContents"/>
              <w:bidi w:val="0"/>
              <w:spacing w:before="0" w:after="0"/>
              <w:ind w:left="0" w:right="0" w:hanging="0"/>
              <w:jc w:val="left"/>
              <w:rPr>
                <w:rFonts w:ascii="Times New Roman" w:hAnsi="Times New Roman"/>
                <w:i/>
                <w:sz w:val="20"/>
              </w:rPr>
            </w:pPr>
            <w:r>
              <w:rPr>
                <w:rFonts w:ascii="Times New Roman" w:hAnsi="Times New Roman"/>
                <w:i/>
                <w:sz w:val="20"/>
              </w:rPr>
              <w:t>/s/Simon Brewer</w:t>
            </w:r>
          </w:p>
        </w:tc>
      </w:tr>
      <w:tr>
        <w:trPr/>
        <w:tc>
          <w:tcPr>
            <w:tcW w:w="255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November 14, 2025</w:t>
            </w:r>
          </w:p>
        </w:tc>
        <w:tc>
          <w:tcPr>
            <w:tcW w:w="500" w:type="dxa"/>
            <w:tcBorders/>
            <w:vAlign w:val="center"/>
          </w:tcPr>
          <w:p>
            <w:pPr>
              <w:pStyle w:val="TableContents"/>
              <w:bidi w:val="0"/>
              <w:spacing w:before="0" w:after="0"/>
              <w:ind w:left="0" w:right="0" w:hanging="0"/>
              <w:jc w:val="left"/>
              <w:rPr/>
            </w:pPr>
            <w:r>
              <w:rPr/>
              <w:t> </w:t>
            </w:r>
          </w:p>
        </w:tc>
        <w:tc>
          <w:tcPr>
            <w:tcW w:w="7147" w:type="dxa"/>
            <w:tcBorders/>
            <w:vAlign w:val="center"/>
          </w:tcPr>
          <w:p>
            <w:pPr>
              <w:pStyle w:val="TableContents"/>
              <w:bidi w:val="0"/>
              <w:spacing w:before="0" w:after="0"/>
              <w:ind w:left="0" w:right="0" w:hanging="0"/>
              <w:jc w:val="left"/>
              <w:rPr/>
            </w:pPr>
            <w:r>
              <w:rPr/>
              <w:t>Simon Brewer</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Chief Financial Officer</w:t>
            </w:r>
          </w:p>
          <w:p>
            <w:pPr>
              <w:pStyle w:val="TableContents"/>
              <w:bidi w:val="0"/>
              <w:spacing w:before="0" w:after="0"/>
              <w:ind w:left="0" w:right="0" w:hanging="0"/>
              <w:jc w:val="left"/>
              <w:rPr>
                <w:rFonts w:ascii="Times New Roman" w:hAnsi="Times New Roman"/>
                <w:i/>
                <w:sz w:val="20"/>
              </w:rPr>
            </w:pPr>
            <w:r>
              <w:rPr>
                <w:rFonts w:ascii="Times New Roman" w:hAnsi="Times New Roman"/>
                <w:i/>
                <w:sz w:val="20"/>
              </w:rPr>
              <w:t>(Principal Accounting and Principal Financial Officer)</w:t>
            </w:r>
          </w:p>
        </w:tc>
      </w:tr>
    </w:tbl>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right"/>
        <w:rPr>
          <w:rFonts w:ascii="Times New Roman" w:hAnsi="Times New Roman"/>
          <w:b/>
          <w:sz w:val="20"/>
        </w:rPr>
      </w:pPr>
      <w:bookmarkStart w:id="713" w:name="ex321_3.htm"/>
      <w:bookmarkStart w:id="714" w:name="ksex321_3"/>
      <w:bookmarkEnd w:id="713"/>
      <w:bookmarkEnd w:id="714"/>
      <w:r>
        <w:rPr>
          <w:rFonts w:ascii="Times New Roman" w:hAnsi="Times New Roman"/>
          <w:b/>
          <w:sz w:val="20"/>
        </w:rPr>
        <w:t>EXHIBIT 32.1</w:t>
      </w:r>
      <w:r>
        <w:br w:type="page"/>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CERTIFICATION OF CHIEF EXECUTIVE OFFICER</w:t>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Pursuant to 18 U.S.C. Section 1350,</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As adopted pursuant to Section 906 of the Sarbanes-Oxley Act of 2002</w:t>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I, Derek L. Graham, certify, to my best knowledge and belief, pursuant to 18 U.S.C. Section 1350, as adopted pursuant to Section 906 of the Sarbanes-Oxley Act of 2002, that the Quarterly Report of ClearOne, Inc. on Form 10-Q for the quarter ended September 30, 2025 fully complies with the requirements of Section 13(a) or 15(d) of the Securities Exchange Act of 1934 and that information contained in such Quarterly Report on Form 10-Q fairly presents, in all material respects, the financial condition and results of operations of ClearOne, Inc.</w:t>
      </w:r>
    </w:p>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847"/>
        <w:gridCol w:w="751"/>
        <w:gridCol w:w="5607"/>
      </w:tblGrid>
      <w:tr>
        <w:trPr/>
        <w:tc>
          <w:tcPr>
            <w:tcW w:w="3847"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By:</w:t>
            </w:r>
          </w:p>
        </w:tc>
        <w:tc>
          <w:tcPr>
            <w:tcW w:w="5607" w:type="dxa"/>
            <w:tcBorders/>
            <w:vAlign w:val="center"/>
          </w:tcPr>
          <w:p>
            <w:pPr>
              <w:pStyle w:val="TableContents"/>
              <w:bidi w:val="0"/>
              <w:spacing w:before="0" w:after="0"/>
              <w:ind w:left="0" w:right="0" w:hanging="0"/>
              <w:jc w:val="left"/>
              <w:rPr>
                <w:rFonts w:ascii="Times New Roman" w:hAnsi="Times New Roman"/>
                <w:i/>
                <w:sz w:val="20"/>
              </w:rPr>
            </w:pPr>
            <w:r>
              <w:rPr>
                <w:rFonts w:ascii="Times New Roman" w:hAnsi="Times New Roman"/>
                <w:i/>
                <w:sz w:val="20"/>
              </w:rPr>
              <w:t>/s/ Derek L. Graham</w:t>
            </w:r>
          </w:p>
        </w:tc>
      </w:tr>
      <w:tr>
        <w:trPr/>
        <w:tc>
          <w:tcPr>
            <w:tcW w:w="384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November 14, 2025</w:t>
            </w:r>
          </w:p>
        </w:tc>
        <w:tc>
          <w:tcPr>
            <w:tcW w:w="751" w:type="dxa"/>
            <w:tcBorders/>
            <w:vAlign w:val="center"/>
          </w:tcPr>
          <w:p>
            <w:pPr>
              <w:pStyle w:val="TableContents"/>
              <w:bidi w:val="0"/>
              <w:spacing w:before="0" w:after="0"/>
              <w:ind w:left="0" w:right="0" w:hanging="0"/>
              <w:jc w:val="left"/>
              <w:rPr/>
            </w:pPr>
            <w:r>
              <w:rPr/>
              <w:t> </w:t>
            </w:r>
          </w:p>
        </w:tc>
        <w:tc>
          <w:tcPr>
            <w:tcW w:w="560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Derek L. Graham</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Chief Executive Officer</w:t>
            </w:r>
          </w:p>
          <w:p>
            <w:pPr>
              <w:pStyle w:val="TableContents"/>
              <w:bidi w:val="0"/>
              <w:spacing w:before="0" w:after="0"/>
              <w:ind w:left="0" w:right="0" w:hanging="0"/>
              <w:jc w:val="left"/>
              <w:rPr>
                <w:rFonts w:ascii="Times New Roman" w:hAnsi="Times New Roman"/>
                <w:i/>
                <w:sz w:val="20"/>
              </w:rPr>
            </w:pPr>
            <w:r>
              <w:rPr>
                <w:rFonts w:ascii="Times New Roman" w:hAnsi="Times New Roman"/>
                <w:i/>
                <w:sz w:val="20"/>
              </w:rPr>
              <w:t>(Principal Executive Officer)</w:t>
            </w:r>
          </w:p>
        </w:tc>
      </w:tr>
    </w:tbl>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times" w:hAnsi="times new roman;times"/>
          <w:sz w:val="20"/>
        </w:rPr>
      </w:pPr>
      <w:r>
        <w:rPr>
          <w:rFonts w:ascii="times new roman;times" w:hAnsi="times new roman;times"/>
          <w:sz w:val="20"/>
        </w:rPr>
        <w:br/>
        <w:br/>
      </w:r>
    </w:p>
    <w:p>
      <w:pPr>
        <w:pStyle w:val="TextBody"/>
        <w:bidi w:val="0"/>
        <w:spacing w:lineRule="auto" w:line="288" w:before="0" w:after="0"/>
        <w:ind w:left="0" w:right="0" w:hanging="0"/>
        <w:jc w:val="right"/>
        <w:rPr>
          <w:rFonts w:ascii="Times New Roman" w:hAnsi="Times New Roman"/>
          <w:b/>
          <w:sz w:val="20"/>
        </w:rPr>
      </w:pPr>
      <w:bookmarkStart w:id="715" w:name="ex322_4.htm"/>
      <w:bookmarkStart w:id="716" w:name="ksex322_4"/>
      <w:bookmarkEnd w:id="715"/>
      <w:bookmarkEnd w:id="716"/>
      <w:r>
        <w:rPr>
          <w:rFonts w:ascii="Times New Roman" w:hAnsi="Times New Roman"/>
          <w:b/>
          <w:sz w:val="20"/>
        </w:rPr>
        <w:t>EXHIBIT 32.2</w:t>
      </w:r>
      <w:r>
        <w:br w:type="page"/>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CERTIFICATION OF CHIEF FINANCIAL OFFICER</w:t>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Pursuant to 18 U.S.C. Section 1350,</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As adopted pursuant to Section 906 of the Sarbanes-Oxley Act of 2002</w:t>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I, Simon Brewer, certify, to my best knowledge and belief, pursuant to 18 U.S.C. Section 1350, as adopted pursuant to Section 906 of the Sarbanes-Oxley Act of 2002, that the Quarterly Report of ClearOne, Inc. on Form 10-Q for the quarter ended September 30, 2025, fully complies with the requirements of Section 13(a) or 15(d) of the Securities Exchange Act of 1934 and that information contained in such Quarterly Report on Form 10-Q fairly presents, in all material respects, the financial condition and results of operations of ClearOne, Inc.</w:t>
      </w:r>
    </w:p>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2558"/>
        <w:gridCol w:w="500"/>
        <w:gridCol w:w="7147"/>
      </w:tblGrid>
      <w:tr>
        <w:trPr/>
        <w:tc>
          <w:tcPr>
            <w:tcW w:w="2558"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By:</w:t>
            </w:r>
          </w:p>
        </w:tc>
        <w:tc>
          <w:tcPr>
            <w:tcW w:w="7147" w:type="dxa"/>
            <w:tcBorders/>
            <w:vAlign w:val="center"/>
          </w:tcPr>
          <w:p>
            <w:pPr>
              <w:pStyle w:val="TableContents"/>
              <w:bidi w:val="0"/>
              <w:spacing w:before="0" w:after="0"/>
              <w:ind w:left="0" w:right="0" w:hanging="0"/>
              <w:jc w:val="left"/>
              <w:rPr>
                <w:rFonts w:ascii="Times New Roman" w:hAnsi="Times New Roman"/>
                <w:i/>
                <w:sz w:val="20"/>
              </w:rPr>
            </w:pPr>
            <w:r>
              <w:rPr>
                <w:rFonts w:ascii="Times New Roman" w:hAnsi="Times New Roman"/>
                <w:i/>
                <w:sz w:val="20"/>
              </w:rPr>
              <w:t>/s/ Simon Brewer</w:t>
            </w:r>
          </w:p>
        </w:tc>
      </w:tr>
      <w:tr>
        <w:trPr/>
        <w:tc>
          <w:tcPr>
            <w:tcW w:w="255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November 14, 2025</w:t>
            </w:r>
          </w:p>
        </w:tc>
        <w:tc>
          <w:tcPr>
            <w:tcW w:w="500" w:type="dxa"/>
            <w:tcBorders/>
            <w:vAlign w:val="center"/>
          </w:tcPr>
          <w:p>
            <w:pPr>
              <w:pStyle w:val="TableContents"/>
              <w:bidi w:val="0"/>
              <w:spacing w:before="0" w:after="0"/>
              <w:ind w:left="0" w:right="0" w:hanging="0"/>
              <w:jc w:val="left"/>
              <w:rPr/>
            </w:pPr>
            <w:r>
              <w:rPr/>
              <w:t> </w:t>
            </w:r>
          </w:p>
        </w:tc>
        <w:tc>
          <w:tcPr>
            <w:tcW w:w="7147" w:type="dxa"/>
            <w:tcBorders/>
            <w:vAlign w:val="center"/>
          </w:tcPr>
          <w:p>
            <w:pPr>
              <w:pStyle w:val="TableContents"/>
              <w:bidi w:val="0"/>
              <w:spacing w:before="0" w:after="0"/>
              <w:ind w:left="0" w:right="0" w:hanging="0"/>
              <w:jc w:val="left"/>
              <w:rPr/>
            </w:pPr>
            <w:r>
              <w:rPr/>
              <w:t>Simon Brewer</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Chief Financial Officer</w:t>
            </w:r>
          </w:p>
          <w:p>
            <w:pPr>
              <w:pStyle w:val="TableContents"/>
              <w:bidi w:val="0"/>
              <w:spacing w:before="0" w:after="0"/>
              <w:ind w:left="0" w:right="0" w:hanging="0"/>
              <w:jc w:val="left"/>
              <w:rPr>
                <w:rFonts w:ascii="Times New Roman" w:hAnsi="Times New Roman"/>
                <w:i/>
                <w:sz w:val="20"/>
              </w:rPr>
            </w:pPr>
            <w:r>
              <w:rPr>
                <w:rFonts w:ascii="Times New Roman" w:hAnsi="Times New Roman"/>
                <w:i/>
                <w:sz w:val="20"/>
              </w:rPr>
              <w:t>(Principal Accounting and Principal Financial Officer)</w:t>
            </w:r>
          </w:p>
        </w:tc>
      </w:tr>
    </w:tbl>
    <w:p>
      <w:pPr>
        <w:pStyle w:val="TextBody"/>
        <w:bidi w:val="0"/>
        <w:spacing w:before="0" w:after="0"/>
        <w:ind w:left="0" w:right="0" w:hanging="0"/>
        <w:jc w:val="left"/>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 w:name="MS Mincho">
    <w:charset w:val="01"/>
    <w:family w:val="auto"/>
    <w:pitch w:val="default"/>
  </w:font>
  <w:font w:name="Times New Roman">
    <w:altName w:val="serif"/>
    <w:charset w:val="01"/>
    <w:family w:val="auto"/>
    <w:pitch w:val="default"/>
  </w:font>
  <w:font w:name="times new roman">
    <w:charset w:val="01"/>
    <w:family w:val="auto"/>
    <w:pitch w:val="default"/>
  </w:font>
  <w:font w:name="Times New Roman">
    <w:altName w:val="Times"/>
    <w:charset w:val="01"/>
    <w:family w:val="auto"/>
    <w:pitch w:val="default"/>
  </w:font>
  <w:font w:name="Wingdings">
    <w:charset w:val="02"/>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suff w:val="nothing"/>
      <w:lvlText w:val=""/>
      <w:lvlJc w:val="left"/>
      <w:pPr>
        <w:tabs>
          <w:tab w:val="num" w:pos="709"/>
        </w:tabs>
        <w:ind w:left="709" w:hanging="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0"/>
        </w:tabs>
        <w:ind w:left="0"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6">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7">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8">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9">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character" w:styleId="VisitedInternetLink">
    <w:name w:val="FollowedHyperlink"/>
    <w:rPr>
      <w:color w:val="80000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 TargetMode="External"/><Relationship Id="rId3" Type="http://schemas.openxmlformats.org/officeDocument/2006/relationships/hyperlink" Target="#" TargetMode="External"/><Relationship Id="rId4" Type="http://schemas.openxmlformats.org/officeDocument/2006/relationships/hyperlink" Target="#" TargetMode="External"/><Relationship Id="rId5" Type="http://schemas.openxmlformats.org/officeDocument/2006/relationships/hyperlink" Target="#" TargetMode="External"/><Relationship Id="rId6" Type="http://schemas.openxmlformats.org/officeDocument/2006/relationships/hyperlink" Target="#" TargetMode="External"/><Relationship Id="rId7" Type="http://schemas.openxmlformats.org/officeDocument/2006/relationships/hyperlink" Target="#" TargetMode="External"/><Relationship Id="rId8" Type="http://schemas.openxmlformats.org/officeDocument/2006/relationships/hyperlink" Target="#" TargetMode="External"/><Relationship Id="rId9" Type="http://schemas.openxmlformats.org/officeDocument/2006/relationships/hyperlink" Target="#" TargetMode="External"/><Relationship Id="rId10" Type="http://schemas.openxmlformats.org/officeDocument/2006/relationships/hyperlink" Target="#" TargetMode="External"/><Relationship Id="rId11" Type="http://schemas.openxmlformats.org/officeDocument/2006/relationships/hyperlink" Target="#" TargetMode="External"/><Relationship Id="rId12" Type="http://schemas.openxmlformats.org/officeDocument/2006/relationships/hyperlink" Target="#" TargetMode="External"/><Relationship Id="rId13" Type="http://schemas.openxmlformats.org/officeDocument/2006/relationships/hyperlink" Target="#" TargetMode="External"/><Relationship Id="rId14" Type="http://schemas.openxmlformats.org/officeDocument/2006/relationships/hyperlink" Target="#" TargetMode="External"/><Relationship Id="rId15" Type="http://schemas.openxmlformats.org/officeDocument/2006/relationships/hyperlink" Target="#" TargetMode="External"/><Relationship Id="rId16" Type="http://schemas.openxmlformats.org/officeDocument/2006/relationships/hyperlink" Target="#" TargetMode="External"/><Relationship Id="rId17" Type="http://schemas.openxmlformats.org/officeDocument/2006/relationships/hyperlink" Target="#" TargetMode="External"/><Relationship Id="rId18" Type="http://schemas.openxmlformats.org/officeDocument/2006/relationships/hyperlink" Target="#" TargetMode="External"/><Relationship Id="rId19" Type="http://schemas.openxmlformats.org/officeDocument/2006/relationships/hyperlink" Target="#" TargetMode="External"/><Relationship Id="rId20" Type="http://schemas.openxmlformats.org/officeDocument/2006/relationships/hyperlink" Target="#" TargetMode="External"/><Relationship Id="rId21" Type="http://schemas.openxmlformats.org/officeDocument/2006/relationships/hyperlink" Target="http://www.sec.gov/Archives/edgar/data/840715/000175392625001008/ex31_1.htm" TargetMode="External"/><Relationship Id="rId22" Type="http://schemas.openxmlformats.org/officeDocument/2006/relationships/hyperlink" Target="http://www.sec.gov/Archives/edgar/data/840715/000175392625001008/ex32_2.htm" TargetMode="External"/><Relationship Id="rId23" Type="http://schemas.openxmlformats.org/officeDocument/2006/relationships/hyperlink" Target="http://www.sec.gov/Archives/edgar/data/840715/000175392625000914/ex31_1.htm" TargetMode="External"/><Relationship Id="rId24" Type="http://schemas.openxmlformats.org/officeDocument/2006/relationships/hyperlink" Target="http://www.sec.gov/Archives/edgar/data/840715/000175392625001345/ex34_1.htm" TargetMode="External"/><Relationship Id="rId25" Type="http://schemas.openxmlformats.org/officeDocument/2006/relationships/hyperlink" Target="http://www.sec.gov/Archives/edgar/data/840715/000175392625000304/ex101_1.htm" TargetMode="External"/><Relationship Id="rId26" Type="http://schemas.openxmlformats.org/officeDocument/2006/relationships/hyperlink" Target="http://www.sec.gov/Archives/edgar/data/840715/000175392625001436/ex101_1.htm" TargetMode="External"/><Relationship Id="rId27" Type="http://schemas.openxmlformats.org/officeDocument/2006/relationships/hyperlink" Target="http://www.sec.gov/Archives/edgar/data/840715/000175392625001474/ex101_1.htm" TargetMode="External"/><Relationship Id="rId28" Type="http://schemas.openxmlformats.org/officeDocument/2006/relationships/hyperlink" Target="http://www.sec.gov/Archives/edgar/data/840715/000175392625001528/ex101_1.htm" TargetMode="External"/><Relationship Id="rId29" Type="http://schemas.openxmlformats.org/officeDocument/2006/relationships/hyperlink" Target="http://www.sec.gov/Archives/edgar/data/840715/000175392625001536/ex101_1.htm" TargetMode="External"/><Relationship Id="rId30" Type="http://schemas.openxmlformats.org/officeDocument/2006/relationships/hyperlink" Target="http://www.sec.gov/Archives/edgar/data/840715/000175392625001667/ex101_1.htm" TargetMode="External"/><Relationship Id="rId31" Type="http://schemas.openxmlformats.org/officeDocument/2006/relationships/numbering" Target="numbering.xml"/><Relationship Id="rId32" Type="http://schemas.openxmlformats.org/officeDocument/2006/relationships/fontTable" Target="fontTable.xml"/><Relationship Id="rId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16305</Words>
  <Characters>90738</Characters>
  <CharactersWithSpaces>107233</CharactersWithSpaces>
  <Paragraphs>3001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