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2"/>
        <w:spacing w:after="0"/>
        <w:rPr>
          <w:sz w:val="20"/>
          <w:szCs w:val="20"/>
          <w:color w:val="auto"/>
        </w:rPr>
      </w:pPr>
      <w:r>
        <w:rPr>
          <w:rFonts w:ascii="Arial" w:cs="Arial" w:eastAsia="Arial" w:hAnsi="Arial"/>
          <w:sz w:val="14"/>
          <w:szCs w:val="14"/>
          <w:b w:val="1"/>
          <w:bCs w:val="1"/>
          <w:color w:val="auto"/>
        </w:rPr>
        <w:t>As filed with the Securities and Exchange Commission on June 30, 2015</w:t>
      </w:r>
    </w:p>
    <w:p>
      <w:pPr>
        <w:spacing w:after="0" w:line="17" w:lineRule="exact"/>
        <w:rPr>
          <w:sz w:val="24"/>
          <w:szCs w:val="24"/>
          <w:color w:val="auto"/>
        </w:rPr>
      </w:pPr>
    </w:p>
    <w:p>
      <w:pPr>
        <w:ind w:left="9348"/>
        <w:spacing w:after="0"/>
        <w:rPr>
          <w:sz w:val="20"/>
          <w:szCs w:val="20"/>
          <w:color w:val="auto"/>
        </w:rPr>
      </w:pPr>
      <w:r>
        <w:rPr>
          <w:rFonts w:ascii="Arial" w:cs="Arial" w:eastAsia="Arial" w:hAnsi="Arial"/>
          <w:sz w:val="13"/>
          <w:szCs w:val="13"/>
          <w:b w:val="1"/>
          <w:bCs w:val="1"/>
          <w:color w:val="auto"/>
        </w:rPr>
        <w:t>Registration No. 333-______</w:t>
      </w:r>
    </w:p>
    <w:p>
      <w:pPr>
        <w:spacing w:after="0" w:line="212" w:lineRule="exact"/>
        <w:rPr>
          <w:sz w:val="24"/>
          <w:szCs w:val="24"/>
          <w:color w:val="auto"/>
        </w:rPr>
      </w:pPr>
    </w:p>
    <w:p>
      <w:pPr>
        <w:jc w:val="center"/>
        <w:ind w:right="332"/>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332"/>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332"/>
        <w:spacing w:after="0"/>
        <w:rPr>
          <w:sz w:val="20"/>
          <w:szCs w:val="20"/>
          <w:color w:val="auto"/>
        </w:rPr>
      </w:pPr>
      <w:r>
        <w:rPr>
          <w:rFonts w:ascii="Arial" w:cs="Arial" w:eastAsia="Arial" w:hAnsi="Arial"/>
          <w:sz w:val="14"/>
          <w:szCs w:val="14"/>
          <w:b w:val="1"/>
          <w:bCs w:val="1"/>
          <w:color w:val="auto"/>
        </w:rPr>
        <w:t>Washington, D.C. 20549</w:t>
      </w:r>
    </w:p>
    <w:p>
      <w:pPr>
        <w:spacing w:after="0" w:line="1" w:lineRule="exact"/>
        <w:rPr>
          <w:sz w:val="24"/>
          <w:szCs w:val="24"/>
          <w:color w:val="auto"/>
        </w:rPr>
      </w:pPr>
    </w:p>
    <w:p>
      <w:pPr>
        <w:ind w:left="4228"/>
        <w:spacing w:after="0"/>
        <w:rPr>
          <w:sz w:val="20"/>
          <w:szCs w:val="20"/>
          <w:color w:val="auto"/>
        </w:rPr>
      </w:pPr>
      <w:r>
        <w:rPr>
          <w:rFonts w:ascii="Arial" w:cs="Arial" w:eastAsia="Arial" w:hAnsi="Arial"/>
          <w:sz w:val="14"/>
          <w:szCs w:val="14"/>
          <w:b w:val="1"/>
          <w:bCs w:val="1"/>
          <w:color w:val="auto"/>
        </w:rPr>
        <w:t>________________________________</w:t>
      </w:r>
    </w:p>
    <w:p>
      <w:pPr>
        <w:spacing w:after="0" w:line="9" w:lineRule="exact"/>
        <w:rPr>
          <w:sz w:val="24"/>
          <w:szCs w:val="24"/>
          <w:color w:val="auto"/>
        </w:rPr>
      </w:pPr>
    </w:p>
    <w:p>
      <w:pPr>
        <w:jc w:val="center"/>
        <w:ind w:right="332"/>
        <w:spacing w:after="0"/>
        <w:rPr>
          <w:sz w:val="20"/>
          <w:szCs w:val="20"/>
          <w:color w:val="auto"/>
        </w:rPr>
      </w:pPr>
      <w:r>
        <w:rPr>
          <w:rFonts w:ascii="Arial" w:cs="Arial" w:eastAsia="Arial" w:hAnsi="Arial"/>
          <w:sz w:val="25"/>
          <w:szCs w:val="25"/>
          <w:b w:val="1"/>
          <w:bCs w:val="1"/>
          <w:color w:val="auto"/>
        </w:rPr>
        <w:t>FORM S-8</w:t>
      </w:r>
    </w:p>
    <w:p>
      <w:pPr>
        <w:spacing w:after="0" w:line="7" w:lineRule="exact"/>
        <w:rPr>
          <w:sz w:val="24"/>
          <w:szCs w:val="24"/>
          <w:color w:val="auto"/>
        </w:rPr>
      </w:pPr>
    </w:p>
    <w:p>
      <w:pPr>
        <w:jc w:val="center"/>
        <w:ind w:right="332"/>
        <w:spacing w:after="0"/>
        <w:rPr>
          <w:sz w:val="20"/>
          <w:szCs w:val="20"/>
          <w:color w:val="auto"/>
        </w:rPr>
      </w:pPr>
      <w:r>
        <w:rPr>
          <w:rFonts w:ascii="Arial" w:cs="Arial" w:eastAsia="Arial" w:hAnsi="Arial"/>
          <w:sz w:val="16"/>
          <w:szCs w:val="16"/>
          <w:b w:val="1"/>
          <w:bCs w:val="1"/>
          <w:color w:val="auto"/>
        </w:rPr>
        <w:t>REGISTRATION STATEMENT UNDER THE SECURITIES ACT OF 1933</w:t>
      </w:r>
    </w:p>
    <w:p>
      <w:pPr>
        <w:ind w:left="4228"/>
        <w:spacing w:after="0"/>
        <w:rPr>
          <w:sz w:val="20"/>
          <w:szCs w:val="20"/>
          <w:color w:val="auto"/>
        </w:rPr>
      </w:pPr>
      <w:r>
        <w:rPr>
          <w:rFonts w:ascii="Arial" w:cs="Arial" w:eastAsia="Arial" w:hAnsi="Arial"/>
          <w:sz w:val="14"/>
          <w:szCs w:val="14"/>
          <w:b w:val="1"/>
          <w:bCs w:val="1"/>
          <w:color w:val="auto"/>
        </w:rPr>
        <w:t>________________________________</w:t>
      </w:r>
    </w:p>
    <w:p>
      <w:pPr>
        <w:spacing w:after="0" w:line="9" w:lineRule="exact"/>
        <w:rPr>
          <w:sz w:val="24"/>
          <w:szCs w:val="24"/>
          <w:color w:val="auto"/>
        </w:rPr>
      </w:pPr>
    </w:p>
    <w:p>
      <w:pPr>
        <w:jc w:val="center"/>
        <w:ind w:right="332"/>
        <w:spacing w:after="0"/>
        <w:rPr>
          <w:sz w:val="20"/>
          <w:szCs w:val="20"/>
          <w:color w:val="auto"/>
        </w:rPr>
      </w:pPr>
      <w:r>
        <w:rPr>
          <w:rFonts w:ascii="Arial" w:cs="Arial" w:eastAsia="Arial" w:hAnsi="Arial"/>
          <w:sz w:val="25"/>
          <w:szCs w:val="25"/>
          <w:b w:val="1"/>
          <w:bCs w:val="1"/>
          <w:color w:val="auto"/>
        </w:rPr>
        <w:t>ClearOne, Inc.</w:t>
      </w:r>
    </w:p>
    <w:p>
      <w:pPr>
        <w:spacing w:after="0" w:line="7" w:lineRule="exact"/>
        <w:rPr>
          <w:sz w:val="24"/>
          <w:szCs w:val="24"/>
          <w:color w:val="auto"/>
        </w:rPr>
      </w:pPr>
    </w:p>
    <w:p>
      <w:pPr>
        <w:jc w:val="center"/>
        <w:ind w:right="332"/>
        <w:spacing w:after="0"/>
        <w:rPr>
          <w:sz w:val="20"/>
          <w:szCs w:val="20"/>
          <w:color w:val="auto"/>
        </w:rPr>
      </w:pPr>
      <w:r>
        <w:rPr>
          <w:rFonts w:ascii="Arial" w:cs="Arial" w:eastAsia="Arial" w:hAnsi="Arial"/>
          <w:sz w:val="16"/>
          <w:szCs w:val="16"/>
          <w:color w:val="auto"/>
        </w:rPr>
        <w:t>(Exact name of registrant as specified in its charter)</w:t>
      </w:r>
    </w:p>
    <w:p>
      <w:pPr>
        <w:ind w:left="4228"/>
        <w:spacing w:after="0"/>
        <w:rPr>
          <w:sz w:val="20"/>
          <w:szCs w:val="20"/>
          <w:color w:val="auto"/>
        </w:rPr>
      </w:pPr>
      <w:r>
        <w:rPr>
          <w:rFonts w:ascii="Arial" w:cs="Arial" w:eastAsia="Arial" w:hAnsi="Arial"/>
          <w:sz w:val="14"/>
          <w:szCs w:val="14"/>
          <w:b w:val="1"/>
          <w:bCs w:val="1"/>
          <w:color w:val="auto"/>
        </w:rPr>
        <w:t>________________________________</w:t>
      </w:r>
    </w:p>
    <w:p>
      <w:pPr>
        <w:sectPr>
          <w:pgSz w:w="11900" w:h="16838" w:orient="portrait"/>
          <w:cols w:equalWidth="0" w:num="1">
            <w:col w:w="11088"/>
          </w:cols>
          <w:pgMar w:left="572" w:top="684" w:right="239" w:bottom="1440" w:gutter="0" w:footer="0" w:header="0"/>
        </w:sectPr>
      </w:pPr>
    </w:p>
    <w:p>
      <w:pPr>
        <w:spacing w:after="0" w:line="156" w:lineRule="exact"/>
        <w:rPr>
          <w:sz w:val="24"/>
          <w:szCs w:val="24"/>
          <w:color w:val="auto"/>
        </w:rPr>
      </w:pPr>
    </w:p>
    <w:p>
      <w:pPr>
        <w:ind w:left="2048"/>
        <w:spacing w:after="0"/>
        <w:rPr>
          <w:sz w:val="20"/>
          <w:szCs w:val="20"/>
          <w:color w:val="auto"/>
        </w:rPr>
      </w:pPr>
      <w:r>
        <w:rPr>
          <w:rFonts w:ascii="Arial" w:cs="Arial" w:eastAsia="Arial" w:hAnsi="Arial"/>
          <w:sz w:val="15"/>
          <w:szCs w:val="15"/>
          <w:b w:val="1"/>
          <w:bCs w:val="1"/>
          <w:color w:val="auto"/>
        </w:rPr>
        <w:t>Utah</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jc w:val="center"/>
        <w:ind w:right="1900"/>
        <w:spacing w:after="0"/>
        <w:rPr>
          <w:sz w:val="20"/>
          <w:szCs w:val="20"/>
          <w:color w:val="auto"/>
        </w:rPr>
      </w:pPr>
      <w:r>
        <w:rPr>
          <w:rFonts w:ascii="Arial" w:cs="Arial" w:eastAsia="Arial" w:hAnsi="Arial"/>
          <w:sz w:val="14"/>
          <w:szCs w:val="14"/>
          <w:b w:val="1"/>
          <w:bCs w:val="1"/>
          <w:color w:val="auto"/>
        </w:rPr>
        <w:t>3661</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87-0398877</w:t>
      </w:r>
    </w:p>
    <w:p>
      <w:pPr>
        <w:spacing w:after="0" w:line="99" w:lineRule="exact"/>
        <w:rPr>
          <w:sz w:val="24"/>
          <w:szCs w:val="24"/>
          <w:color w:val="auto"/>
        </w:rPr>
      </w:pPr>
    </w:p>
    <w:p>
      <w:pPr>
        <w:sectPr>
          <w:pgSz w:w="11900" w:h="16838" w:orient="portrait"/>
          <w:cols w:equalWidth="0" w:num="3">
            <w:col w:w="4568" w:space="720"/>
            <w:col w:w="2220" w:space="720"/>
            <w:col w:w="2860"/>
          </w:cols>
          <w:pgMar w:left="572" w:top="684" w:right="239" w:bottom="1440" w:gutter="0" w:footer="0" w:header="0"/>
          <w:type w:val="continuous"/>
        </w:sectPr>
      </w:pPr>
    </w:p>
    <w:p>
      <w:pPr>
        <w:jc w:val="center"/>
        <w:ind w:left="668"/>
        <w:spacing w:after="0"/>
        <w:rPr>
          <w:sz w:val="20"/>
          <w:szCs w:val="20"/>
          <w:color w:val="auto"/>
        </w:rPr>
      </w:pPr>
      <w:r>
        <w:rPr>
          <w:rFonts w:ascii="Arial" w:cs="Arial" w:eastAsia="Arial" w:hAnsi="Arial"/>
          <w:sz w:val="16"/>
          <w:szCs w:val="16"/>
          <w:color w:val="auto"/>
        </w:rPr>
        <w:t>(State or other jurisdiction</w:t>
      </w:r>
    </w:p>
    <w:p>
      <w:pPr>
        <w:spacing w:after="0" w:line="22" w:lineRule="exact"/>
        <w:rPr>
          <w:sz w:val="24"/>
          <w:szCs w:val="24"/>
          <w:color w:val="auto"/>
        </w:rPr>
      </w:pPr>
    </w:p>
    <w:p>
      <w:pPr>
        <w:jc w:val="center"/>
        <w:ind w:left="668"/>
        <w:spacing w:after="0"/>
        <w:rPr>
          <w:sz w:val="20"/>
          <w:szCs w:val="20"/>
          <w:color w:val="auto"/>
        </w:rPr>
      </w:pPr>
      <w:r>
        <w:rPr>
          <w:rFonts w:ascii="Arial" w:cs="Arial" w:eastAsia="Arial" w:hAnsi="Arial"/>
          <w:sz w:val="15"/>
          <w:szCs w:val="15"/>
          <w:color w:val="auto"/>
        </w:rPr>
        <w:t>of 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5"/>
          <w:szCs w:val="15"/>
          <w:color w:val="auto"/>
        </w:rPr>
        <w:t>(Primary Standard Industrial</w:t>
      </w:r>
    </w:p>
    <w:p>
      <w:pPr>
        <w:spacing w:after="0" w:line="34" w:lineRule="exact"/>
        <w:rPr>
          <w:sz w:val="24"/>
          <w:szCs w:val="24"/>
          <w:color w:val="auto"/>
        </w:rPr>
      </w:pPr>
    </w:p>
    <w:p>
      <w:pPr>
        <w:spacing w:after="0"/>
        <w:rPr>
          <w:sz w:val="20"/>
          <w:szCs w:val="20"/>
          <w:color w:val="auto"/>
        </w:rPr>
      </w:pPr>
      <w:r>
        <w:rPr>
          <w:rFonts w:ascii="Arial" w:cs="Arial" w:eastAsia="Arial" w:hAnsi="Arial"/>
          <w:sz w:val="14"/>
          <w:szCs w:val="14"/>
          <w:color w:val="auto"/>
        </w:rPr>
        <w:t>Classification Code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5"/>
          <w:szCs w:val="15"/>
          <w:color w:val="auto"/>
        </w:rPr>
        <w:t>(I.R.S. Employer</w:t>
      </w: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103" w:lineRule="exact"/>
        <w:rPr>
          <w:sz w:val="24"/>
          <w:szCs w:val="24"/>
          <w:color w:val="auto"/>
        </w:rPr>
      </w:pPr>
    </w:p>
    <w:p>
      <w:pPr>
        <w:sectPr>
          <w:pgSz w:w="11900" w:h="16838" w:orient="portrait"/>
          <w:cols w:equalWidth="0" w:num="3">
            <w:col w:w="3768" w:space="720"/>
            <w:col w:w="2800" w:space="720"/>
            <w:col w:w="3080"/>
          </w:cols>
          <w:pgMar w:left="572" w:top="684" w:right="239" w:bottom="1440" w:gutter="0" w:footer="0" w:header="0"/>
          <w:type w:val="continuous"/>
        </w:sectPr>
      </w:pPr>
    </w:p>
    <w:p>
      <w:pPr>
        <w:ind w:left="4308"/>
        <w:spacing w:after="0"/>
        <w:rPr>
          <w:sz w:val="20"/>
          <w:szCs w:val="20"/>
          <w:color w:val="auto"/>
        </w:rPr>
      </w:pPr>
      <w:r>
        <w:rPr>
          <w:rFonts w:ascii="Arial" w:cs="Arial" w:eastAsia="Arial" w:hAnsi="Arial"/>
          <w:sz w:val="16"/>
          <w:szCs w:val="16"/>
          <w:b w:val="1"/>
          <w:bCs w:val="1"/>
          <w:color w:val="auto"/>
        </w:rPr>
        <w:t>5225 Wiley Post Way, Suite 500</w:t>
      </w:r>
    </w:p>
    <w:p>
      <w:pPr>
        <w:spacing w:after="0" w:line="23" w:lineRule="exact"/>
        <w:rPr>
          <w:sz w:val="24"/>
          <w:szCs w:val="24"/>
          <w:color w:val="auto"/>
        </w:rPr>
      </w:pPr>
    </w:p>
    <w:p>
      <w:pPr>
        <w:ind w:left="4448"/>
        <w:spacing w:after="0"/>
        <w:rPr>
          <w:sz w:val="20"/>
          <w:szCs w:val="20"/>
          <w:color w:val="auto"/>
        </w:rPr>
      </w:pPr>
      <w:r>
        <w:rPr>
          <w:rFonts w:ascii="Arial" w:cs="Arial" w:eastAsia="Arial" w:hAnsi="Arial"/>
          <w:sz w:val="16"/>
          <w:szCs w:val="16"/>
          <w:b w:val="1"/>
          <w:bCs w:val="1"/>
          <w:color w:val="auto"/>
        </w:rPr>
        <w:t>Salt Lake City, Utah 84116</w:t>
      </w:r>
    </w:p>
    <w:p>
      <w:pPr>
        <w:spacing w:after="0" w:line="5" w:lineRule="exact"/>
        <w:rPr>
          <w:sz w:val="24"/>
          <w:szCs w:val="24"/>
          <w:color w:val="auto"/>
        </w:rPr>
      </w:pPr>
    </w:p>
    <w:p>
      <w:pPr>
        <w:ind w:left="4868"/>
        <w:spacing w:after="0"/>
        <w:rPr>
          <w:sz w:val="20"/>
          <w:szCs w:val="20"/>
          <w:color w:val="auto"/>
        </w:rPr>
      </w:pPr>
      <w:r>
        <w:rPr>
          <w:rFonts w:ascii="Arial" w:cs="Arial" w:eastAsia="Arial" w:hAnsi="Arial"/>
          <w:sz w:val="16"/>
          <w:szCs w:val="16"/>
          <w:b w:val="1"/>
          <w:bCs w:val="1"/>
          <w:color w:val="auto"/>
        </w:rPr>
        <w:t>(801) 975-7200</w:t>
      </w:r>
    </w:p>
    <w:p>
      <w:pPr>
        <w:spacing w:after="0" w:line="5" w:lineRule="exact"/>
        <w:rPr>
          <w:sz w:val="24"/>
          <w:szCs w:val="24"/>
          <w:color w:val="auto"/>
        </w:rPr>
      </w:pPr>
    </w:p>
    <w:p>
      <w:pPr>
        <w:ind w:left="3668"/>
        <w:spacing w:after="0"/>
        <w:rPr>
          <w:sz w:val="20"/>
          <w:szCs w:val="20"/>
          <w:color w:val="auto"/>
        </w:rPr>
      </w:pPr>
      <w:r>
        <w:rPr>
          <w:rFonts w:ascii="Arial" w:cs="Arial" w:eastAsia="Arial" w:hAnsi="Arial"/>
          <w:sz w:val="16"/>
          <w:szCs w:val="16"/>
          <w:color w:val="auto"/>
        </w:rPr>
        <w:t>(Address, including zip code, and telephone number,</w:t>
      </w:r>
    </w:p>
    <w:p>
      <w:pPr>
        <w:spacing w:after="0" w:line="5" w:lineRule="exact"/>
        <w:rPr>
          <w:sz w:val="24"/>
          <w:szCs w:val="24"/>
          <w:color w:val="auto"/>
        </w:rPr>
      </w:pPr>
    </w:p>
    <w:p>
      <w:pPr>
        <w:ind w:left="3368"/>
        <w:spacing w:after="0"/>
        <w:rPr>
          <w:sz w:val="20"/>
          <w:szCs w:val="20"/>
          <w:color w:val="auto"/>
        </w:rPr>
      </w:pPr>
      <w:r>
        <w:rPr>
          <w:rFonts w:ascii="Arial" w:cs="Arial" w:eastAsia="Arial" w:hAnsi="Arial"/>
          <w:sz w:val="14"/>
          <w:szCs w:val="14"/>
          <w:color w:val="auto"/>
        </w:rPr>
        <w:t>including area code, of registrant's principal executive offices)</w:t>
      </w:r>
    </w:p>
    <w:p>
      <w:pPr>
        <w:spacing w:after="0" w:line="17" w:lineRule="exact"/>
        <w:rPr>
          <w:sz w:val="24"/>
          <w:szCs w:val="24"/>
          <w:color w:val="auto"/>
        </w:rPr>
      </w:pPr>
    </w:p>
    <w:p>
      <w:pPr>
        <w:ind w:left="4228"/>
        <w:spacing w:after="0"/>
        <w:rPr>
          <w:sz w:val="20"/>
          <w:szCs w:val="20"/>
          <w:color w:val="auto"/>
        </w:rPr>
      </w:pPr>
      <w:r>
        <w:rPr>
          <w:rFonts w:ascii="Arial" w:cs="Arial" w:eastAsia="Arial" w:hAnsi="Arial"/>
          <w:sz w:val="14"/>
          <w:szCs w:val="14"/>
          <w:b w:val="1"/>
          <w:bCs w:val="1"/>
          <w:color w:val="auto"/>
        </w:rPr>
        <w:t>________________________________</w:t>
      </w:r>
    </w:p>
    <w:p>
      <w:pPr>
        <w:spacing w:after="0" w:line="183" w:lineRule="exact"/>
        <w:rPr>
          <w:sz w:val="24"/>
          <w:szCs w:val="24"/>
          <w:color w:val="auto"/>
        </w:rPr>
      </w:pPr>
    </w:p>
    <w:p>
      <w:pPr>
        <w:jc w:val="center"/>
        <w:ind w:right="312"/>
        <w:spacing w:after="0"/>
        <w:rPr>
          <w:sz w:val="20"/>
          <w:szCs w:val="20"/>
          <w:color w:val="auto"/>
        </w:rPr>
      </w:pPr>
      <w:r>
        <w:rPr>
          <w:rFonts w:ascii="Arial" w:cs="Arial" w:eastAsia="Arial" w:hAnsi="Arial"/>
          <w:sz w:val="16"/>
          <w:szCs w:val="16"/>
          <w:b w:val="1"/>
          <w:bCs w:val="1"/>
          <w:color w:val="auto"/>
        </w:rPr>
        <w:t>ClearOne, Inc. Employee Stock Purchase Plan</w:t>
      </w:r>
    </w:p>
    <w:p>
      <w:pPr>
        <w:spacing w:after="0" w:line="17" w:lineRule="exact"/>
        <w:rPr>
          <w:sz w:val="24"/>
          <w:szCs w:val="24"/>
          <w:color w:val="auto"/>
        </w:rPr>
      </w:pPr>
    </w:p>
    <w:p>
      <w:pPr>
        <w:jc w:val="center"/>
        <w:ind w:right="312"/>
        <w:spacing w:after="0"/>
        <w:rPr>
          <w:sz w:val="20"/>
          <w:szCs w:val="20"/>
          <w:color w:val="auto"/>
        </w:rPr>
      </w:pPr>
      <w:r>
        <w:rPr>
          <w:rFonts w:ascii="Arial" w:cs="Arial" w:eastAsia="Arial" w:hAnsi="Arial"/>
          <w:sz w:val="16"/>
          <w:szCs w:val="16"/>
          <w:color w:val="auto"/>
        </w:rPr>
        <w:t>(Full Title of the Plan)</w:t>
      </w:r>
    </w:p>
    <w:p>
      <w:pPr>
        <w:ind w:left="4228"/>
        <w:spacing w:after="0"/>
        <w:rPr>
          <w:sz w:val="20"/>
          <w:szCs w:val="20"/>
          <w:color w:val="auto"/>
        </w:rPr>
      </w:pPr>
      <w:r>
        <w:rPr>
          <w:rFonts w:ascii="Arial" w:cs="Arial" w:eastAsia="Arial" w:hAnsi="Arial"/>
          <w:sz w:val="14"/>
          <w:szCs w:val="14"/>
          <w:b w:val="1"/>
          <w:bCs w:val="1"/>
          <w:color w:val="auto"/>
        </w:rPr>
        <w:t>________________________________</w:t>
      </w:r>
    </w:p>
    <w:p>
      <w:pPr>
        <w:spacing w:after="0" w:line="183" w:lineRule="exact"/>
        <w:rPr>
          <w:sz w:val="24"/>
          <w:szCs w:val="24"/>
          <w:color w:val="auto"/>
        </w:rPr>
      </w:pPr>
    </w:p>
    <w:p>
      <w:pPr>
        <w:jc w:val="center"/>
        <w:ind w:right="312"/>
        <w:spacing w:after="0"/>
        <w:rPr>
          <w:sz w:val="20"/>
          <w:szCs w:val="20"/>
          <w:color w:val="auto"/>
        </w:rPr>
      </w:pPr>
      <w:r>
        <w:rPr>
          <w:rFonts w:ascii="Arial" w:cs="Arial" w:eastAsia="Arial" w:hAnsi="Arial"/>
          <w:sz w:val="16"/>
          <w:szCs w:val="16"/>
          <w:b w:val="1"/>
          <w:bCs w:val="1"/>
          <w:color w:val="auto"/>
        </w:rPr>
        <w:t>Zeynep Hakimoglu</w:t>
      </w:r>
    </w:p>
    <w:p>
      <w:pPr>
        <w:spacing w:after="0" w:line="275" w:lineRule="exact"/>
        <w:rPr>
          <w:sz w:val="24"/>
          <w:szCs w:val="24"/>
          <w:color w:val="auto"/>
        </w:rPr>
      </w:pPr>
    </w:p>
    <w:p>
      <w:pPr>
        <w:ind w:left="4308"/>
        <w:spacing w:after="0"/>
        <w:rPr>
          <w:sz w:val="20"/>
          <w:szCs w:val="20"/>
          <w:color w:val="auto"/>
        </w:rPr>
      </w:pPr>
      <w:r>
        <w:rPr>
          <w:rFonts w:ascii="Arial" w:cs="Arial" w:eastAsia="Arial" w:hAnsi="Arial"/>
          <w:sz w:val="16"/>
          <w:szCs w:val="16"/>
          <w:b w:val="1"/>
          <w:bCs w:val="1"/>
          <w:color w:val="auto"/>
        </w:rPr>
        <w:t>5225 Wiley Post Way, Suite 500</w:t>
      </w:r>
    </w:p>
    <w:p>
      <w:pPr>
        <w:spacing w:after="0" w:line="23" w:lineRule="exact"/>
        <w:rPr>
          <w:sz w:val="24"/>
          <w:szCs w:val="24"/>
          <w:color w:val="auto"/>
        </w:rPr>
      </w:pPr>
    </w:p>
    <w:p>
      <w:pPr>
        <w:ind w:left="4448"/>
        <w:spacing w:after="0"/>
        <w:rPr>
          <w:sz w:val="20"/>
          <w:szCs w:val="20"/>
          <w:color w:val="auto"/>
        </w:rPr>
      </w:pPr>
      <w:r>
        <w:rPr>
          <w:rFonts w:ascii="Arial" w:cs="Arial" w:eastAsia="Arial" w:hAnsi="Arial"/>
          <w:sz w:val="16"/>
          <w:szCs w:val="16"/>
          <w:b w:val="1"/>
          <w:bCs w:val="1"/>
          <w:color w:val="auto"/>
        </w:rPr>
        <w:t>Salt Lake City, Utah 84116</w:t>
      </w:r>
    </w:p>
    <w:p>
      <w:pPr>
        <w:spacing w:after="0" w:line="5" w:lineRule="exact"/>
        <w:rPr>
          <w:sz w:val="24"/>
          <w:szCs w:val="24"/>
          <w:color w:val="auto"/>
        </w:rPr>
      </w:pPr>
    </w:p>
    <w:p>
      <w:pPr>
        <w:ind w:left="4868"/>
        <w:spacing w:after="0"/>
        <w:rPr>
          <w:sz w:val="20"/>
          <w:szCs w:val="20"/>
          <w:color w:val="auto"/>
        </w:rPr>
      </w:pPr>
      <w:r>
        <w:rPr>
          <w:rFonts w:ascii="Arial" w:cs="Arial" w:eastAsia="Arial" w:hAnsi="Arial"/>
          <w:sz w:val="16"/>
          <w:szCs w:val="16"/>
          <w:b w:val="1"/>
          <w:bCs w:val="1"/>
          <w:color w:val="auto"/>
        </w:rPr>
        <w:t>(801) 975-7200</w:t>
      </w:r>
    </w:p>
    <w:p>
      <w:pPr>
        <w:spacing w:after="0" w:line="5" w:lineRule="exact"/>
        <w:rPr>
          <w:sz w:val="24"/>
          <w:szCs w:val="24"/>
          <w:color w:val="auto"/>
        </w:rPr>
      </w:pPr>
    </w:p>
    <w:p>
      <w:pPr>
        <w:ind w:left="3468"/>
        <w:spacing w:after="0"/>
        <w:rPr>
          <w:sz w:val="20"/>
          <w:szCs w:val="20"/>
          <w:color w:val="auto"/>
        </w:rPr>
      </w:pPr>
      <w:r>
        <w:rPr>
          <w:rFonts w:ascii="Arial" w:cs="Arial" w:eastAsia="Arial" w:hAnsi="Arial"/>
          <w:sz w:val="14"/>
          <w:szCs w:val="14"/>
          <w:color w:val="auto"/>
        </w:rPr>
        <w:t>(Name, address, including zip code, and telephone number,</w:t>
      </w:r>
    </w:p>
    <w:p>
      <w:pPr>
        <w:spacing w:after="0" w:line="22" w:lineRule="exact"/>
        <w:rPr>
          <w:sz w:val="24"/>
          <w:szCs w:val="24"/>
          <w:color w:val="auto"/>
        </w:rPr>
      </w:pPr>
    </w:p>
    <w:p>
      <w:pPr>
        <w:ind w:left="4048"/>
        <w:spacing w:after="0"/>
        <w:rPr>
          <w:sz w:val="20"/>
          <w:szCs w:val="20"/>
          <w:color w:val="auto"/>
        </w:rPr>
      </w:pPr>
      <w:r>
        <w:rPr>
          <w:rFonts w:ascii="Arial" w:cs="Arial" w:eastAsia="Arial" w:hAnsi="Arial"/>
          <w:sz w:val="16"/>
          <w:szCs w:val="16"/>
          <w:color w:val="auto"/>
        </w:rPr>
        <w:t>including area code, of agent for service)</w:t>
      </w:r>
    </w:p>
    <w:p>
      <w:pPr>
        <w:ind w:left="4228"/>
        <w:spacing w:after="0"/>
        <w:rPr>
          <w:sz w:val="20"/>
          <w:szCs w:val="20"/>
          <w:color w:val="auto"/>
        </w:rPr>
      </w:pPr>
      <w:r>
        <w:rPr>
          <w:rFonts w:ascii="Arial" w:cs="Arial" w:eastAsia="Arial" w:hAnsi="Arial"/>
          <w:sz w:val="14"/>
          <w:szCs w:val="14"/>
          <w:b w:val="1"/>
          <w:bCs w:val="1"/>
          <w:color w:val="auto"/>
        </w:rPr>
        <w:t>________________________________</w:t>
      </w:r>
    </w:p>
    <w:p>
      <w:pPr>
        <w:spacing w:after="0" w:line="187" w:lineRule="exact"/>
        <w:rPr>
          <w:sz w:val="24"/>
          <w:szCs w:val="24"/>
          <w:color w:val="auto"/>
        </w:rPr>
      </w:pPr>
    </w:p>
    <w:p>
      <w:pPr>
        <w:jc w:val="center"/>
        <w:ind w:right="312"/>
        <w:spacing w:after="0"/>
        <w:rPr>
          <w:sz w:val="20"/>
          <w:szCs w:val="20"/>
          <w:color w:val="auto"/>
        </w:rPr>
      </w:pPr>
      <w:r>
        <w:rPr>
          <w:rFonts w:ascii="Arial" w:cs="Arial" w:eastAsia="Arial" w:hAnsi="Arial"/>
          <w:sz w:val="16"/>
          <w:szCs w:val="16"/>
          <w:color w:val="auto"/>
        </w:rPr>
        <w:t>Copy to:</w:t>
      </w:r>
    </w:p>
    <w:p>
      <w:pPr>
        <w:spacing w:after="0" w:line="19" w:lineRule="exact"/>
        <w:rPr>
          <w:sz w:val="24"/>
          <w:szCs w:val="24"/>
          <w:color w:val="auto"/>
        </w:rPr>
      </w:pPr>
    </w:p>
    <w:p>
      <w:pPr>
        <w:jc w:val="center"/>
        <w:ind w:right="312"/>
        <w:spacing w:after="0"/>
        <w:rPr>
          <w:sz w:val="20"/>
          <w:szCs w:val="20"/>
          <w:color w:val="auto"/>
        </w:rPr>
      </w:pPr>
      <w:r>
        <w:rPr>
          <w:rFonts w:ascii="Arial" w:cs="Arial" w:eastAsia="Arial" w:hAnsi="Arial"/>
          <w:sz w:val="16"/>
          <w:szCs w:val="16"/>
          <w:b w:val="1"/>
          <w:bCs w:val="1"/>
          <w:color w:val="auto"/>
        </w:rPr>
        <w:t>Mark W. Coffin</w:t>
      </w:r>
    </w:p>
    <w:p>
      <w:pPr>
        <w:spacing w:after="0" w:line="5" w:lineRule="exact"/>
        <w:rPr>
          <w:sz w:val="24"/>
          <w:szCs w:val="24"/>
          <w:color w:val="auto"/>
        </w:rPr>
      </w:pPr>
    </w:p>
    <w:p>
      <w:pPr>
        <w:jc w:val="center"/>
        <w:ind w:right="312"/>
        <w:spacing w:after="0"/>
        <w:rPr>
          <w:sz w:val="20"/>
          <w:szCs w:val="20"/>
          <w:color w:val="auto"/>
        </w:rPr>
      </w:pPr>
      <w:r>
        <w:rPr>
          <w:rFonts w:ascii="Arial" w:cs="Arial" w:eastAsia="Arial" w:hAnsi="Arial"/>
          <w:sz w:val="16"/>
          <w:szCs w:val="16"/>
          <w:b w:val="1"/>
          <w:bCs w:val="1"/>
          <w:color w:val="auto"/>
        </w:rPr>
        <w:t>Seyfarth Shaw LLP</w:t>
      </w:r>
    </w:p>
    <w:p>
      <w:pPr>
        <w:spacing w:after="0" w:line="5" w:lineRule="exact"/>
        <w:rPr>
          <w:sz w:val="24"/>
          <w:szCs w:val="24"/>
          <w:color w:val="auto"/>
        </w:rPr>
      </w:pPr>
    </w:p>
    <w:p>
      <w:pPr>
        <w:jc w:val="center"/>
        <w:ind w:right="312"/>
        <w:spacing w:after="0"/>
        <w:rPr>
          <w:sz w:val="20"/>
          <w:szCs w:val="20"/>
          <w:color w:val="auto"/>
        </w:rPr>
      </w:pPr>
      <w:r>
        <w:rPr>
          <w:rFonts w:ascii="Arial" w:cs="Arial" w:eastAsia="Arial" w:hAnsi="Arial"/>
          <w:sz w:val="16"/>
          <w:szCs w:val="16"/>
          <w:b w:val="1"/>
          <w:bCs w:val="1"/>
          <w:color w:val="auto"/>
        </w:rPr>
        <w:t>700 Milam Street, Suite 1400</w:t>
      </w:r>
    </w:p>
    <w:p>
      <w:pPr>
        <w:spacing w:after="0" w:line="5" w:lineRule="exact"/>
        <w:rPr>
          <w:sz w:val="24"/>
          <w:szCs w:val="24"/>
          <w:color w:val="auto"/>
        </w:rPr>
      </w:pPr>
    </w:p>
    <w:p>
      <w:pPr>
        <w:jc w:val="center"/>
        <w:ind w:right="312"/>
        <w:spacing w:after="0"/>
        <w:rPr>
          <w:sz w:val="20"/>
          <w:szCs w:val="20"/>
          <w:color w:val="auto"/>
        </w:rPr>
      </w:pPr>
      <w:r>
        <w:rPr>
          <w:rFonts w:ascii="Arial" w:cs="Arial" w:eastAsia="Arial" w:hAnsi="Arial"/>
          <w:sz w:val="16"/>
          <w:szCs w:val="16"/>
          <w:b w:val="1"/>
          <w:bCs w:val="1"/>
          <w:color w:val="auto"/>
        </w:rPr>
        <w:t>Houston, Texas 77002</w:t>
      </w:r>
    </w:p>
    <w:p>
      <w:pPr>
        <w:jc w:val="center"/>
        <w:ind w:right="312"/>
        <w:spacing w:after="0"/>
        <w:rPr>
          <w:sz w:val="20"/>
          <w:szCs w:val="20"/>
          <w:color w:val="auto"/>
        </w:rPr>
      </w:pPr>
      <w:r>
        <w:rPr>
          <w:rFonts w:ascii="Arial" w:cs="Arial" w:eastAsia="Arial" w:hAnsi="Arial"/>
          <w:sz w:val="16"/>
          <w:szCs w:val="16"/>
          <w:b w:val="1"/>
          <w:bCs w:val="1"/>
          <w:color w:val="auto"/>
        </w:rPr>
        <w:t>(713) 225-2300</w:t>
      </w:r>
    </w:p>
    <w:p>
      <w:pPr>
        <w:ind w:left="4228"/>
        <w:spacing w:after="0"/>
        <w:rPr>
          <w:sz w:val="20"/>
          <w:szCs w:val="20"/>
          <w:color w:val="auto"/>
        </w:rPr>
      </w:pPr>
      <w:r>
        <w:rPr>
          <w:rFonts w:ascii="Arial" w:cs="Arial" w:eastAsia="Arial" w:hAnsi="Arial"/>
          <w:sz w:val="14"/>
          <w:szCs w:val="14"/>
          <w:b w:val="1"/>
          <w:bCs w:val="1"/>
          <w:color w:val="auto"/>
        </w:rPr>
        <w:t>________________________________</w:t>
      </w:r>
    </w:p>
    <w:p>
      <w:pPr>
        <w:spacing w:after="0" w:line="174" w:lineRule="exact"/>
        <w:rPr>
          <w:sz w:val="24"/>
          <w:szCs w:val="24"/>
          <w:color w:val="auto"/>
        </w:rPr>
      </w:pPr>
    </w:p>
    <w:p>
      <w:pPr>
        <w:jc w:val="center"/>
        <w:ind w:right="312"/>
        <w:spacing w:after="0"/>
        <w:rPr>
          <w:sz w:val="20"/>
          <w:szCs w:val="20"/>
          <w:color w:val="auto"/>
        </w:rPr>
      </w:pPr>
      <w:r>
        <w:rPr>
          <w:rFonts w:ascii="Arial" w:cs="Arial" w:eastAsia="Arial" w:hAnsi="Arial"/>
          <w:sz w:val="14"/>
          <w:szCs w:val="14"/>
          <w:b w:val="1"/>
          <w:bCs w:val="1"/>
          <w:color w:val="auto"/>
        </w:rPr>
        <w:t>CALCULATION OF REGISTRATION FEE</w:t>
      </w:r>
    </w:p>
    <w:p>
      <w:pPr>
        <w:sectPr>
          <w:pgSz w:w="11900" w:h="16838" w:orient="portrait"/>
          <w:cols w:equalWidth="0" w:num="1">
            <w:col w:w="11088"/>
          </w:cols>
          <w:pgMar w:left="572" w:top="684" w:right="239" w:bottom="1440" w:gutter="0" w:footer="0" w:header="0"/>
          <w:type w:val="continuous"/>
        </w:sectPr>
      </w:pPr>
    </w:p>
    <w:p>
      <w:pPr>
        <w:spacing w:after="0" w:line="217" w:lineRule="exact"/>
        <w:rPr>
          <w:sz w:val="24"/>
          <w:szCs w:val="24"/>
          <w:color w:val="auto"/>
        </w:rPr>
      </w:pPr>
    </w:p>
    <w:tbl>
      <w:tblPr>
        <w:tblLayout w:type="fixed"/>
        <w:tblInd w:w="608"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Proposed maximum</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2"/>
              </w:rPr>
              <w:t>Proposed maximum</w:t>
            </w:r>
          </w:p>
        </w:tc>
        <w:tc>
          <w:tcPr>
            <w:tcW w:w="1260" w:type="dxa"/>
            <w:vAlign w:val="bottom"/>
          </w:tcPr>
          <w:p>
            <w:pPr>
              <w:spacing w:after="0"/>
              <w:rPr>
                <w:sz w:val="14"/>
                <w:szCs w:val="14"/>
                <w:color w:val="auto"/>
              </w:rPr>
            </w:pPr>
          </w:p>
        </w:tc>
      </w:tr>
      <w:tr>
        <w:trPr>
          <w:trHeight w:val="162"/>
        </w:trPr>
        <w:tc>
          <w:tcPr>
            <w:tcW w:w="2920" w:type="dxa"/>
            <w:vAlign w:val="bottom"/>
          </w:tcPr>
          <w:p>
            <w:pPr>
              <w:jc w:val="center"/>
              <w:ind w:left="128"/>
              <w:spacing w:after="0"/>
              <w:rPr>
                <w:sz w:val="20"/>
                <w:szCs w:val="20"/>
                <w:color w:val="auto"/>
              </w:rPr>
            </w:pPr>
            <w:r>
              <w:rPr>
                <w:rFonts w:ascii="Arial" w:cs="Arial" w:eastAsia="Arial" w:hAnsi="Arial"/>
                <w:sz w:val="14"/>
                <w:szCs w:val="14"/>
                <w:b w:val="1"/>
                <w:bCs w:val="1"/>
                <w:color w:val="auto"/>
                <w:w w:val="90"/>
              </w:rPr>
              <w:t>Title of each class of</w:t>
            </w:r>
          </w:p>
        </w:tc>
        <w:tc>
          <w:tcPr>
            <w:tcW w:w="1620" w:type="dxa"/>
            <w:vAlign w:val="bottom"/>
          </w:tcPr>
          <w:p>
            <w:pPr>
              <w:jc w:val="center"/>
              <w:ind w:left="208"/>
              <w:spacing w:after="0"/>
              <w:rPr>
                <w:sz w:val="20"/>
                <w:szCs w:val="20"/>
                <w:color w:val="auto"/>
              </w:rPr>
            </w:pPr>
            <w:r>
              <w:rPr>
                <w:rFonts w:ascii="Arial" w:cs="Arial" w:eastAsia="Arial" w:hAnsi="Arial"/>
                <w:sz w:val="14"/>
                <w:szCs w:val="14"/>
                <w:b w:val="1"/>
                <w:bCs w:val="1"/>
                <w:color w:val="auto"/>
                <w:w w:val="94"/>
              </w:rPr>
              <w:t>Amount to</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offering price</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1260" w:type="dxa"/>
            <w:vAlign w:val="bottom"/>
          </w:tcPr>
          <w:p>
            <w:pPr>
              <w:jc w:val="center"/>
              <w:ind w:left="248"/>
              <w:spacing w:after="0"/>
              <w:rPr>
                <w:sz w:val="20"/>
                <w:szCs w:val="20"/>
                <w:color w:val="auto"/>
              </w:rPr>
            </w:pPr>
            <w:r>
              <w:rPr>
                <w:rFonts w:ascii="Arial" w:cs="Arial" w:eastAsia="Arial" w:hAnsi="Arial"/>
                <w:sz w:val="14"/>
                <w:szCs w:val="14"/>
                <w:b w:val="1"/>
                <w:bCs w:val="1"/>
                <w:color w:val="auto"/>
                <w:w w:val="94"/>
              </w:rPr>
              <w:t>Amount of</w:t>
            </w:r>
          </w:p>
        </w:tc>
      </w:tr>
      <w:tr>
        <w:trPr>
          <w:trHeight w:val="186"/>
        </w:trPr>
        <w:tc>
          <w:tcPr>
            <w:tcW w:w="2920" w:type="dxa"/>
            <w:vAlign w:val="bottom"/>
          </w:tcPr>
          <w:p>
            <w:pPr>
              <w:jc w:val="center"/>
              <w:ind w:left="128"/>
              <w:spacing w:after="0"/>
              <w:rPr>
                <w:sz w:val="20"/>
                <w:szCs w:val="20"/>
                <w:color w:val="auto"/>
              </w:rPr>
            </w:pPr>
            <w:r>
              <w:rPr>
                <w:rFonts w:ascii="Arial" w:cs="Arial" w:eastAsia="Arial" w:hAnsi="Arial"/>
                <w:sz w:val="14"/>
                <w:szCs w:val="14"/>
                <w:b w:val="1"/>
                <w:bCs w:val="1"/>
                <w:color w:val="auto"/>
                <w:w w:val="89"/>
              </w:rPr>
              <w:t>securities to be registered</w:t>
            </w:r>
          </w:p>
        </w:tc>
        <w:tc>
          <w:tcPr>
            <w:tcW w:w="1620" w:type="dxa"/>
            <w:vAlign w:val="bottom"/>
          </w:tcPr>
          <w:p>
            <w:pPr>
              <w:jc w:val="center"/>
              <w:ind w:left="188"/>
              <w:spacing w:after="0"/>
              <w:rPr>
                <w:sz w:val="20"/>
                <w:szCs w:val="20"/>
                <w:color w:val="auto"/>
              </w:rPr>
            </w:pPr>
            <w:r>
              <w:rPr>
                <w:rFonts w:ascii="Arial" w:cs="Arial" w:eastAsia="Arial" w:hAnsi="Arial"/>
                <w:sz w:val="14"/>
                <w:szCs w:val="14"/>
                <w:b w:val="1"/>
                <w:bCs w:val="1"/>
                <w:color w:val="auto"/>
                <w:w w:val="91"/>
              </w:rPr>
              <w:t>be registered (1)</w:t>
            </w:r>
          </w:p>
        </w:tc>
        <w:tc>
          <w:tcPr>
            <w:tcW w:w="1700" w:type="dxa"/>
            <w:vAlign w:val="bottom"/>
          </w:tcPr>
          <w:p>
            <w:pPr>
              <w:jc w:val="center"/>
              <w:ind w:right="8"/>
              <w:spacing w:after="0"/>
              <w:rPr>
                <w:sz w:val="20"/>
                <w:szCs w:val="20"/>
                <w:color w:val="auto"/>
              </w:rPr>
            </w:pPr>
            <w:r>
              <w:rPr>
                <w:rFonts w:ascii="Arial" w:cs="Arial" w:eastAsia="Arial" w:hAnsi="Arial"/>
                <w:sz w:val="14"/>
                <w:szCs w:val="14"/>
                <w:b w:val="1"/>
                <w:bCs w:val="1"/>
                <w:color w:val="auto"/>
                <w:w w:val="92"/>
              </w:rPr>
              <w:t>per share (2)</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4"/>
              </w:rPr>
              <w:t>offering price (2)</w:t>
            </w:r>
          </w:p>
        </w:tc>
        <w:tc>
          <w:tcPr>
            <w:tcW w:w="1260" w:type="dxa"/>
            <w:vAlign w:val="bottom"/>
          </w:tcPr>
          <w:p>
            <w:pPr>
              <w:jc w:val="center"/>
              <w:ind w:left="248"/>
              <w:spacing w:after="0"/>
              <w:rPr>
                <w:sz w:val="20"/>
                <w:szCs w:val="20"/>
                <w:color w:val="auto"/>
              </w:rPr>
            </w:pPr>
            <w:r>
              <w:rPr>
                <w:rFonts w:ascii="Arial" w:cs="Arial" w:eastAsia="Arial" w:hAnsi="Arial"/>
                <w:sz w:val="14"/>
                <w:szCs w:val="14"/>
                <w:b w:val="1"/>
                <w:bCs w:val="1"/>
                <w:color w:val="auto"/>
                <w:w w:val="92"/>
              </w:rPr>
              <w:t>registration fee</w:t>
            </w:r>
          </w:p>
        </w:tc>
      </w:tr>
      <w:tr>
        <w:trPr>
          <w:trHeight w:val="216"/>
        </w:trPr>
        <w:tc>
          <w:tcPr>
            <w:tcW w:w="2920" w:type="dxa"/>
            <w:vAlign w:val="bottom"/>
          </w:tcPr>
          <w:p>
            <w:pPr>
              <w:spacing w:after="0"/>
              <w:rPr>
                <w:sz w:val="20"/>
                <w:szCs w:val="20"/>
                <w:color w:val="auto"/>
              </w:rPr>
            </w:pPr>
            <w:r>
              <w:rPr>
                <w:rFonts w:ascii="Arial" w:cs="Arial" w:eastAsia="Arial" w:hAnsi="Arial"/>
                <w:sz w:val="14"/>
                <w:szCs w:val="14"/>
                <w:color w:val="auto"/>
              </w:rPr>
              <w:t>Common Stock, $0.001 par value per share</w:t>
            </w:r>
          </w:p>
        </w:tc>
        <w:tc>
          <w:tcPr>
            <w:tcW w:w="1620" w:type="dxa"/>
            <w:vAlign w:val="bottom"/>
          </w:tcPr>
          <w:p>
            <w:pPr>
              <w:jc w:val="center"/>
              <w:ind w:left="188"/>
              <w:spacing w:after="0"/>
              <w:rPr>
                <w:sz w:val="20"/>
                <w:szCs w:val="20"/>
                <w:color w:val="auto"/>
              </w:rPr>
            </w:pPr>
            <w:r>
              <w:rPr>
                <w:rFonts w:ascii="Arial" w:cs="Arial" w:eastAsia="Arial" w:hAnsi="Arial"/>
                <w:sz w:val="14"/>
                <w:szCs w:val="14"/>
                <w:color w:val="auto"/>
                <w:w w:val="94"/>
              </w:rPr>
              <w:t>500,000</w:t>
            </w:r>
          </w:p>
        </w:tc>
        <w:tc>
          <w:tcPr>
            <w:tcW w:w="1700" w:type="dxa"/>
            <w:vAlign w:val="bottom"/>
          </w:tcPr>
          <w:p>
            <w:pPr>
              <w:jc w:val="center"/>
              <w:spacing w:after="0"/>
              <w:rPr>
                <w:sz w:val="20"/>
                <w:szCs w:val="20"/>
                <w:color w:val="auto"/>
              </w:rPr>
            </w:pPr>
            <w:r>
              <w:rPr>
                <w:rFonts w:ascii="Arial" w:cs="Arial" w:eastAsia="Arial" w:hAnsi="Arial"/>
                <w:sz w:val="14"/>
                <w:szCs w:val="14"/>
                <w:color w:val="auto"/>
                <w:w w:val="93"/>
              </w:rPr>
              <w:t>$13.30</w:t>
            </w:r>
          </w:p>
        </w:tc>
        <w:tc>
          <w:tcPr>
            <w:tcW w:w="1840" w:type="dxa"/>
            <w:vAlign w:val="bottom"/>
          </w:tcPr>
          <w:p>
            <w:pPr>
              <w:jc w:val="center"/>
              <w:spacing w:after="0"/>
              <w:rPr>
                <w:sz w:val="20"/>
                <w:szCs w:val="20"/>
                <w:color w:val="auto"/>
              </w:rPr>
            </w:pPr>
            <w:r>
              <w:rPr>
                <w:rFonts w:ascii="Arial" w:cs="Arial" w:eastAsia="Arial" w:hAnsi="Arial"/>
                <w:sz w:val="14"/>
                <w:szCs w:val="14"/>
                <w:color w:val="auto"/>
                <w:w w:val="91"/>
              </w:rPr>
              <w:t>$6,650,000</w:t>
            </w:r>
          </w:p>
        </w:tc>
        <w:tc>
          <w:tcPr>
            <w:tcW w:w="1260" w:type="dxa"/>
            <w:vAlign w:val="bottom"/>
          </w:tcPr>
          <w:p>
            <w:pPr>
              <w:jc w:val="center"/>
              <w:ind w:left="248"/>
              <w:spacing w:after="0"/>
              <w:rPr>
                <w:sz w:val="20"/>
                <w:szCs w:val="20"/>
                <w:color w:val="auto"/>
              </w:rPr>
            </w:pPr>
            <w:r>
              <w:rPr>
                <w:rFonts w:ascii="Arial" w:cs="Arial" w:eastAsia="Arial" w:hAnsi="Arial"/>
                <w:sz w:val="14"/>
                <w:szCs w:val="14"/>
                <w:color w:val="auto"/>
                <w:w w:val="90"/>
              </w:rPr>
              <w:t>$772.73</w:t>
            </w:r>
          </w:p>
        </w:tc>
      </w:tr>
    </w:tbl>
    <w:p>
      <w:pPr>
        <w:spacing w:after="0" w:line="20" w:lineRule="exact"/>
        <w:rPr>
          <w:sz w:val="24"/>
          <w:szCs w:val="24"/>
          <w:color w:val="auto"/>
        </w:rPr>
      </w:pPr>
    </w:p>
    <w:p>
      <w:pPr>
        <w:jc w:val="both"/>
        <w:ind w:left="328" w:hanging="328"/>
        <w:spacing w:after="0" w:line="283" w:lineRule="auto"/>
        <w:tabs>
          <w:tab w:leader="none" w:pos="328" w:val="left"/>
        </w:tabs>
        <w:numPr>
          <w:ilvl w:val="0"/>
          <w:numId w:val="1"/>
        </w:numPr>
        <w:rPr>
          <w:rFonts w:ascii="Arial" w:cs="Arial" w:eastAsia="Arial" w:hAnsi="Arial"/>
          <w:sz w:val="18"/>
          <w:szCs w:val="18"/>
          <w:color w:val="auto"/>
        </w:rPr>
      </w:pPr>
      <w:r>
        <w:rPr>
          <w:rFonts w:ascii="Arial" w:cs="Arial" w:eastAsia="Arial" w:hAnsi="Arial"/>
          <w:sz w:val="14"/>
          <w:szCs w:val="14"/>
          <w:color w:val="auto"/>
        </w:rPr>
        <w:t>This registration statement also covers such indeterminable additional number of shares as may be issuable under the ClearOne, Inc. Employee Stock Purchase Plan by reason of any adjustments in the number of shares to prevent dilution from any future stock splits, stock dividends and similar transactions. This Registration Statement covers any such additional shares in accordance with Rule 416(a).</w:t>
      </w:r>
    </w:p>
    <w:p>
      <w:pPr>
        <w:spacing w:after="0" w:line="24" w:lineRule="exact"/>
        <w:rPr>
          <w:rFonts w:ascii="Arial" w:cs="Arial" w:eastAsia="Arial" w:hAnsi="Arial"/>
          <w:sz w:val="18"/>
          <w:szCs w:val="18"/>
          <w:color w:val="auto"/>
        </w:rPr>
      </w:pPr>
    </w:p>
    <w:p>
      <w:pPr>
        <w:ind w:left="328" w:right="140" w:hanging="328"/>
        <w:spacing w:after="0" w:line="285" w:lineRule="auto"/>
        <w:tabs>
          <w:tab w:leader="none" w:pos="328" w:val="left"/>
        </w:tabs>
        <w:numPr>
          <w:ilvl w:val="0"/>
          <w:numId w:val="1"/>
        </w:numPr>
        <w:rPr>
          <w:rFonts w:ascii="Arial" w:cs="Arial" w:eastAsia="Arial" w:hAnsi="Arial"/>
          <w:sz w:val="18"/>
          <w:szCs w:val="18"/>
          <w:color w:val="auto"/>
        </w:rPr>
      </w:pPr>
      <w:r>
        <w:rPr>
          <w:rFonts w:ascii="Arial" w:cs="Arial" w:eastAsia="Arial" w:hAnsi="Arial"/>
          <w:sz w:val="14"/>
          <w:szCs w:val="14"/>
          <w:color w:val="auto"/>
        </w:rPr>
        <w:t>Estimated solely for the purpose of calculating the registration fee pursuant to Rule 457(c) and Rule 457(h)(1) under the Securities Act of 1933, as amended and based on the average of the high and low sales prices of our common stock reported on the NASDAQ Capital Market on June 26, 2015.</w:t>
      </w:r>
    </w:p>
    <w:p>
      <w:pPr>
        <w:sectPr>
          <w:pgSz w:w="11900" w:h="16838" w:orient="portrait"/>
          <w:cols w:equalWidth="0" w:num="1">
            <w:col w:w="11088"/>
          </w:cols>
          <w:pgMar w:left="572" w:top="684" w:right="23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permitted by the rules of the Securities and Exchange Commission (the “Commission”), this Registration Statement omits certain information specified in Part I of Form S-8. The documents containing the information specified in Part I of this Registration Statement will be sent or given to eligible employees as specified in Rule 428(b)(1) promulgated under the Securities Act of 1933, as amended (the “Securities Act”). Such documents are not being filed with the Commission either as part of this Registration Statement or as prospectuses or prospectus supplements pursuant to Rule 424 promulgated under the Securities Act.</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filed by the Company with the Commission are hereby incorporated by reference:</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2014, filed on March 31, 2015, and as amended on April 30, 2015;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Report on Form 10-Q for the period ended March 31, 2015, filed on May 15, 2015;</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by the Company pursuant to Section 13(a) or 15(d) of the Securities Exchange Act of 1934, as amended (the “Exchange Act”) since the end of the fiscal year covered by the Annual Report on Form 10-K referred to in paragraph (a) above; and</w:t>
      </w:r>
    </w:p>
    <w:p>
      <w:pPr>
        <w:spacing w:after="0" w:line="170"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$0.001 par value per share, in the Registrant’s Form 8-A, filed with the Commission on August 10, 2007, and any amendment or report filed for the purpose of updating such description.</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all reports and other documents subsequently filed by the Company pursuant to Sections 13(a), 13(c), 14, or 15(d) of the Exchange Act prior to the filing of a post-effective amendment which indicates that all securities covered by this Registration Statement have been sold or which deregisters all such securities then remaining unsold shall be deemed to be incorporated by reference herein and to be a part hereof from the date of the filing of such reports and documents.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We are a Utah corporation. Section 16-10a-902 of the Utah Revised Business Corporation Act (the “Utah Act”) provides that a corporation may indemnify any individual who was, is, or is threatened to be made a named defendant or respondent (a “Party”) in any threatened, pending or completed action, suit or proceeding, whether civil, criminal, administrative or investigative and whether formal or informal (a “Proceeding”), because he or she is or was a director of the corporation or, while a director of the corporation, is or was serving at its request as a director, officer, partner, trustee, employee, fiduciary or agent of another corporation or other person or of an employee benefit plan (an “Indemnifiable Director”), against any obligation incurred with respect to a Proceeding, including any judgment, settlement, penalty, fine or reasonable expenses (including attorneys’ fees), incurred in the Proceeding if his or her conduct was in good faith, he or she reasonably believed that his or her conduct was in, or not opposed to, the best interests of the corporation, and, in the case of any criminal Proceeding, had no reasonable cause to believe such conduct was unlawful; provided, however, that pursuant to Subsections 902(4)-(5): (i) the corporation may not indemnify an Indemnifiable Director in connection with a Proceeding by or in the right of the</w:t>
      </w:r>
    </w:p>
    <w:p>
      <w:pPr>
        <w:sectPr>
          <w:pgSz w:w="11900" w:h="16838" w:orient="portrait"/>
          <w:cols w:equalWidth="0" w:num="1">
            <w:col w:w="11360"/>
          </w:cols>
          <w:pgMar w:left="240" w:top="580" w:right="299" w:bottom="1440" w:gutter="0" w:footer="0" w:header="0"/>
        </w:sectPr>
      </w:pPr>
    </w:p>
    <w:bookmarkStart w:id="2" w:name="page3"/>
    <w:bookmarkEnd w:id="2"/>
    <w:p>
      <w:pPr>
        <w:ind w:right="60"/>
        <w:spacing w:after="0" w:line="257" w:lineRule="auto"/>
        <w:rPr>
          <w:sz w:val="20"/>
          <w:szCs w:val="20"/>
          <w:color w:val="auto"/>
        </w:rPr>
      </w:pPr>
      <w:r>
        <w:rPr>
          <w:rFonts w:ascii="Arial" w:cs="Arial" w:eastAsia="Arial" w:hAnsi="Arial"/>
          <w:sz w:val="18"/>
          <w:szCs w:val="18"/>
          <w:color w:val="auto"/>
        </w:rPr>
        <w:t>corporation in which the Indemnifiable Director was adjudged liable to the corporation; (ii) the corporation may not indemnify an Indemnifiable Director in connection with a Proceeding charging that the Indemnifiable Director derived an improper personal benefit, whether or not involving action in his or her official capacity, in which Proceeding he or she was adjudged liable on the basis that he or she derived an improper personal benefit; and (iii) indemnification under Section 902 in connection with a Proceeding by or in the right of the corporation is limited to payment of reasonable expenses (including attorneys’ fees) incurred in connection with the Proceeding.</w:t>
      </w:r>
    </w:p>
    <w:p>
      <w:pPr>
        <w:spacing w:after="0" w:line="18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Section 16-10a-903 of the Utah Act provides that, unless limited by its articles of incorporation, a corporation must indemnify an Indemnifiable Director who was successful, on the merits or otherwise, in the defense of any Proceeding, or in the defense of any claim, issue or matter in the Proceeding, to which he or she was a Party because he or she is or was an Indemnifiable Director, against reasonable expenses (including attorneys’ fees) incurred in connection with the Proceeding or claim with respect to which he or she has been successful.</w:t>
      </w:r>
    </w:p>
    <w:p>
      <w:pPr>
        <w:spacing w:after="0" w:line="18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 addition to the indemnification provided by Sections 902 and 903, Section 16-10a-905 of the Utah Act provides that, unless otherwise limited by a corporation’s articles of incorporation, an Indemnifiable Director may apply for indemnification to the court conducting the Proceeding or to another court of competent jurisdiction.</w:t>
      </w:r>
    </w:p>
    <w:p>
      <w:pPr>
        <w:spacing w:after="0" w:line="181" w:lineRule="exact"/>
        <w:rPr>
          <w:sz w:val="20"/>
          <w:szCs w:val="20"/>
          <w:color w:val="auto"/>
        </w:rPr>
      </w:pPr>
    </w:p>
    <w:p>
      <w:pPr>
        <w:jc w:val="both"/>
        <w:ind w:right="180" w:firstLine="432"/>
        <w:spacing w:after="0" w:line="342" w:lineRule="auto"/>
        <w:rPr>
          <w:sz w:val="20"/>
          <w:szCs w:val="20"/>
          <w:color w:val="auto"/>
        </w:rPr>
      </w:pPr>
      <w:r>
        <w:rPr>
          <w:rFonts w:ascii="Arial" w:cs="Arial" w:eastAsia="Arial" w:hAnsi="Arial"/>
          <w:sz w:val="16"/>
          <w:szCs w:val="16"/>
          <w:color w:val="auto"/>
        </w:rPr>
        <w:t>Section 16-10a-904 of the Utah Act provides that a corporation may pay for or reimburse the reasonable expenses (including attorneys’ fees) incurred by an Indemnifiable Director who is a Party to a Proceeding in advance of the final disposition of the Proceeding upon the satisfaction of certain conditions.</w:t>
      </w:r>
    </w:p>
    <w:p>
      <w:pPr>
        <w:spacing w:after="0" w:line="12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Section 16-10a-907 of the Utah Act provides that, unless a corporation’s articles of incorporation provide otherwise, (i) an officer of the corporation is entitled to mandatory indemnification under Section 903 and is entitled to apply for court-ordered indemnification under Section 905, in each case to the same extent as an Indemnifiable Director, (ii) the corporation may indemnify and advance expenses to an officer, employee, fiduciary or agent of the corporation to the same extent as an Indemnifiable Director, and (iii) a corporation may also indemnify and advance expenses to an officer, employee, fiduciary or agent who is not an Indemnifiable Director to a greater extent than the right of indemnification granted to an Indemnifiable Director, if not inconsistent with public policy, and if provided for by its articles of incorporation, bylaws, general or specific action of its board of directors or contract.</w:t>
      </w:r>
    </w:p>
    <w:p>
      <w:pPr>
        <w:spacing w:after="0" w:line="178"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Section 16-10a-908 of the Utah Act provides that a corporation may purchase and maintain liability insurance on behalf of a person who is or was a director, officer, employee, fiduciary, or agent of the corporation or who, while serving as a director, officer, employee, fiduciary, or agent of the corporation, is or was serving at the request of the corporation as a director, officer, partner, trustee, employee, fiduciary, or agent of another foreign or domestic corporation or other person, or of an employee benefit plan against liability asserted against or incurred by the individual in that capacity or arising from his or her status as such, whether or not the corporation would have the power to indemnify him or her against the same liability under Section 902, 903, or 907 of the Utah Act.</w:t>
      </w:r>
    </w:p>
    <w:p>
      <w:pPr>
        <w:spacing w:after="0" w:line="193"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Section 16-10a-909 of the Utah Act provides that a provision treating a corporation’s indemnification of, or advance for expenses to, Indemnifiable Directors that is contained in its articles of incorporation or bylaws, in a resolution of its shareholders or board of directors or in a contract, except an insurance policy, or otherwise, is valid only if and to the extent the provision is not inconsistent with Sections 901 through 909 of the Utah Act. If the articles of incorporation limit indemnification or advancement of expenses, indemnification and advancement of expenses are valid only to the extent not inconsistent with the articles.</w:t>
      </w:r>
    </w:p>
    <w:p>
      <w:pPr>
        <w:spacing w:after="0" w:line="188"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Our Bylaws provide that we shall indemnify any person made party to a proceeding because the individual is or was a director of the Company, against liability incurred in the proceeding, but only if such indemnification is both (i) determined permissible (by the board of directors, a committee of the board of directors, special counsel or by the shareholders) because the director has met the applicable standard of conduct and (ii) authorized in the same manner that indemnification is determined permissable. Our Bylaws also include discretionary indemnification provisions with respect to officer, employees and agents to the extent consistent with public policy, as determined by the board of directors.</w:t>
      </w:r>
    </w:p>
    <w:p>
      <w:pPr>
        <w:spacing w:after="0" w:line="173" w:lineRule="exact"/>
        <w:rPr>
          <w:sz w:val="20"/>
          <w:szCs w:val="20"/>
          <w:color w:val="auto"/>
        </w:rPr>
      </w:pPr>
    </w:p>
    <w:p>
      <w:pPr>
        <w:ind w:right="160" w:firstLine="432"/>
        <w:spacing w:after="0" w:line="254" w:lineRule="auto"/>
        <w:rPr>
          <w:sz w:val="20"/>
          <w:szCs w:val="20"/>
          <w:color w:val="auto"/>
        </w:rPr>
      </w:pPr>
      <w:r>
        <w:rPr>
          <w:rFonts w:ascii="Arial" w:cs="Arial" w:eastAsia="Arial" w:hAnsi="Arial"/>
          <w:sz w:val="18"/>
          <w:szCs w:val="18"/>
          <w:color w:val="auto"/>
        </w:rPr>
        <w:t>Our Bylaws provide that we may purchase and maintain insurance on behalf of any person who is or was one of our directors, officers, employees or agents, against any liability asserted against him or her or incurred by him or her in such capacity or arising out of his or her status in such capacity, whether or not we would have the power to indemnify him or her against such liability under the indemnification provisions of the bylaws or the laws of the State of Utah, as the same are amended or modified.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Indemnification may be granted pursuant to any other agreement, bylaw or vote of the shareholders or directors.</w:t>
      </w:r>
    </w:p>
    <w:p>
      <w:pPr>
        <w:sectPr>
          <w:pgSz w:w="11900" w:h="16838" w:orient="portrait"/>
          <w:cols w:equalWidth="0" w:num="1">
            <w:col w:w="11420"/>
          </w:cols>
          <w:pgMar w:left="240" w:top="692" w:right="239" w:bottom="1440" w:gutter="0" w:footer="0" w:header="0"/>
        </w:sectPr>
      </w:pPr>
    </w:p>
    <w:bookmarkStart w:id="3" w:name="page4"/>
    <w:bookmarkEnd w:id="3"/>
    <w:p>
      <w:pPr>
        <w:ind w:right="600"/>
        <w:spacing w:after="0" w:line="277" w:lineRule="auto"/>
        <w:rPr>
          <w:sz w:val="20"/>
          <w:szCs w:val="20"/>
          <w:color w:val="auto"/>
        </w:rPr>
      </w:pPr>
      <w:r>
        <w:rPr>
          <w:rFonts w:ascii="Arial" w:cs="Arial" w:eastAsia="Arial" w:hAnsi="Arial"/>
          <w:sz w:val="18"/>
          <w:szCs w:val="18"/>
          <w:color w:val="auto"/>
        </w:rPr>
        <w:t>The foregoing description is necessarily general and does not describe all details regarding the indemnification of our officers, directors or controlling persons.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Unless otherwise indicated below as being incorporated by reference to another filing of the Company with the Commission, the following exhibits are filed with this Registration Statement: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040" w:type="dxa"/>
            <w:vAlign w:val="bottom"/>
            <w:gridSpan w:val="3"/>
          </w:tcPr>
          <w:p>
            <w:pPr>
              <w:ind w:left="180"/>
              <w:spacing w:after="0"/>
              <w:rPr>
                <w:sz w:val="20"/>
                <w:szCs w:val="20"/>
                <w:color w:val="auto"/>
              </w:rPr>
            </w:pPr>
            <w:r>
              <w:rPr>
                <w:rFonts w:ascii="Arial" w:cs="Arial" w:eastAsia="Arial" w:hAnsi="Arial"/>
                <w:sz w:val="18"/>
                <w:szCs w:val="18"/>
                <w:color w:val="auto"/>
              </w:rPr>
              <w:t>Description of Exhibit</w:t>
            </w:r>
          </w:p>
        </w:tc>
      </w:tr>
      <w:tr>
        <w:trPr>
          <w:trHeight w:val="20"/>
        </w:trPr>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438"/>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60" w:type="dxa"/>
            <w:vAlign w:val="bottom"/>
            <w:gridSpan w:val="2"/>
          </w:tcPr>
          <w:p>
            <w:pPr>
              <w:ind w:left="760"/>
              <w:spacing w:after="0"/>
              <w:rPr>
                <w:sz w:val="20"/>
                <w:szCs w:val="20"/>
                <w:color w:val="auto"/>
              </w:rPr>
            </w:pPr>
            <w:r>
              <w:rPr>
                <w:rFonts w:ascii="Arial" w:cs="Arial" w:eastAsia="Arial" w:hAnsi="Arial"/>
                <w:sz w:val="18"/>
                <w:szCs w:val="18"/>
                <w:color w:val="auto"/>
                <w:w w:val="91"/>
              </w:rPr>
              <w:t>Amended and Restated Articles of Incorporation of ClearOne, Inc. (incorporated by reference to Exhibit 3.1 of the Company’s</w:t>
            </w:r>
          </w:p>
        </w:tc>
      </w:tr>
      <w:tr>
        <w:trPr>
          <w:trHeight w:val="216"/>
        </w:trPr>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60" w:type="dxa"/>
            <w:vAlign w:val="bottom"/>
            <w:gridSpan w:val="2"/>
          </w:tcPr>
          <w:p>
            <w:pPr>
              <w:ind w:left="760"/>
              <w:spacing w:after="0"/>
              <w:rPr>
                <w:sz w:val="20"/>
                <w:szCs w:val="20"/>
                <w:color w:val="auto"/>
              </w:rPr>
            </w:pPr>
            <w:r>
              <w:rPr>
                <w:rFonts w:ascii="Arial" w:cs="Arial" w:eastAsia="Arial" w:hAnsi="Arial"/>
                <w:sz w:val="18"/>
                <w:szCs w:val="18"/>
                <w:color w:val="auto"/>
              </w:rPr>
              <w:t>Form 10-K filed on March 25, 2013)</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60" w:type="dxa"/>
            <w:vAlign w:val="bottom"/>
            <w:gridSpan w:val="2"/>
          </w:tcPr>
          <w:p>
            <w:pPr>
              <w:ind w:left="760"/>
              <w:spacing w:after="0"/>
              <w:rPr>
                <w:sz w:val="20"/>
                <w:szCs w:val="20"/>
                <w:color w:val="auto"/>
              </w:rPr>
            </w:pPr>
            <w:r>
              <w:rPr>
                <w:rFonts w:ascii="Arial" w:cs="Arial" w:eastAsia="Arial" w:hAnsi="Arial"/>
                <w:sz w:val="18"/>
                <w:szCs w:val="18"/>
                <w:color w:val="auto"/>
              </w:rPr>
              <w:t>Bylaws (incorporated by reference to Exhibit 3.2 of the Company’s Form 10-K filed on March 31, 2011)</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60" w:type="dxa"/>
            <w:vAlign w:val="bottom"/>
            <w:gridSpan w:val="2"/>
          </w:tcPr>
          <w:p>
            <w:pPr>
              <w:ind w:left="760"/>
              <w:spacing w:after="0"/>
              <w:rPr>
                <w:sz w:val="20"/>
                <w:szCs w:val="20"/>
                <w:color w:val="auto"/>
              </w:rPr>
            </w:pPr>
            <w:r>
              <w:rPr>
                <w:rFonts w:ascii="Arial" w:cs="Arial" w:eastAsia="Arial" w:hAnsi="Arial"/>
                <w:sz w:val="18"/>
                <w:szCs w:val="18"/>
                <w:color w:val="auto"/>
              </w:rPr>
              <w:t>ClearOne, Inc. Employee Stock Purchase Plan (filed herewith)</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60" w:type="dxa"/>
            <w:vAlign w:val="bottom"/>
            <w:gridSpan w:val="2"/>
          </w:tcPr>
          <w:p>
            <w:pPr>
              <w:ind w:left="760"/>
              <w:spacing w:after="0"/>
              <w:rPr>
                <w:sz w:val="20"/>
                <w:szCs w:val="20"/>
                <w:color w:val="auto"/>
              </w:rPr>
            </w:pPr>
            <w:r>
              <w:rPr>
                <w:rFonts w:ascii="Arial" w:cs="Arial" w:eastAsia="Arial" w:hAnsi="Arial"/>
                <w:sz w:val="18"/>
                <w:szCs w:val="18"/>
                <w:color w:val="auto"/>
              </w:rPr>
              <w:t>Opinion of Seyfarth Shaw LLP on legality of the securities being registered (filed herewith)</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60" w:type="dxa"/>
            <w:vAlign w:val="bottom"/>
            <w:gridSpan w:val="2"/>
          </w:tcPr>
          <w:p>
            <w:pPr>
              <w:ind w:left="760"/>
              <w:spacing w:after="0"/>
              <w:rPr>
                <w:sz w:val="20"/>
                <w:szCs w:val="20"/>
                <w:color w:val="auto"/>
              </w:rPr>
            </w:pPr>
            <w:r>
              <w:rPr>
                <w:rFonts w:ascii="Arial" w:cs="Arial" w:eastAsia="Arial" w:hAnsi="Arial"/>
                <w:sz w:val="18"/>
                <w:szCs w:val="18"/>
                <w:color w:val="auto"/>
              </w:rPr>
              <w:t>Consent of Seyfarth Shaw LLP (included in Exhibit 5.1 to this registration statement)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60" w:type="dxa"/>
            <w:vAlign w:val="bottom"/>
            <w:gridSpan w:val="2"/>
          </w:tcPr>
          <w:p>
            <w:pPr>
              <w:ind w:left="760"/>
              <w:spacing w:after="0"/>
              <w:rPr>
                <w:sz w:val="20"/>
                <w:szCs w:val="20"/>
                <w:color w:val="auto"/>
              </w:rPr>
            </w:pPr>
            <w:r>
              <w:rPr>
                <w:rFonts w:ascii="Arial" w:cs="Arial" w:eastAsia="Arial" w:hAnsi="Arial"/>
                <w:sz w:val="18"/>
                <w:szCs w:val="18"/>
                <w:color w:val="auto"/>
              </w:rPr>
              <w:t>Consent of McGladrey LLP, Independent Registered Public Accounting Firm (filed herewith)</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60" w:type="dxa"/>
            <w:vAlign w:val="bottom"/>
            <w:gridSpan w:val="2"/>
          </w:tcPr>
          <w:p>
            <w:pPr>
              <w:ind w:left="760"/>
              <w:spacing w:after="0"/>
              <w:rPr>
                <w:sz w:val="20"/>
                <w:szCs w:val="20"/>
                <w:color w:val="auto"/>
              </w:rPr>
            </w:pPr>
            <w:r>
              <w:rPr>
                <w:rFonts w:ascii="Arial" w:cs="Arial" w:eastAsia="Arial" w:hAnsi="Arial"/>
                <w:sz w:val="18"/>
                <w:szCs w:val="18"/>
                <w:color w:val="auto"/>
              </w:rPr>
              <w:t>Powers of Attorney (included on the signature page of this Registration Statement)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3" w:lineRule="exact"/>
        <w:rPr>
          <w:rFonts w:ascii="Arial" w:cs="Arial" w:eastAsia="Arial" w:hAnsi="Arial"/>
          <w:sz w:val="18"/>
          <w:szCs w:val="18"/>
          <w:color w:val="auto"/>
        </w:rPr>
      </w:pPr>
    </w:p>
    <w:p>
      <w:pPr>
        <w:spacing w:after="0"/>
        <w:tabs>
          <w:tab w:leader="none" w:pos="0" w:val="left"/>
        </w:tabs>
        <w:numPr>
          <w:ilvl w:val="0"/>
          <w:numId w:val="3"/>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10" w:lineRule="exact"/>
        <w:rPr>
          <w:rFonts w:ascii="Arial" w:cs="Arial" w:eastAsia="Arial" w:hAnsi="Arial"/>
          <w:sz w:val="18"/>
          <w:szCs w:val="18"/>
          <w:color w:val="auto"/>
        </w:rPr>
      </w:pPr>
    </w:p>
    <w:p>
      <w:pPr>
        <w:ind w:left="1300" w:right="60" w:hanging="320"/>
        <w:spacing w:after="0" w:line="255"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89"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 include any material information with respect to the plan of distribution not previously disclosed in the Registration Statement or any material change to such information in the Registration Statement; additional or changed material information on the plan of distribution.</w:t>
      </w:r>
    </w:p>
    <w:p>
      <w:pPr>
        <w:spacing w:after="0" w:line="124" w:lineRule="exact"/>
        <w:rPr>
          <w:sz w:val="20"/>
          <w:szCs w:val="20"/>
          <w:color w:val="auto"/>
        </w:rPr>
      </w:pPr>
    </w:p>
    <w:p>
      <w:pPr>
        <w:ind w:left="980" w:right="40"/>
        <w:spacing w:after="0" w:line="259"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(1)(i) and (1)(ii) of this section do not apply if the registration statement is on Form S-8, and the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187" w:lineRule="exact"/>
        <w:rPr>
          <w:sz w:val="20"/>
          <w:szCs w:val="20"/>
          <w:color w:val="auto"/>
        </w:rPr>
      </w:pPr>
    </w:p>
    <w:p>
      <w:pPr>
        <w:ind w:left="660" w:right="10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ectPr>
          <w:pgSz w:w="11900" w:h="16838" w:orient="portrait"/>
          <w:cols w:equalWidth="0" w:num="1">
            <w:col w:w="11400"/>
          </w:cols>
          <w:pgMar w:left="240" w:top="584" w:right="259" w:bottom="1440" w:gutter="0" w:footer="0" w:header="0"/>
        </w:sectPr>
      </w:pPr>
    </w:p>
    <w:bookmarkStart w:id="4" w:name="page5"/>
    <w:bookmarkEnd w:id="4"/>
    <w:p>
      <w:pPr>
        <w:ind w:left="660" w:right="20" w:hanging="328"/>
        <w:spacing w:after="0" w:line="27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an initial bona fide offering thereof.</w:t>
      </w:r>
    </w:p>
    <w:p>
      <w:pPr>
        <w:spacing w:after="0" w:line="17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400"/>
          </w:cols>
          <w:pgMar w:left="240" w:top="800"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Salt Lake City, State of Utah, on June 30, 2015.</w:t>
      </w:r>
    </w:p>
    <w:p>
      <w:pPr>
        <w:spacing w:after="0" w:line="34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CLEARONE,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31750</wp:posOffset>
            </wp:positionV>
            <wp:extent cx="36620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Zeynep Hakimoglu</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June 30, 2015</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and on the date indicated. Each person whose signature appears immediately below constitutes and appoints Zeynep Hakimoglu and Narsi Narayanan, and each of them severally, each of whom may act without joinder of the other, as his true and lawful attorneys-in-fact and agents, with full power of substitution and re-substitution, for him and in his name, place and stead, in any and all capacities, to sign the Registration Statement on Form S-8 and all documents in connection therewith and all instruments necessary, appropriate or advisable to enable ClearOne, Inc. to comply with the Securities Act of 1933 and other federal and state securities laws in connection with the Registration Statement, and any and all amendments thereto (including pre- and post-effective amendments) or any registration statement for the same offering that is to be effective upon filing pursuant to Rule 462(b) under the Securities Act of 1933, as amended, and to file the same, with exhibits and schedules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he might or could do in person, hereby ratifying and confirming all that said attorneys-in-fact and agents, or any of them, or their or his substitute or substitutes, may lawfully do or cause to be done by virtue hereof.</w:t>
      </w:r>
    </w:p>
    <w:p>
      <w:pPr>
        <w:sectPr>
          <w:pgSz w:w="11900" w:h="16838" w:orient="portrait"/>
          <w:cols w:equalWidth="0" w:num="1">
            <w:col w:w="11400"/>
          </w:cols>
          <w:pgMar w:left="240" w:top="580" w:right="259" w:bottom="1440" w:gutter="0" w:footer="0" w:header="0"/>
        </w:sectPr>
      </w:pPr>
    </w:p>
    <w:p>
      <w:pPr>
        <w:spacing w:after="0" w:line="12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31750</wp:posOffset>
            </wp:positionV>
            <wp:extent cx="31559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5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Zeynep Hakimoglu</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6"/>
          <w:szCs w:val="16"/>
          <w:i w:val="1"/>
          <w:iCs w:val="1"/>
          <w:color w:val="auto"/>
        </w:rPr>
        <w:t>President, Chief Executive Officer and Chairman of the Board</w:t>
      </w:r>
    </w:p>
    <w:p>
      <w:pPr>
        <w:spacing w:after="0" w:line="30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June 30, 2015</w:t>
      </w:r>
    </w:p>
    <w:p>
      <w:pPr>
        <w:spacing w:after="0" w:line="200" w:lineRule="exact"/>
        <w:rPr>
          <w:sz w:val="20"/>
          <w:szCs w:val="20"/>
          <w:color w:val="auto"/>
        </w:rPr>
      </w:pPr>
    </w:p>
    <w:p>
      <w:pPr>
        <w:spacing w:after="0" w:line="37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Brad R.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31750</wp:posOffset>
            </wp:positionV>
            <wp:extent cx="31559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5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Brad R. Baldwin</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Director</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June 30, 2015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Scott M. Huntsman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31750</wp:posOffset>
            </wp:positionV>
            <wp:extent cx="31559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5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Scott M. Huntsman</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Director</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June 30, 2015</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30784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Narsi Narayanan</w:t>
      </w:r>
    </w:p>
    <w:p>
      <w:pPr>
        <w:spacing w:after="0" w:line="6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Senior Vice President of Finance (Principal Accounting and Financial Officer)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June 30, 2015</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Larry R. Hendricks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30784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Larry R. Hendricks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June 30, 2015</w:t>
      </w:r>
    </w:p>
    <w:p>
      <w:pPr>
        <w:sectPr>
          <w:pgSz w:w="11900" w:h="16838" w:orient="portrait"/>
          <w:cols w:equalWidth="0" w:num="2">
            <w:col w:w="5820" w:space="720"/>
            <w:col w:w="4860"/>
          </w:cols>
          <w:pgMar w:left="240" w:top="580" w:right="25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240" w:type="dxa"/>
            <w:vAlign w:val="bottom"/>
          </w:tcPr>
          <w:p>
            <w:pPr>
              <w:ind w:left="2000"/>
              <w:spacing w:after="0"/>
              <w:rPr>
                <w:sz w:val="20"/>
                <w:szCs w:val="20"/>
                <w:color w:val="auto"/>
              </w:rPr>
            </w:pPr>
            <w:r>
              <w:rPr>
                <w:rFonts w:ascii="Arial" w:cs="Arial" w:eastAsia="Arial" w:hAnsi="Arial"/>
                <w:sz w:val="18"/>
                <w:szCs w:val="18"/>
                <w:b w:val="1"/>
                <w:bCs w:val="1"/>
                <w:color w:val="auto"/>
              </w:rPr>
              <w:t>INDEX TO EXHIBITS</w:t>
            </w:r>
          </w:p>
        </w:tc>
      </w:tr>
      <w:tr>
        <w:trPr>
          <w:trHeight w:val="608"/>
        </w:trPr>
        <w:tc>
          <w:tcPr>
            <w:tcW w:w="102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040" w:type="dxa"/>
            <w:vAlign w:val="bottom"/>
            <w:gridSpan w:val="3"/>
          </w:tcPr>
          <w:p>
            <w:pPr>
              <w:ind w:left="180"/>
              <w:spacing w:after="0"/>
              <w:rPr>
                <w:sz w:val="20"/>
                <w:szCs w:val="20"/>
                <w:color w:val="auto"/>
              </w:rPr>
            </w:pPr>
            <w:r>
              <w:rPr>
                <w:rFonts w:ascii="Arial" w:cs="Arial" w:eastAsia="Arial" w:hAnsi="Arial"/>
                <w:sz w:val="18"/>
                <w:szCs w:val="18"/>
                <w:color w:val="auto"/>
              </w:rPr>
              <w:t>Description of Exhibit</w:t>
            </w:r>
          </w:p>
        </w:tc>
      </w:tr>
      <w:tr>
        <w:trPr>
          <w:trHeight w:val="20"/>
        </w:trPr>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438"/>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60" w:type="dxa"/>
            <w:vAlign w:val="bottom"/>
            <w:gridSpan w:val="2"/>
          </w:tcPr>
          <w:p>
            <w:pPr>
              <w:ind w:left="760"/>
              <w:spacing w:after="0"/>
              <w:rPr>
                <w:sz w:val="20"/>
                <w:szCs w:val="20"/>
                <w:color w:val="auto"/>
              </w:rPr>
            </w:pPr>
            <w:r>
              <w:rPr>
                <w:rFonts w:ascii="Arial" w:cs="Arial" w:eastAsia="Arial" w:hAnsi="Arial"/>
                <w:sz w:val="18"/>
                <w:szCs w:val="18"/>
                <w:color w:val="auto"/>
                <w:w w:val="91"/>
              </w:rPr>
              <w:t>Amended and Restated Articles of Incorporation of ClearOne, Inc. (incorporated by reference to Exhibit 3.1 of the Company’s</w:t>
            </w:r>
          </w:p>
        </w:tc>
      </w:tr>
      <w:tr>
        <w:trPr>
          <w:trHeight w:val="216"/>
        </w:trPr>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60" w:type="dxa"/>
            <w:vAlign w:val="bottom"/>
            <w:gridSpan w:val="2"/>
          </w:tcPr>
          <w:p>
            <w:pPr>
              <w:ind w:left="760"/>
              <w:spacing w:after="0"/>
              <w:rPr>
                <w:sz w:val="20"/>
                <w:szCs w:val="20"/>
                <w:color w:val="auto"/>
              </w:rPr>
            </w:pPr>
            <w:r>
              <w:rPr>
                <w:rFonts w:ascii="Arial" w:cs="Arial" w:eastAsia="Arial" w:hAnsi="Arial"/>
                <w:sz w:val="18"/>
                <w:szCs w:val="18"/>
                <w:color w:val="auto"/>
              </w:rPr>
              <w:t>Form 10-K filed on March 25, 2013)</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60" w:type="dxa"/>
            <w:vAlign w:val="bottom"/>
            <w:gridSpan w:val="2"/>
          </w:tcPr>
          <w:p>
            <w:pPr>
              <w:ind w:left="760"/>
              <w:spacing w:after="0"/>
              <w:rPr>
                <w:sz w:val="20"/>
                <w:szCs w:val="20"/>
                <w:color w:val="auto"/>
              </w:rPr>
            </w:pPr>
            <w:r>
              <w:rPr>
                <w:rFonts w:ascii="Arial" w:cs="Arial" w:eastAsia="Arial" w:hAnsi="Arial"/>
                <w:sz w:val="18"/>
                <w:szCs w:val="18"/>
                <w:color w:val="auto"/>
              </w:rPr>
              <w:t>Bylaws (incorporated by reference to Exhibit 3.2 of the Company’s Form 10-K filed on March 31, 2011)</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60" w:type="dxa"/>
            <w:vAlign w:val="bottom"/>
            <w:gridSpan w:val="2"/>
          </w:tcPr>
          <w:p>
            <w:pPr>
              <w:ind w:left="760"/>
              <w:spacing w:after="0"/>
              <w:rPr>
                <w:sz w:val="20"/>
                <w:szCs w:val="20"/>
                <w:color w:val="auto"/>
              </w:rPr>
            </w:pPr>
            <w:r>
              <w:rPr>
                <w:rFonts w:ascii="Arial" w:cs="Arial" w:eastAsia="Arial" w:hAnsi="Arial"/>
                <w:sz w:val="18"/>
                <w:szCs w:val="18"/>
                <w:color w:val="auto"/>
              </w:rPr>
              <w:t>ClearOne, Inc. Employee Stock Purchase Plan (filed herewith)</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60" w:type="dxa"/>
            <w:vAlign w:val="bottom"/>
            <w:gridSpan w:val="2"/>
          </w:tcPr>
          <w:p>
            <w:pPr>
              <w:ind w:left="760"/>
              <w:spacing w:after="0"/>
              <w:rPr>
                <w:sz w:val="20"/>
                <w:szCs w:val="20"/>
                <w:color w:val="auto"/>
              </w:rPr>
            </w:pPr>
            <w:r>
              <w:rPr>
                <w:rFonts w:ascii="Arial" w:cs="Arial" w:eastAsia="Arial" w:hAnsi="Arial"/>
                <w:sz w:val="18"/>
                <w:szCs w:val="18"/>
                <w:color w:val="auto"/>
              </w:rPr>
              <w:t>Opinion of Seyfarth Shaw LLP on legality of the securities being registered (filed herewith)</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60" w:type="dxa"/>
            <w:vAlign w:val="bottom"/>
            <w:gridSpan w:val="2"/>
          </w:tcPr>
          <w:p>
            <w:pPr>
              <w:ind w:left="760"/>
              <w:spacing w:after="0"/>
              <w:rPr>
                <w:sz w:val="20"/>
                <w:szCs w:val="20"/>
                <w:color w:val="auto"/>
              </w:rPr>
            </w:pPr>
            <w:r>
              <w:rPr>
                <w:rFonts w:ascii="Arial" w:cs="Arial" w:eastAsia="Arial" w:hAnsi="Arial"/>
                <w:sz w:val="18"/>
                <w:szCs w:val="18"/>
                <w:color w:val="auto"/>
              </w:rPr>
              <w:t>Consent of Seyfarth Shaw LLP (included in Exhibit 5.1 to this registration statement)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60" w:type="dxa"/>
            <w:vAlign w:val="bottom"/>
            <w:gridSpan w:val="2"/>
          </w:tcPr>
          <w:p>
            <w:pPr>
              <w:ind w:left="760"/>
              <w:spacing w:after="0"/>
              <w:rPr>
                <w:sz w:val="20"/>
                <w:szCs w:val="20"/>
                <w:color w:val="auto"/>
              </w:rPr>
            </w:pPr>
            <w:r>
              <w:rPr>
                <w:rFonts w:ascii="Arial" w:cs="Arial" w:eastAsia="Arial" w:hAnsi="Arial"/>
                <w:sz w:val="18"/>
                <w:szCs w:val="18"/>
                <w:color w:val="auto"/>
              </w:rPr>
              <w:t>Consent of McGladrey LLP, Independent Registered Public Accounting Firm (filed herewith)</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60" w:type="dxa"/>
            <w:vAlign w:val="bottom"/>
            <w:gridSpan w:val="2"/>
          </w:tcPr>
          <w:p>
            <w:pPr>
              <w:ind w:left="760"/>
              <w:spacing w:after="0"/>
              <w:rPr>
                <w:sz w:val="20"/>
                <w:szCs w:val="20"/>
                <w:color w:val="auto"/>
              </w:rPr>
            </w:pPr>
            <w:r>
              <w:rPr>
                <w:rFonts w:ascii="Arial" w:cs="Arial" w:eastAsia="Arial" w:hAnsi="Arial"/>
                <w:sz w:val="18"/>
                <w:szCs w:val="18"/>
                <w:color w:val="auto"/>
              </w:rPr>
              <w:t>Powers of Attorney (included on the signature page of this Registration Statement)</w:t>
            </w:r>
          </w:p>
        </w:tc>
      </w:tr>
    </w:tbl>
    <w:p>
      <w:pPr>
        <w:sectPr>
          <w:pgSz w:w="11900" w:h="16838" w:orient="portrait"/>
          <w:cols w:equalWidth="0" w:num="1">
            <w:col w:w="11060"/>
          </w:cols>
          <w:pgMar w:left="240" w:top="580" w:right="59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CLEARONE, INC.</w:t>
      </w:r>
    </w:p>
    <w:p>
      <w:pPr>
        <w:spacing w:after="0" w:line="28" w:lineRule="exact"/>
        <w:rPr>
          <w:sz w:val="20"/>
          <w:szCs w:val="20"/>
          <w:color w:val="auto"/>
        </w:rPr>
      </w:pPr>
    </w:p>
    <w:p>
      <w:pPr>
        <w:jc w:val="center"/>
        <w:ind w:right="1180"/>
        <w:spacing w:after="0"/>
        <w:rPr>
          <w:sz w:val="20"/>
          <w:szCs w:val="20"/>
          <w:color w:val="auto"/>
        </w:rPr>
      </w:pPr>
      <w:r>
        <w:rPr>
          <w:rFonts w:ascii="Arial" w:cs="Arial" w:eastAsia="Arial" w:hAnsi="Arial"/>
          <w:sz w:val="21"/>
          <w:szCs w:val="21"/>
          <w:b w:val="1"/>
          <w:bCs w:val="1"/>
          <w:color w:val="auto"/>
        </w:rPr>
        <w:t>EMPLOYEE STOCK PURCHASE PLAN</w:t>
      </w:r>
    </w:p>
    <w:p>
      <w:pPr>
        <w:spacing w:after="0" w:line="248"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(Effective as of December 12, 2014)</w:t>
      </w:r>
    </w:p>
    <w:p>
      <w:pPr>
        <w:sectPr>
          <w:pgSz w:w="11900" w:h="16838" w:orient="portrait"/>
          <w:cols w:equalWidth="0" w:num="1">
            <w:col w:w="10220"/>
          </w:cols>
          <w:pgMar w:left="1440" w:top="126"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81"/>
        </w:trPr>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60" w:type="dxa"/>
            <w:vAlign w:val="bottom"/>
          </w:tcPr>
          <w:p>
            <w:pPr>
              <w:ind w:left="640"/>
              <w:spacing w:after="0"/>
              <w:rPr>
                <w:sz w:val="20"/>
                <w:szCs w:val="20"/>
                <w:color w:val="auto"/>
              </w:rPr>
            </w:pPr>
            <w:r>
              <w:rPr>
                <w:rFonts w:ascii="Arial" w:cs="Arial" w:eastAsia="Arial" w:hAnsi="Arial"/>
                <w:sz w:val="22"/>
                <w:szCs w:val="22"/>
                <w:b w:val="1"/>
                <w:bCs w:val="1"/>
                <w:color w:val="auto"/>
                <w:w w:val="96"/>
              </w:rPr>
              <w:t>TABLE OF CONTENTS</w:t>
            </w:r>
          </w:p>
        </w:tc>
      </w:tr>
      <w:tr>
        <w:trPr>
          <w:trHeight w:val="689"/>
        </w:trPr>
        <w:tc>
          <w:tcPr>
            <w:tcW w:w="420" w:type="dxa"/>
            <w:vAlign w:val="bottom"/>
          </w:tcPr>
          <w:p>
            <w:pPr>
              <w:jc w:val="right"/>
              <w:ind w:right="132"/>
              <w:spacing w:after="0"/>
              <w:rPr>
                <w:sz w:val="20"/>
                <w:szCs w:val="20"/>
                <w:color w:val="auto"/>
              </w:rPr>
            </w:pPr>
            <w:r>
              <w:rPr>
                <w:rFonts w:ascii="Arial" w:cs="Arial" w:eastAsia="Arial" w:hAnsi="Arial"/>
                <w:sz w:val="22"/>
                <w:szCs w:val="22"/>
                <w:color w:val="auto"/>
                <w:w w:val="86"/>
              </w:rPr>
              <w:t>1.</w:t>
            </w:r>
          </w:p>
        </w:tc>
        <w:tc>
          <w:tcPr>
            <w:tcW w:w="3100" w:type="dxa"/>
            <w:vAlign w:val="bottom"/>
            <w:gridSpan w:val="2"/>
          </w:tcPr>
          <w:p>
            <w:pPr>
              <w:ind w:left="240"/>
              <w:spacing w:after="0"/>
              <w:rPr>
                <w:sz w:val="20"/>
                <w:szCs w:val="20"/>
                <w:color w:val="auto"/>
              </w:rPr>
            </w:pPr>
            <w:r>
              <w:rPr>
                <w:rFonts w:ascii="Arial" w:cs="Arial" w:eastAsia="Arial" w:hAnsi="Arial"/>
                <w:sz w:val="22"/>
                <w:szCs w:val="22"/>
                <w:color w:val="auto"/>
              </w:rPr>
              <w:t>Purpose</w:t>
            </w:r>
          </w:p>
        </w:tc>
        <w:tc>
          <w:tcPr>
            <w:tcW w:w="400" w:type="dxa"/>
            <w:vAlign w:val="bottom"/>
          </w:tcPr>
          <w:p>
            <w:pPr>
              <w:spacing w:after="0"/>
              <w:rPr>
                <w:sz w:val="24"/>
                <w:szCs w:val="24"/>
                <w:color w:val="auto"/>
              </w:rPr>
            </w:pPr>
          </w:p>
        </w:tc>
        <w:tc>
          <w:tcPr>
            <w:tcW w:w="2960" w:type="dxa"/>
            <w:vAlign w:val="bottom"/>
          </w:tcPr>
          <w:p>
            <w:pPr>
              <w:jc w:val="right"/>
              <w:ind w:right="2712"/>
              <w:spacing w:after="0"/>
              <w:rPr>
                <w:sz w:val="20"/>
                <w:szCs w:val="20"/>
                <w:color w:val="auto"/>
              </w:rPr>
            </w:pPr>
            <w:r>
              <w:rPr>
                <w:rFonts w:ascii="Arial" w:cs="Arial" w:eastAsia="Arial" w:hAnsi="Arial"/>
                <w:sz w:val="22"/>
                <w:szCs w:val="22"/>
                <w:color w:val="auto"/>
                <w:w w:val="97"/>
              </w:rPr>
              <w:t>1</w:t>
            </w:r>
          </w:p>
        </w:tc>
      </w:tr>
      <w:tr>
        <w:trPr>
          <w:trHeight w:val="468"/>
        </w:trPr>
        <w:tc>
          <w:tcPr>
            <w:tcW w:w="420" w:type="dxa"/>
            <w:vAlign w:val="bottom"/>
          </w:tcPr>
          <w:p>
            <w:pPr>
              <w:jc w:val="right"/>
              <w:ind w:right="132"/>
              <w:spacing w:after="0"/>
              <w:rPr>
                <w:sz w:val="20"/>
                <w:szCs w:val="20"/>
                <w:color w:val="auto"/>
              </w:rPr>
            </w:pPr>
            <w:r>
              <w:rPr>
                <w:rFonts w:ascii="Arial" w:cs="Arial" w:eastAsia="Arial" w:hAnsi="Arial"/>
                <w:sz w:val="22"/>
                <w:szCs w:val="22"/>
                <w:color w:val="auto"/>
                <w:w w:val="86"/>
              </w:rPr>
              <w:t>2.</w:t>
            </w:r>
          </w:p>
        </w:tc>
        <w:tc>
          <w:tcPr>
            <w:tcW w:w="3100" w:type="dxa"/>
            <w:vAlign w:val="bottom"/>
            <w:gridSpan w:val="2"/>
          </w:tcPr>
          <w:p>
            <w:pPr>
              <w:ind w:left="240"/>
              <w:spacing w:after="0"/>
              <w:rPr>
                <w:sz w:val="20"/>
                <w:szCs w:val="20"/>
                <w:color w:val="auto"/>
              </w:rPr>
            </w:pPr>
            <w:r>
              <w:rPr>
                <w:rFonts w:ascii="Arial" w:cs="Arial" w:eastAsia="Arial" w:hAnsi="Arial"/>
                <w:sz w:val="22"/>
                <w:szCs w:val="22"/>
                <w:color w:val="auto"/>
              </w:rPr>
              <w:t>Definitions</w:t>
            </w:r>
          </w:p>
        </w:tc>
        <w:tc>
          <w:tcPr>
            <w:tcW w:w="400" w:type="dxa"/>
            <w:vAlign w:val="bottom"/>
          </w:tcPr>
          <w:p>
            <w:pPr>
              <w:jc w:val="right"/>
              <w:spacing w:after="0"/>
              <w:rPr>
                <w:sz w:val="20"/>
                <w:szCs w:val="20"/>
                <w:color w:val="auto"/>
              </w:rPr>
            </w:pPr>
            <w:r>
              <w:rPr>
                <w:rFonts w:ascii="Arial" w:cs="Arial" w:eastAsia="Arial" w:hAnsi="Arial"/>
                <w:sz w:val="22"/>
                <w:szCs w:val="22"/>
                <w:color w:val="auto"/>
              </w:rPr>
              <w:t>1</w:t>
            </w:r>
          </w:p>
        </w:tc>
        <w:tc>
          <w:tcPr>
            <w:tcW w:w="2960" w:type="dxa"/>
            <w:vAlign w:val="bottom"/>
          </w:tcPr>
          <w:p>
            <w:pPr>
              <w:spacing w:after="0"/>
              <w:rPr>
                <w:sz w:val="24"/>
                <w:szCs w:val="24"/>
                <w:color w:val="auto"/>
              </w:rPr>
            </w:pPr>
          </w:p>
        </w:tc>
      </w:tr>
      <w:tr>
        <w:trPr>
          <w:trHeight w:val="270"/>
        </w:trPr>
        <w:tc>
          <w:tcPr>
            <w:tcW w:w="420" w:type="dxa"/>
            <w:vAlign w:val="bottom"/>
          </w:tcPr>
          <w:p>
            <w:pPr>
              <w:spacing w:after="0"/>
              <w:rPr>
                <w:sz w:val="23"/>
                <w:szCs w:val="23"/>
                <w:color w:val="auto"/>
              </w:rPr>
            </w:pPr>
          </w:p>
        </w:tc>
        <w:tc>
          <w:tcPr>
            <w:tcW w:w="740" w:type="dxa"/>
            <w:vAlign w:val="bottom"/>
          </w:tcPr>
          <w:p>
            <w:pPr>
              <w:ind w:left="240"/>
              <w:spacing w:after="0"/>
              <w:rPr>
                <w:sz w:val="20"/>
                <w:szCs w:val="20"/>
                <w:color w:val="auto"/>
              </w:rPr>
            </w:pPr>
            <w:r>
              <w:rPr>
                <w:rFonts w:ascii="Arial" w:cs="Arial" w:eastAsia="Arial" w:hAnsi="Arial"/>
                <w:sz w:val="22"/>
                <w:szCs w:val="22"/>
                <w:color w:val="auto"/>
              </w:rPr>
              <w:t>2.1</w:t>
            </w:r>
          </w:p>
        </w:tc>
        <w:tc>
          <w:tcPr>
            <w:tcW w:w="2360" w:type="dxa"/>
            <w:vAlign w:val="bottom"/>
          </w:tcPr>
          <w:p>
            <w:pPr>
              <w:ind w:left="140"/>
              <w:spacing w:after="0"/>
              <w:rPr>
                <w:sz w:val="20"/>
                <w:szCs w:val="20"/>
                <w:color w:val="auto"/>
              </w:rPr>
            </w:pPr>
            <w:r>
              <w:rPr>
                <w:rFonts w:ascii="Arial" w:cs="Arial" w:eastAsia="Arial" w:hAnsi="Arial"/>
                <w:sz w:val="22"/>
                <w:szCs w:val="22"/>
                <w:color w:val="auto"/>
              </w:rPr>
              <w:t>“Act”</w:t>
            </w:r>
          </w:p>
        </w:tc>
        <w:tc>
          <w:tcPr>
            <w:tcW w:w="400" w:type="dxa"/>
            <w:vAlign w:val="bottom"/>
          </w:tcPr>
          <w:p>
            <w:pPr>
              <w:spacing w:after="0"/>
              <w:rPr>
                <w:sz w:val="23"/>
                <w:szCs w:val="23"/>
                <w:color w:val="auto"/>
              </w:rPr>
            </w:pPr>
          </w:p>
        </w:tc>
        <w:tc>
          <w:tcPr>
            <w:tcW w:w="2960" w:type="dxa"/>
            <w:vAlign w:val="bottom"/>
          </w:tcPr>
          <w:p>
            <w:pPr>
              <w:jc w:val="right"/>
              <w:ind w:right="2692"/>
              <w:spacing w:after="0"/>
              <w:rPr>
                <w:sz w:val="20"/>
                <w:szCs w:val="20"/>
                <w:color w:val="auto"/>
              </w:rPr>
            </w:pPr>
            <w:r>
              <w:rPr>
                <w:rFonts w:ascii="Arial" w:cs="Arial" w:eastAsia="Arial" w:hAnsi="Arial"/>
                <w:sz w:val="22"/>
                <w:szCs w:val="22"/>
                <w:color w:val="auto"/>
              </w:rPr>
              <w:t>1</w:t>
            </w:r>
          </w:p>
        </w:tc>
      </w:tr>
      <w:tr>
        <w:trPr>
          <w:trHeight w:val="270"/>
        </w:trPr>
        <w:tc>
          <w:tcPr>
            <w:tcW w:w="420" w:type="dxa"/>
            <w:vAlign w:val="bottom"/>
          </w:tcPr>
          <w:p>
            <w:pPr>
              <w:spacing w:after="0"/>
              <w:rPr>
                <w:sz w:val="23"/>
                <w:szCs w:val="23"/>
                <w:color w:val="auto"/>
              </w:rPr>
            </w:pPr>
          </w:p>
        </w:tc>
        <w:tc>
          <w:tcPr>
            <w:tcW w:w="740" w:type="dxa"/>
            <w:vAlign w:val="bottom"/>
          </w:tcPr>
          <w:p>
            <w:pPr>
              <w:ind w:left="240"/>
              <w:spacing w:after="0"/>
              <w:rPr>
                <w:sz w:val="20"/>
                <w:szCs w:val="20"/>
                <w:color w:val="auto"/>
              </w:rPr>
            </w:pPr>
            <w:r>
              <w:rPr>
                <w:rFonts w:ascii="Arial" w:cs="Arial" w:eastAsia="Arial" w:hAnsi="Arial"/>
                <w:sz w:val="22"/>
                <w:szCs w:val="22"/>
                <w:color w:val="auto"/>
              </w:rPr>
              <w:t>2.2</w:t>
            </w:r>
          </w:p>
        </w:tc>
        <w:tc>
          <w:tcPr>
            <w:tcW w:w="2360" w:type="dxa"/>
            <w:vAlign w:val="bottom"/>
          </w:tcPr>
          <w:p>
            <w:pPr>
              <w:ind w:left="140"/>
              <w:spacing w:after="0"/>
              <w:rPr>
                <w:sz w:val="20"/>
                <w:szCs w:val="20"/>
                <w:color w:val="auto"/>
              </w:rPr>
            </w:pPr>
            <w:r>
              <w:rPr>
                <w:rFonts w:ascii="Arial" w:cs="Arial" w:eastAsia="Arial" w:hAnsi="Arial"/>
                <w:sz w:val="22"/>
                <w:szCs w:val="22"/>
                <w:color w:val="auto"/>
              </w:rPr>
              <w:t>“Board”</w:t>
            </w:r>
          </w:p>
        </w:tc>
        <w:tc>
          <w:tcPr>
            <w:tcW w:w="400" w:type="dxa"/>
            <w:vAlign w:val="bottom"/>
          </w:tcPr>
          <w:p>
            <w:pPr>
              <w:spacing w:after="0"/>
              <w:rPr>
                <w:sz w:val="23"/>
                <w:szCs w:val="23"/>
                <w:color w:val="auto"/>
              </w:rPr>
            </w:pPr>
          </w:p>
        </w:tc>
        <w:tc>
          <w:tcPr>
            <w:tcW w:w="2960" w:type="dxa"/>
            <w:vAlign w:val="bottom"/>
          </w:tcPr>
          <w:p>
            <w:pPr>
              <w:jc w:val="right"/>
              <w:ind w:right="2652"/>
              <w:spacing w:after="0"/>
              <w:rPr>
                <w:sz w:val="20"/>
                <w:szCs w:val="20"/>
                <w:color w:val="auto"/>
              </w:rPr>
            </w:pPr>
            <w:r>
              <w:rPr>
                <w:rFonts w:ascii="Arial" w:cs="Arial" w:eastAsia="Arial" w:hAnsi="Arial"/>
                <w:sz w:val="22"/>
                <w:szCs w:val="22"/>
                <w:color w:val="auto"/>
              </w:rPr>
              <w:t>1</w:t>
            </w:r>
          </w:p>
        </w:tc>
      </w:tr>
      <w:tr>
        <w:trPr>
          <w:trHeight w:val="270"/>
        </w:trPr>
        <w:tc>
          <w:tcPr>
            <w:tcW w:w="420" w:type="dxa"/>
            <w:vAlign w:val="bottom"/>
          </w:tcPr>
          <w:p>
            <w:pPr>
              <w:spacing w:after="0"/>
              <w:rPr>
                <w:sz w:val="23"/>
                <w:szCs w:val="23"/>
                <w:color w:val="auto"/>
              </w:rPr>
            </w:pPr>
          </w:p>
        </w:tc>
        <w:tc>
          <w:tcPr>
            <w:tcW w:w="740" w:type="dxa"/>
            <w:vAlign w:val="bottom"/>
          </w:tcPr>
          <w:p>
            <w:pPr>
              <w:ind w:left="240"/>
              <w:spacing w:after="0"/>
              <w:rPr>
                <w:sz w:val="20"/>
                <w:szCs w:val="20"/>
                <w:color w:val="auto"/>
              </w:rPr>
            </w:pPr>
            <w:r>
              <w:rPr>
                <w:rFonts w:ascii="Arial" w:cs="Arial" w:eastAsia="Arial" w:hAnsi="Arial"/>
                <w:sz w:val="22"/>
                <w:szCs w:val="22"/>
                <w:color w:val="auto"/>
              </w:rPr>
              <w:t>2.3</w:t>
            </w:r>
          </w:p>
        </w:tc>
        <w:tc>
          <w:tcPr>
            <w:tcW w:w="2360" w:type="dxa"/>
            <w:vAlign w:val="bottom"/>
          </w:tcPr>
          <w:p>
            <w:pPr>
              <w:ind w:left="140"/>
              <w:spacing w:after="0"/>
              <w:rPr>
                <w:sz w:val="20"/>
                <w:szCs w:val="20"/>
                <w:color w:val="auto"/>
              </w:rPr>
            </w:pPr>
            <w:r>
              <w:rPr>
                <w:rFonts w:ascii="Arial" w:cs="Arial" w:eastAsia="Arial" w:hAnsi="Arial"/>
                <w:sz w:val="22"/>
                <w:szCs w:val="22"/>
                <w:color w:val="auto"/>
              </w:rPr>
              <w:t>“Code”</w:t>
            </w:r>
          </w:p>
        </w:tc>
        <w:tc>
          <w:tcPr>
            <w:tcW w:w="400" w:type="dxa"/>
            <w:vAlign w:val="bottom"/>
          </w:tcPr>
          <w:p>
            <w:pPr>
              <w:spacing w:after="0"/>
              <w:rPr>
                <w:sz w:val="23"/>
                <w:szCs w:val="23"/>
                <w:color w:val="auto"/>
              </w:rPr>
            </w:pPr>
          </w:p>
        </w:tc>
        <w:tc>
          <w:tcPr>
            <w:tcW w:w="2960" w:type="dxa"/>
            <w:vAlign w:val="bottom"/>
          </w:tcPr>
          <w:p>
            <w:pPr>
              <w:jc w:val="right"/>
              <w:ind w:right="2552"/>
              <w:spacing w:after="0"/>
              <w:rPr>
                <w:sz w:val="20"/>
                <w:szCs w:val="20"/>
                <w:color w:val="auto"/>
              </w:rPr>
            </w:pPr>
            <w:r>
              <w:rPr>
                <w:rFonts w:ascii="Arial" w:cs="Arial" w:eastAsia="Arial" w:hAnsi="Arial"/>
                <w:sz w:val="22"/>
                <w:szCs w:val="22"/>
                <w:color w:val="auto"/>
              </w:rPr>
              <w:t>1</w:t>
            </w:r>
          </w:p>
        </w:tc>
      </w:tr>
      <w:tr>
        <w:trPr>
          <w:trHeight w:val="270"/>
        </w:trPr>
        <w:tc>
          <w:tcPr>
            <w:tcW w:w="420" w:type="dxa"/>
            <w:vAlign w:val="bottom"/>
          </w:tcPr>
          <w:p>
            <w:pPr>
              <w:spacing w:after="0"/>
              <w:rPr>
                <w:sz w:val="23"/>
                <w:szCs w:val="23"/>
                <w:color w:val="auto"/>
              </w:rPr>
            </w:pPr>
          </w:p>
        </w:tc>
        <w:tc>
          <w:tcPr>
            <w:tcW w:w="740" w:type="dxa"/>
            <w:vAlign w:val="bottom"/>
          </w:tcPr>
          <w:p>
            <w:pPr>
              <w:ind w:left="240"/>
              <w:spacing w:after="0"/>
              <w:rPr>
                <w:sz w:val="20"/>
                <w:szCs w:val="20"/>
                <w:color w:val="auto"/>
              </w:rPr>
            </w:pPr>
            <w:r>
              <w:rPr>
                <w:rFonts w:ascii="Arial" w:cs="Arial" w:eastAsia="Arial" w:hAnsi="Arial"/>
                <w:sz w:val="22"/>
                <w:szCs w:val="22"/>
                <w:color w:val="auto"/>
              </w:rPr>
              <w:t>2.4</w:t>
            </w:r>
          </w:p>
        </w:tc>
        <w:tc>
          <w:tcPr>
            <w:tcW w:w="2360" w:type="dxa"/>
            <w:vAlign w:val="bottom"/>
          </w:tcPr>
          <w:p>
            <w:pPr>
              <w:ind w:left="140"/>
              <w:spacing w:after="0"/>
              <w:rPr>
                <w:sz w:val="20"/>
                <w:szCs w:val="20"/>
                <w:color w:val="auto"/>
              </w:rPr>
            </w:pPr>
            <w:r>
              <w:rPr>
                <w:rFonts w:ascii="Arial" w:cs="Arial" w:eastAsia="Arial" w:hAnsi="Arial"/>
                <w:sz w:val="22"/>
                <w:szCs w:val="22"/>
                <w:color w:val="auto"/>
              </w:rPr>
              <w:t>“Committee”</w:t>
            </w:r>
          </w:p>
        </w:tc>
        <w:tc>
          <w:tcPr>
            <w:tcW w:w="400" w:type="dxa"/>
            <w:vAlign w:val="bottom"/>
          </w:tcPr>
          <w:p>
            <w:pPr>
              <w:spacing w:after="0"/>
              <w:rPr>
                <w:sz w:val="23"/>
                <w:szCs w:val="23"/>
                <w:color w:val="auto"/>
              </w:rPr>
            </w:pPr>
          </w:p>
        </w:tc>
        <w:tc>
          <w:tcPr>
            <w:tcW w:w="2960" w:type="dxa"/>
            <w:vAlign w:val="bottom"/>
          </w:tcPr>
          <w:p>
            <w:pPr>
              <w:jc w:val="right"/>
              <w:ind w:right="2232"/>
              <w:spacing w:after="0"/>
              <w:rPr>
                <w:sz w:val="20"/>
                <w:szCs w:val="20"/>
                <w:color w:val="auto"/>
              </w:rPr>
            </w:pPr>
            <w:r>
              <w:rPr>
                <w:rFonts w:ascii="Arial" w:cs="Arial" w:eastAsia="Arial" w:hAnsi="Arial"/>
                <w:sz w:val="22"/>
                <w:szCs w:val="22"/>
                <w:color w:val="auto"/>
              </w:rPr>
              <w:t>1</w:t>
            </w:r>
          </w:p>
        </w:tc>
      </w:tr>
      <w:tr>
        <w:trPr>
          <w:trHeight w:val="270"/>
        </w:trPr>
        <w:tc>
          <w:tcPr>
            <w:tcW w:w="420" w:type="dxa"/>
            <w:vAlign w:val="bottom"/>
          </w:tcPr>
          <w:p>
            <w:pPr>
              <w:spacing w:after="0"/>
              <w:rPr>
                <w:sz w:val="23"/>
                <w:szCs w:val="23"/>
                <w:color w:val="auto"/>
              </w:rPr>
            </w:pPr>
          </w:p>
        </w:tc>
        <w:tc>
          <w:tcPr>
            <w:tcW w:w="740" w:type="dxa"/>
            <w:vAlign w:val="bottom"/>
          </w:tcPr>
          <w:p>
            <w:pPr>
              <w:ind w:left="240"/>
              <w:spacing w:after="0"/>
              <w:rPr>
                <w:sz w:val="20"/>
                <w:szCs w:val="20"/>
                <w:color w:val="auto"/>
              </w:rPr>
            </w:pPr>
            <w:r>
              <w:rPr>
                <w:rFonts w:ascii="Arial" w:cs="Arial" w:eastAsia="Arial" w:hAnsi="Arial"/>
                <w:sz w:val="22"/>
                <w:szCs w:val="22"/>
                <w:color w:val="auto"/>
              </w:rPr>
              <w:t>2.5</w:t>
            </w:r>
          </w:p>
        </w:tc>
        <w:tc>
          <w:tcPr>
            <w:tcW w:w="2360" w:type="dxa"/>
            <w:vAlign w:val="bottom"/>
          </w:tcPr>
          <w:p>
            <w:pPr>
              <w:ind w:left="140"/>
              <w:spacing w:after="0"/>
              <w:rPr>
                <w:sz w:val="20"/>
                <w:szCs w:val="20"/>
                <w:color w:val="auto"/>
              </w:rPr>
            </w:pPr>
            <w:r>
              <w:rPr>
                <w:rFonts w:ascii="Arial" w:cs="Arial" w:eastAsia="Arial" w:hAnsi="Arial"/>
                <w:sz w:val="22"/>
                <w:szCs w:val="22"/>
                <w:color w:val="auto"/>
              </w:rPr>
              <w:t>“Company”</w:t>
            </w:r>
          </w:p>
        </w:tc>
        <w:tc>
          <w:tcPr>
            <w:tcW w:w="400" w:type="dxa"/>
            <w:vAlign w:val="bottom"/>
          </w:tcPr>
          <w:p>
            <w:pPr>
              <w:spacing w:after="0"/>
              <w:rPr>
                <w:sz w:val="23"/>
                <w:szCs w:val="23"/>
                <w:color w:val="auto"/>
              </w:rPr>
            </w:pPr>
          </w:p>
        </w:tc>
        <w:tc>
          <w:tcPr>
            <w:tcW w:w="2960" w:type="dxa"/>
            <w:vAlign w:val="bottom"/>
          </w:tcPr>
          <w:p>
            <w:pPr>
              <w:jc w:val="right"/>
              <w:ind w:right="2352"/>
              <w:spacing w:after="0"/>
              <w:rPr>
                <w:sz w:val="20"/>
                <w:szCs w:val="20"/>
                <w:color w:val="auto"/>
              </w:rPr>
            </w:pPr>
            <w:r>
              <w:rPr>
                <w:rFonts w:ascii="Arial" w:cs="Arial" w:eastAsia="Arial" w:hAnsi="Arial"/>
                <w:sz w:val="22"/>
                <w:szCs w:val="22"/>
                <w:color w:val="auto"/>
              </w:rPr>
              <w:t>1</w:t>
            </w:r>
          </w:p>
        </w:tc>
      </w:tr>
      <w:tr>
        <w:trPr>
          <w:trHeight w:val="270"/>
        </w:trPr>
        <w:tc>
          <w:tcPr>
            <w:tcW w:w="420" w:type="dxa"/>
            <w:vAlign w:val="bottom"/>
          </w:tcPr>
          <w:p>
            <w:pPr>
              <w:spacing w:after="0"/>
              <w:rPr>
                <w:sz w:val="23"/>
                <w:szCs w:val="23"/>
                <w:color w:val="auto"/>
              </w:rPr>
            </w:pPr>
          </w:p>
        </w:tc>
        <w:tc>
          <w:tcPr>
            <w:tcW w:w="740" w:type="dxa"/>
            <w:vAlign w:val="bottom"/>
          </w:tcPr>
          <w:p>
            <w:pPr>
              <w:ind w:left="240"/>
              <w:spacing w:after="0"/>
              <w:rPr>
                <w:sz w:val="20"/>
                <w:szCs w:val="20"/>
                <w:color w:val="auto"/>
              </w:rPr>
            </w:pPr>
            <w:r>
              <w:rPr>
                <w:rFonts w:ascii="Arial" w:cs="Arial" w:eastAsia="Arial" w:hAnsi="Arial"/>
                <w:sz w:val="22"/>
                <w:szCs w:val="22"/>
                <w:color w:val="auto"/>
              </w:rPr>
              <w:t>2.6</w:t>
            </w:r>
          </w:p>
        </w:tc>
        <w:tc>
          <w:tcPr>
            <w:tcW w:w="2360" w:type="dxa"/>
            <w:vAlign w:val="bottom"/>
          </w:tcPr>
          <w:p>
            <w:pPr>
              <w:ind w:left="140"/>
              <w:spacing w:after="0"/>
              <w:rPr>
                <w:sz w:val="20"/>
                <w:szCs w:val="20"/>
                <w:color w:val="auto"/>
              </w:rPr>
            </w:pPr>
            <w:r>
              <w:rPr>
                <w:rFonts w:ascii="Arial" w:cs="Arial" w:eastAsia="Arial" w:hAnsi="Arial"/>
                <w:sz w:val="22"/>
                <w:szCs w:val="22"/>
                <w:color w:val="auto"/>
              </w:rPr>
              <w:t>“Company Stock”</w:t>
            </w:r>
          </w:p>
        </w:tc>
        <w:tc>
          <w:tcPr>
            <w:tcW w:w="400" w:type="dxa"/>
            <w:vAlign w:val="bottom"/>
          </w:tcPr>
          <w:p>
            <w:pPr>
              <w:spacing w:after="0"/>
              <w:rPr>
                <w:sz w:val="23"/>
                <w:szCs w:val="23"/>
                <w:color w:val="auto"/>
              </w:rPr>
            </w:pPr>
          </w:p>
        </w:tc>
        <w:tc>
          <w:tcPr>
            <w:tcW w:w="2960" w:type="dxa"/>
            <w:vAlign w:val="bottom"/>
          </w:tcPr>
          <w:p>
            <w:pPr>
              <w:jc w:val="right"/>
              <w:ind w:right="1972"/>
              <w:spacing w:after="0"/>
              <w:rPr>
                <w:sz w:val="20"/>
                <w:szCs w:val="20"/>
                <w:color w:val="auto"/>
              </w:rPr>
            </w:pPr>
            <w:r>
              <w:rPr>
                <w:rFonts w:ascii="Arial" w:cs="Arial" w:eastAsia="Arial" w:hAnsi="Arial"/>
                <w:sz w:val="22"/>
                <w:szCs w:val="22"/>
                <w:color w:val="auto"/>
              </w:rPr>
              <w:t>1</w:t>
            </w:r>
          </w:p>
        </w:tc>
      </w:tr>
      <w:tr>
        <w:trPr>
          <w:trHeight w:val="270"/>
        </w:trPr>
        <w:tc>
          <w:tcPr>
            <w:tcW w:w="420" w:type="dxa"/>
            <w:vAlign w:val="bottom"/>
          </w:tcPr>
          <w:p>
            <w:pPr>
              <w:spacing w:after="0"/>
              <w:rPr>
                <w:sz w:val="23"/>
                <w:szCs w:val="23"/>
                <w:color w:val="auto"/>
              </w:rPr>
            </w:pPr>
          </w:p>
        </w:tc>
        <w:tc>
          <w:tcPr>
            <w:tcW w:w="740" w:type="dxa"/>
            <w:vAlign w:val="bottom"/>
          </w:tcPr>
          <w:p>
            <w:pPr>
              <w:ind w:left="240"/>
              <w:spacing w:after="0"/>
              <w:rPr>
                <w:sz w:val="20"/>
                <w:szCs w:val="20"/>
                <w:color w:val="auto"/>
              </w:rPr>
            </w:pPr>
            <w:r>
              <w:rPr>
                <w:rFonts w:ascii="Arial" w:cs="Arial" w:eastAsia="Arial" w:hAnsi="Arial"/>
                <w:sz w:val="22"/>
                <w:szCs w:val="22"/>
                <w:color w:val="auto"/>
              </w:rPr>
              <w:t>2.7</w:t>
            </w:r>
          </w:p>
        </w:tc>
        <w:tc>
          <w:tcPr>
            <w:tcW w:w="2360" w:type="dxa"/>
            <w:vAlign w:val="bottom"/>
          </w:tcPr>
          <w:p>
            <w:pPr>
              <w:ind w:left="140"/>
              <w:spacing w:after="0"/>
              <w:rPr>
                <w:sz w:val="20"/>
                <w:szCs w:val="20"/>
                <w:color w:val="auto"/>
              </w:rPr>
            </w:pPr>
            <w:r>
              <w:rPr>
                <w:rFonts w:ascii="Arial" w:cs="Arial" w:eastAsia="Arial" w:hAnsi="Arial"/>
                <w:sz w:val="22"/>
                <w:szCs w:val="22"/>
                <w:color w:val="auto"/>
              </w:rPr>
              <w:t>“Compensation”</w:t>
            </w:r>
          </w:p>
        </w:tc>
        <w:tc>
          <w:tcPr>
            <w:tcW w:w="400" w:type="dxa"/>
            <w:vAlign w:val="bottom"/>
          </w:tcPr>
          <w:p>
            <w:pPr>
              <w:spacing w:after="0"/>
              <w:rPr>
                <w:sz w:val="23"/>
                <w:szCs w:val="23"/>
                <w:color w:val="auto"/>
              </w:rPr>
            </w:pPr>
          </w:p>
        </w:tc>
        <w:tc>
          <w:tcPr>
            <w:tcW w:w="2960" w:type="dxa"/>
            <w:vAlign w:val="bottom"/>
          </w:tcPr>
          <w:p>
            <w:pPr>
              <w:ind w:left="620"/>
              <w:spacing w:after="0"/>
              <w:rPr>
                <w:sz w:val="20"/>
                <w:szCs w:val="20"/>
                <w:color w:val="auto"/>
              </w:rPr>
            </w:pPr>
            <w:r>
              <w:rPr>
                <w:rFonts w:ascii="Arial" w:cs="Arial" w:eastAsia="Arial" w:hAnsi="Arial"/>
                <w:sz w:val="22"/>
                <w:szCs w:val="22"/>
                <w:color w:val="auto"/>
              </w:rPr>
              <w:t>1</w:t>
            </w:r>
          </w:p>
        </w:tc>
      </w:tr>
      <w:tr>
        <w:trPr>
          <w:trHeight w:val="270"/>
        </w:trPr>
        <w:tc>
          <w:tcPr>
            <w:tcW w:w="420" w:type="dxa"/>
            <w:vAlign w:val="bottom"/>
          </w:tcPr>
          <w:p>
            <w:pPr>
              <w:spacing w:after="0"/>
              <w:rPr>
                <w:sz w:val="23"/>
                <w:szCs w:val="23"/>
                <w:color w:val="auto"/>
              </w:rPr>
            </w:pPr>
          </w:p>
        </w:tc>
        <w:tc>
          <w:tcPr>
            <w:tcW w:w="740" w:type="dxa"/>
            <w:vAlign w:val="bottom"/>
          </w:tcPr>
          <w:p>
            <w:pPr>
              <w:ind w:left="240"/>
              <w:spacing w:after="0"/>
              <w:rPr>
                <w:sz w:val="20"/>
                <w:szCs w:val="20"/>
                <w:color w:val="auto"/>
              </w:rPr>
            </w:pPr>
            <w:r>
              <w:rPr>
                <w:rFonts w:ascii="Arial" w:cs="Arial" w:eastAsia="Arial" w:hAnsi="Arial"/>
                <w:sz w:val="22"/>
                <w:szCs w:val="22"/>
                <w:color w:val="auto"/>
              </w:rPr>
              <w:t>2.8</w:t>
            </w:r>
          </w:p>
        </w:tc>
        <w:tc>
          <w:tcPr>
            <w:tcW w:w="2360" w:type="dxa"/>
            <w:vAlign w:val="bottom"/>
          </w:tcPr>
          <w:p>
            <w:pPr>
              <w:ind w:left="140"/>
              <w:spacing w:after="0"/>
              <w:rPr>
                <w:sz w:val="20"/>
                <w:szCs w:val="20"/>
                <w:color w:val="auto"/>
              </w:rPr>
            </w:pPr>
            <w:r>
              <w:rPr>
                <w:rFonts w:ascii="Arial" w:cs="Arial" w:eastAsia="Arial" w:hAnsi="Arial"/>
                <w:sz w:val="22"/>
                <w:szCs w:val="22"/>
                <w:color w:val="auto"/>
              </w:rPr>
              <w:t>“Custodian”</w:t>
            </w:r>
          </w:p>
        </w:tc>
        <w:tc>
          <w:tcPr>
            <w:tcW w:w="400" w:type="dxa"/>
            <w:vAlign w:val="bottom"/>
          </w:tcPr>
          <w:p>
            <w:pPr>
              <w:spacing w:after="0"/>
              <w:rPr>
                <w:sz w:val="23"/>
                <w:szCs w:val="23"/>
                <w:color w:val="auto"/>
              </w:rPr>
            </w:pPr>
          </w:p>
        </w:tc>
        <w:tc>
          <w:tcPr>
            <w:tcW w:w="2960" w:type="dxa"/>
            <w:vAlign w:val="bottom"/>
          </w:tcPr>
          <w:p>
            <w:pPr>
              <w:jc w:val="right"/>
              <w:ind w:right="2312"/>
              <w:spacing w:after="0"/>
              <w:rPr>
                <w:sz w:val="20"/>
                <w:szCs w:val="20"/>
                <w:color w:val="auto"/>
              </w:rPr>
            </w:pPr>
            <w:r>
              <w:rPr>
                <w:rFonts w:ascii="Arial" w:cs="Arial" w:eastAsia="Arial" w:hAnsi="Arial"/>
                <w:sz w:val="22"/>
                <w:szCs w:val="22"/>
                <w:color w:val="auto"/>
              </w:rPr>
              <w:t>1</w:t>
            </w:r>
          </w:p>
        </w:tc>
      </w:tr>
      <w:tr>
        <w:trPr>
          <w:trHeight w:val="270"/>
        </w:trPr>
        <w:tc>
          <w:tcPr>
            <w:tcW w:w="420" w:type="dxa"/>
            <w:vAlign w:val="bottom"/>
          </w:tcPr>
          <w:p>
            <w:pPr>
              <w:spacing w:after="0"/>
              <w:rPr>
                <w:sz w:val="23"/>
                <w:szCs w:val="23"/>
                <w:color w:val="auto"/>
              </w:rPr>
            </w:pPr>
          </w:p>
        </w:tc>
        <w:tc>
          <w:tcPr>
            <w:tcW w:w="740" w:type="dxa"/>
            <w:vAlign w:val="bottom"/>
          </w:tcPr>
          <w:p>
            <w:pPr>
              <w:ind w:left="240"/>
              <w:spacing w:after="0"/>
              <w:rPr>
                <w:sz w:val="20"/>
                <w:szCs w:val="20"/>
                <w:color w:val="auto"/>
              </w:rPr>
            </w:pPr>
            <w:r>
              <w:rPr>
                <w:rFonts w:ascii="Arial" w:cs="Arial" w:eastAsia="Arial" w:hAnsi="Arial"/>
                <w:sz w:val="22"/>
                <w:szCs w:val="22"/>
                <w:color w:val="auto"/>
              </w:rPr>
              <w:t>2.9</w:t>
            </w:r>
          </w:p>
        </w:tc>
        <w:tc>
          <w:tcPr>
            <w:tcW w:w="2360" w:type="dxa"/>
            <w:vAlign w:val="bottom"/>
          </w:tcPr>
          <w:p>
            <w:pPr>
              <w:ind w:left="140"/>
              <w:spacing w:after="0"/>
              <w:rPr>
                <w:sz w:val="20"/>
                <w:szCs w:val="20"/>
                <w:color w:val="auto"/>
              </w:rPr>
            </w:pPr>
            <w:r>
              <w:rPr>
                <w:rFonts w:ascii="Arial" w:cs="Arial" w:eastAsia="Arial" w:hAnsi="Arial"/>
                <w:sz w:val="22"/>
                <w:szCs w:val="22"/>
                <w:color w:val="auto"/>
              </w:rPr>
              <w:t>“Eligible Employee”</w:t>
            </w:r>
          </w:p>
        </w:tc>
        <w:tc>
          <w:tcPr>
            <w:tcW w:w="400" w:type="dxa"/>
            <w:vAlign w:val="bottom"/>
          </w:tcPr>
          <w:p>
            <w:pPr>
              <w:spacing w:after="0"/>
              <w:rPr>
                <w:sz w:val="23"/>
                <w:szCs w:val="23"/>
                <w:color w:val="auto"/>
              </w:rPr>
            </w:pPr>
          </w:p>
        </w:tc>
        <w:tc>
          <w:tcPr>
            <w:tcW w:w="2960" w:type="dxa"/>
            <w:vAlign w:val="bottom"/>
          </w:tcPr>
          <w:p>
            <w:pPr>
              <w:jc w:val="right"/>
              <w:ind w:right="1752"/>
              <w:spacing w:after="0"/>
              <w:rPr>
                <w:sz w:val="20"/>
                <w:szCs w:val="20"/>
                <w:color w:val="auto"/>
              </w:rPr>
            </w:pPr>
            <w:r>
              <w:rPr>
                <w:rFonts w:ascii="Arial" w:cs="Arial" w:eastAsia="Arial" w:hAnsi="Arial"/>
                <w:sz w:val="22"/>
                <w:szCs w:val="22"/>
                <w:color w:val="auto"/>
              </w:rPr>
              <w:t>2</w:t>
            </w:r>
          </w:p>
        </w:tc>
      </w:tr>
      <w:tr>
        <w:trPr>
          <w:trHeight w:val="270"/>
        </w:trPr>
        <w:tc>
          <w:tcPr>
            <w:tcW w:w="420" w:type="dxa"/>
            <w:vAlign w:val="bottom"/>
          </w:tcPr>
          <w:p>
            <w:pPr>
              <w:spacing w:after="0"/>
              <w:rPr>
                <w:sz w:val="23"/>
                <w:szCs w:val="23"/>
                <w:color w:val="auto"/>
              </w:rPr>
            </w:pPr>
          </w:p>
        </w:tc>
        <w:tc>
          <w:tcPr>
            <w:tcW w:w="740" w:type="dxa"/>
            <w:vAlign w:val="bottom"/>
          </w:tcPr>
          <w:p>
            <w:pPr>
              <w:ind w:left="240"/>
              <w:spacing w:after="0"/>
              <w:rPr>
                <w:sz w:val="20"/>
                <w:szCs w:val="20"/>
                <w:color w:val="auto"/>
              </w:rPr>
            </w:pPr>
            <w:r>
              <w:rPr>
                <w:rFonts w:ascii="Arial" w:cs="Arial" w:eastAsia="Arial" w:hAnsi="Arial"/>
                <w:sz w:val="22"/>
                <w:szCs w:val="22"/>
                <w:color w:val="auto"/>
              </w:rPr>
              <w:t>2.10</w:t>
            </w:r>
          </w:p>
        </w:tc>
        <w:tc>
          <w:tcPr>
            <w:tcW w:w="2360" w:type="dxa"/>
            <w:vAlign w:val="bottom"/>
          </w:tcPr>
          <w:p>
            <w:pPr>
              <w:ind w:left="140"/>
              <w:spacing w:after="0"/>
              <w:rPr>
                <w:sz w:val="20"/>
                <w:szCs w:val="20"/>
                <w:color w:val="auto"/>
              </w:rPr>
            </w:pPr>
            <w:r>
              <w:rPr>
                <w:rFonts w:ascii="Arial" w:cs="Arial" w:eastAsia="Arial" w:hAnsi="Arial"/>
                <w:sz w:val="22"/>
                <w:szCs w:val="22"/>
                <w:color w:val="auto"/>
              </w:rPr>
              <w:t>“Enrollment Form”</w:t>
            </w:r>
          </w:p>
        </w:tc>
        <w:tc>
          <w:tcPr>
            <w:tcW w:w="400" w:type="dxa"/>
            <w:vAlign w:val="bottom"/>
          </w:tcPr>
          <w:p>
            <w:pPr>
              <w:spacing w:after="0"/>
              <w:rPr>
                <w:sz w:val="23"/>
                <w:szCs w:val="23"/>
                <w:color w:val="auto"/>
              </w:rPr>
            </w:pPr>
          </w:p>
        </w:tc>
        <w:tc>
          <w:tcPr>
            <w:tcW w:w="2960" w:type="dxa"/>
            <w:vAlign w:val="bottom"/>
          </w:tcPr>
          <w:p>
            <w:pPr>
              <w:jc w:val="right"/>
              <w:ind w:right="1872"/>
              <w:spacing w:after="0"/>
              <w:rPr>
                <w:sz w:val="20"/>
                <w:szCs w:val="20"/>
                <w:color w:val="auto"/>
              </w:rPr>
            </w:pPr>
            <w:r>
              <w:rPr>
                <w:rFonts w:ascii="Arial" w:cs="Arial" w:eastAsia="Arial" w:hAnsi="Arial"/>
                <w:sz w:val="22"/>
                <w:szCs w:val="22"/>
                <w:color w:val="auto"/>
              </w:rPr>
              <w:t>2</w:t>
            </w:r>
          </w:p>
        </w:tc>
      </w:tr>
      <w:tr>
        <w:trPr>
          <w:trHeight w:val="270"/>
        </w:trPr>
        <w:tc>
          <w:tcPr>
            <w:tcW w:w="420" w:type="dxa"/>
            <w:vAlign w:val="bottom"/>
          </w:tcPr>
          <w:p>
            <w:pPr>
              <w:spacing w:after="0"/>
              <w:rPr>
                <w:sz w:val="23"/>
                <w:szCs w:val="23"/>
                <w:color w:val="auto"/>
              </w:rPr>
            </w:pPr>
          </w:p>
        </w:tc>
        <w:tc>
          <w:tcPr>
            <w:tcW w:w="740" w:type="dxa"/>
            <w:vAlign w:val="bottom"/>
          </w:tcPr>
          <w:p>
            <w:pPr>
              <w:ind w:left="240"/>
              <w:spacing w:after="0"/>
              <w:rPr>
                <w:sz w:val="20"/>
                <w:szCs w:val="20"/>
                <w:color w:val="auto"/>
              </w:rPr>
            </w:pPr>
            <w:r>
              <w:rPr>
                <w:rFonts w:ascii="Arial" w:cs="Arial" w:eastAsia="Arial" w:hAnsi="Arial"/>
                <w:sz w:val="22"/>
                <w:szCs w:val="22"/>
                <w:color w:val="auto"/>
              </w:rPr>
              <w:t>2.11</w:t>
            </w:r>
          </w:p>
        </w:tc>
        <w:tc>
          <w:tcPr>
            <w:tcW w:w="2360" w:type="dxa"/>
            <w:vAlign w:val="bottom"/>
          </w:tcPr>
          <w:p>
            <w:pPr>
              <w:ind w:left="140"/>
              <w:spacing w:after="0"/>
              <w:rPr>
                <w:sz w:val="20"/>
                <w:szCs w:val="20"/>
                <w:color w:val="auto"/>
              </w:rPr>
            </w:pPr>
            <w:r>
              <w:rPr>
                <w:rFonts w:ascii="Arial" w:cs="Arial" w:eastAsia="Arial" w:hAnsi="Arial"/>
                <w:sz w:val="22"/>
                <w:szCs w:val="22"/>
                <w:color w:val="auto"/>
              </w:rPr>
              <w:t>“Fair Market Value”</w:t>
            </w:r>
          </w:p>
        </w:tc>
        <w:tc>
          <w:tcPr>
            <w:tcW w:w="400" w:type="dxa"/>
            <w:vAlign w:val="bottom"/>
          </w:tcPr>
          <w:p>
            <w:pPr>
              <w:spacing w:after="0"/>
              <w:rPr>
                <w:sz w:val="23"/>
                <w:szCs w:val="23"/>
                <w:color w:val="auto"/>
              </w:rPr>
            </w:pPr>
          </w:p>
        </w:tc>
        <w:tc>
          <w:tcPr>
            <w:tcW w:w="2960" w:type="dxa"/>
            <w:vAlign w:val="bottom"/>
          </w:tcPr>
          <w:p>
            <w:pPr>
              <w:jc w:val="right"/>
              <w:ind w:right="1792"/>
              <w:spacing w:after="0"/>
              <w:rPr>
                <w:sz w:val="20"/>
                <w:szCs w:val="20"/>
                <w:color w:val="auto"/>
              </w:rPr>
            </w:pPr>
            <w:r>
              <w:rPr>
                <w:rFonts w:ascii="Arial" w:cs="Arial" w:eastAsia="Arial" w:hAnsi="Arial"/>
                <w:sz w:val="22"/>
                <w:szCs w:val="22"/>
                <w:color w:val="auto"/>
              </w:rPr>
              <w:t>2</w:t>
            </w:r>
          </w:p>
        </w:tc>
      </w:tr>
      <w:tr>
        <w:trPr>
          <w:trHeight w:val="270"/>
        </w:trPr>
        <w:tc>
          <w:tcPr>
            <w:tcW w:w="420" w:type="dxa"/>
            <w:vAlign w:val="bottom"/>
          </w:tcPr>
          <w:p>
            <w:pPr>
              <w:spacing w:after="0"/>
              <w:rPr>
                <w:sz w:val="23"/>
                <w:szCs w:val="23"/>
                <w:color w:val="auto"/>
              </w:rPr>
            </w:pPr>
          </w:p>
        </w:tc>
        <w:tc>
          <w:tcPr>
            <w:tcW w:w="740" w:type="dxa"/>
            <w:vAlign w:val="bottom"/>
          </w:tcPr>
          <w:p>
            <w:pPr>
              <w:ind w:left="240"/>
              <w:spacing w:after="0"/>
              <w:rPr>
                <w:sz w:val="20"/>
                <w:szCs w:val="20"/>
                <w:color w:val="auto"/>
              </w:rPr>
            </w:pPr>
            <w:r>
              <w:rPr>
                <w:rFonts w:ascii="Arial" w:cs="Arial" w:eastAsia="Arial" w:hAnsi="Arial"/>
                <w:sz w:val="22"/>
                <w:szCs w:val="22"/>
                <w:color w:val="auto"/>
              </w:rPr>
              <w:t>2.12</w:t>
            </w:r>
          </w:p>
        </w:tc>
        <w:tc>
          <w:tcPr>
            <w:tcW w:w="2360" w:type="dxa"/>
            <w:vAlign w:val="bottom"/>
          </w:tcPr>
          <w:p>
            <w:pPr>
              <w:ind w:left="140"/>
              <w:spacing w:after="0"/>
              <w:rPr>
                <w:sz w:val="20"/>
                <w:szCs w:val="20"/>
                <w:color w:val="auto"/>
              </w:rPr>
            </w:pPr>
            <w:r>
              <w:rPr>
                <w:rFonts w:ascii="Arial" w:cs="Arial" w:eastAsia="Arial" w:hAnsi="Arial"/>
                <w:sz w:val="22"/>
                <w:szCs w:val="22"/>
                <w:color w:val="auto"/>
              </w:rPr>
              <w:t>“Grant Date”</w:t>
            </w:r>
          </w:p>
        </w:tc>
        <w:tc>
          <w:tcPr>
            <w:tcW w:w="400" w:type="dxa"/>
            <w:vAlign w:val="bottom"/>
          </w:tcPr>
          <w:p>
            <w:pPr>
              <w:spacing w:after="0"/>
              <w:rPr>
                <w:sz w:val="23"/>
                <w:szCs w:val="23"/>
                <w:color w:val="auto"/>
              </w:rPr>
            </w:pPr>
          </w:p>
        </w:tc>
        <w:tc>
          <w:tcPr>
            <w:tcW w:w="2960" w:type="dxa"/>
            <w:vAlign w:val="bottom"/>
          </w:tcPr>
          <w:p>
            <w:pPr>
              <w:jc w:val="right"/>
              <w:ind w:right="2232"/>
              <w:spacing w:after="0"/>
              <w:rPr>
                <w:sz w:val="20"/>
                <w:szCs w:val="20"/>
                <w:color w:val="auto"/>
              </w:rPr>
            </w:pPr>
            <w:r>
              <w:rPr>
                <w:rFonts w:ascii="Arial" w:cs="Arial" w:eastAsia="Arial" w:hAnsi="Arial"/>
                <w:sz w:val="22"/>
                <w:szCs w:val="22"/>
                <w:color w:val="auto"/>
              </w:rPr>
              <w:t>2</w:t>
            </w:r>
          </w:p>
        </w:tc>
      </w:tr>
      <w:tr>
        <w:trPr>
          <w:trHeight w:val="270"/>
        </w:trPr>
        <w:tc>
          <w:tcPr>
            <w:tcW w:w="420" w:type="dxa"/>
            <w:vAlign w:val="bottom"/>
          </w:tcPr>
          <w:p>
            <w:pPr>
              <w:spacing w:after="0"/>
              <w:rPr>
                <w:sz w:val="23"/>
                <w:szCs w:val="23"/>
                <w:color w:val="auto"/>
              </w:rPr>
            </w:pPr>
          </w:p>
        </w:tc>
        <w:tc>
          <w:tcPr>
            <w:tcW w:w="740" w:type="dxa"/>
            <w:vAlign w:val="bottom"/>
          </w:tcPr>
          <w:p>
            <w:pPr>
              <w:ind w:left="240"/>
              <w:spacing w:after="0"/>
              <w:rPr>
                <w:sz w:val="20"/>
                <w:szCs w:val="20"/>
                <w:color w:val="auto"/>
              </w:rPr>
            </w:pPr>
            <w:r>
              <w:rPr>
                <w:rFonts w:ascii="Arial" w:cs="Arial" w:eastAsia="Arial" w:hAnsi="Arial"/>
                <w:sz w:val="22"/>
                <w:szCs w:val="22"/>
                <w:color w:val="auto"/>
              </w:rPr>
              <w:t>2.13</w:t>
            </w:r>
          </w:p>
        </w:tc>
        <w:tc>
          <w:tcPr>
            <w:tcW w:w="2360" w:type="dxa"/>
            <w:vAlign w:val="bottom"/>
          </w:tcPr>
          <w:p>
            <w:pPr>
              <w:ind w:left="140"/>
              <w:spacing w:after="0"/>
              <w:rPr>
                <w:sz w:val="20"/>
                <w:szCs w:val="20"/>
                <w:color w:val="auto"/>
              </w:rPr>
            </w:pPr>
            <w:r>
              <w:rPr>
                <w:rFonts w:ascii="Arial" w:cs="Arial" w:eastAsia="Arial" w:hAnsi="Arial"/>
                <w:sz w:val="22"/>
                <w:szCs w:val="22"/>
                <w:color w:val="auto"/>
              </w:rPr>
              <w:t>“Investment Account”</w:t>
            </w:r>
          </w:p>
        </w:tc>
        <w:tc>
          <w:tcPr>
            <w:tcW w:w="400" w:type="dxa"/>
            <w:vAlign w:val="bottom"/>
          </w:tcPr>
          <w:p>
            <w:pPr>
              <w:spacing w:after="0"/>
              <w:rPr>
                <w:sz w:val="23"/>
                <w:szCs w:val="23"/>
                <w:color w:val="auto"/>
              </w:rPr>
            </w:pPr>
          </w:p>
        </w:tc>
        <w:tc>
          <w:tcPr>
            <w:tcW w:w="2960" w:type="dxa"/>
            <w:vAlign w:val="bottom"/>
          </w:tcPr>
          <w:p>
            <w:pPr>
              <w:jc w:val="right"/>
              <w:ind w:right="1612"/>
              <w:spacing w:after="0"/>
              <w:rPr>
                <w:sz w:val="20"/>
                <w:szCs w:val="20"/>
                <w:color w:val="auto"/>
              </w:rPr>
            </w:pPr>
            <w:r>
              <w:rPr>
                <w:rFonts w:ascii="Arial" w:cs="Arial" w:eastAsia="Arial" w:hAnsi="Arial"/>
                <w:sz w:val="22"/>
                <w:szCs w:val="22"/>
                <w:color w:val="auto"/>
              </w:rPr>
              <w:t>2</w:t>
            </w:r>
          </w:p>
        </w:tc>
      </w:tr>
      <w:tr>
        <w:trPr>
          <w:trHeight w:val="270"/>
        </w:trPr>
        <w:tc>
          <w:tcPr>
            <w:tcW w:w="420" w:type="dxa"/>
            <w:vAlign w:val="bottom"/>
          </w:tcPr>
          <w:p>
            <w:pPr>
              <w:spacing w:after="0"/>
              <w:rPr>
                <w:sz w:val="23"/>
                <w:szCs w:val="23"/>
                <w:color w:val="auto"/>
              </w:rPr>
            </w:pPr>
          </w:p>
        </w:tc>
        <w:tc>
          <w:tcPr>
            <w:tcW w:w="740" w:type="dxa"/>
            <w:vAlign w:val="bottom"/>
          </w:tcPr>
          <w:p>
            <w:pPr>
              <w:ind w:left="240"/>
              <w:spacing w:after="0"/>
              <w:rPr>
                <w:sz w:val="20"/>
                <w:szCs w:val="20"/>
                <w:color w:val="auto"/>
              </w:rPr>
            </w:pPr>
            <w:r>
              <w:rPr>
                <w:rFonts w:ascii="Arial" w:cs="Arial" w:eastAsia="Arial" w:hAnsi="Arial"/>
                <w:sz w:val="22"/>
                <w:szCs w:val="22"/>
                <w:color w:val="auto"/>
              </w:rPr>
              <w:t>2.14</w:t>
            </w:r>
          </w:p>
        </w:tc>
        <w:tc>
          <w:tcPr>
            <w:tcW w:w="2360" w:type="dxa"/>
            <w:vAlign w:val="bottom"/>
          </w:tcPr>
          <w:p>
            <w:pPr>
              <w:ind w:left="140"/>
              <w:spacing w:after="0"/>
              <w:rPr>
                <w:sz w:val="20"/>
                <w:szCs w:val="20"/>
                <w:color w:val="auto"/>
              </w:rPr>
            </w:pPr>
            <w:r>
              <w:rPr>
                <w:rFonts w:ascii="Arial" w:cs="Arial" w:eastAsia="Arial" w:hAnsi="Arial"/>
                <w:sz w:val="22"/>
                <w:szCs w:val="22"/>
                <w:color w:val="auto"/>
              </w:rPr>
              <w:t>“Investment Date”</w:t>
            </w:r>
          </w:p>
        </w:tc>
        <w:tc>
          <w:tcPr>
            <w:tcW w:w="400" w:type="dxa"/>
            <w:vAlign w:val="bottom"/>
          </w:tcPr>
          <w:p>
            <w:pPr>
              <w:spacing w:after="0"/>
              <w:rPr>
                <w:sz w:val="23"/>
                <w:szCs w:val="23"/>
                <w:color w:val="auto"/>
              </w:rPr>
            </w:pPr>
          </w:p>
        </w:tc>
        <w:tc>
          <w:tcPr>
            <w:tcW w:w="2960" w:type="dxa"/>
            <w:vAlign w:val="bottom"/>
          </w:tcPr>
          <w:p>
            <w:pPr>
              <w:jc w:val="right"/>
              <w:ind w:right="1952"/>
              <w:spacing w:after="0"/>
              <w:rPr>
                <w:sz w:val="20"/>
                <w:szCs w:val="20"/>
                <w:color w:val="auto"/>
              </w:rPr>
            </w:pPr>
            <w:r>
              <w:rPr>
                <w:rFonts w:ascii="Arial" w:cs="Arial" w:eastAsia="Arial" w:hAnsi="Arial"/>
                <w:sz w:val="22"/>
                <w:szCs w:val="22"/>
                <w:color w:val="auto"/>
              </w:rPr>
              <w:t>2</w:t>
            </w:r>
          </w:p>
        </w:tc>
      </w:tr>
      <w:tr>
        <w:trPr>
          <w:trHeight w:val="270"/>
        </w:trPr>
        <w:tc>
          <w:tcPr>
            <w:tcW w:w="420" w:type="dxa"/>
            <w:vAlign w:val="bottom"/>
          </w:tcPr>
          <w:p>
            <w:pPr>
              <w:spacing w:after="0"/>
              <w:rPr>
                <w:sz w:val="23"/>
                <w:szCs w:val="23"/>
                <w:color w:val="auto"/>
              </w:rPr>
            </w:pPr>
          </w:p>
        </w:tc>
        <w:tc>
          <w:tcPr>
            <w:tcW w:w="740" w:type="dxa"/>
            <w:vAlign w:val="bottom"/>
          </w:tcPr>
          <w:p>
            <w:pPr>
              <w:ind w:left="240"/>
              <w:spacing w:after="0"/>
              <w:rPr>
                <w:sz w:val="20"/>
                <w:szCs w:val="20"/>
                <w:color w:val="auto"/>
              </w:rPr>
            </w:pPr>
            <w:r>
              <w:rPr>
                <w:rFonts w:ascii="Arial" w:cs="Arial" w:eastAsia="Arial" w:hAnsi="Arial"/>
                <w:sz w:val="22"/>
                <w:szCs w:val="22"/>
                <w:color w:val="auto"/>
              </w:rPr>
              <w:t>2.15</w:t>
            </w:r>
          </w:p>
        </w:tc>
        <w:tc>
          <w:tcPr>
            <w:tcW w:w="2360" w:type="dxa"/>
            <w:vAlign w:val="bottom"/>
          </w:tcPr>
          <w:p>
            <w:pPr>
              <w:ind w:left="140"/>
              <w:spacing w:after="0"/>
              <w:rPr>
                <w:sz w:val="20"/>
                <w:szCs w:val="20"/>
                <w:color w:val="auto"/>
              </w:rPr>
            </w:pPr>
            <w:r>
              <w:rPr>
                <w:rFonts w:ascii="Arial" w:cs="Arial" w:eastAsia="Arial" w:hAnsi="Arial"/>
                <w:sz w:val="22"/>
                <w:szCs w:val="22"/>
                <w:color w:val="auto"/>
              </w:rPr>
              <w:t>“Offering Period”</w:t>
            </w:r>
          </w:p>
        </w:tc>
        <w:tc>
          <w:tcPr>
            <w:tcW w:w="400" w:type="dxa"/>
            <w:vAlign w:val="bottom"/>
          </w:tcPr>
          <w:p>
            <w:pPr>
              <w:spacing w:after="0"/>
              <w:rPr>
                <w:sz w:val="23"/>
                <w:szCs w:val="23"/>
                <w:color w:val="auto"/>
              </w:rPr>
            </w:pPr>
          </w:p>
        </w:tc>
        <w:tc>
          <w:tcPr>
            <w:tcW w:w="2960" w:type="dxa"/>
            <w:vAlign w:val="bottom"/>
          </w:tcPr>
          <w:p>
            <w:pPr>
              <w:jc w:val="right"/>
              <w:ind w:right="2012"/>
              <w:spacing w:after="0"/>
              <w:rPr>
                <w:sz w:val="20"/>
                <w:szCs w:val="20"/>
                <w:color w:val="auto"/>
              </w:rPr>
            </w:pPr>
            <w:r>
              <w:rPr>
                <w:rFonts w:ascii="Arial" w:cs="Arial" w:eastAsia="Arial" w:hAnsi="Arial"/>
                <w:sz w:val="22"/>
                <w:szCs w:val="22"/>
                <w:color w:val="auto"/>
              </w:rPr>
              <w:t>2</w:t>
            </w:r>
          </w:p>
        </w:tc>
      </w:tr>
      <w:tr>
        <w:trPr>
          <w:trHeight w:val="270"/>
        </w:trPr>
        <w:tc>
          <w:tcPr>
            <w:tcW w:w="420" w:type="dxa"/>
            <w:vAlign w:val="bottom"/>
          </w:tcPr>
          <w:p>
            <w:pPr>
              <w:spacing w:after="0"/>
              <w:rPr>
                <w:sz w:val="23"/>
                <w:szCs w:val="23"/>
                <w:color w:val="auto"/>
              </w:rPr>
            </w:pPr>
          </w:p>
        </w:tc>
        <w:tc>
          <w:tcPr>
            <w:tcW w:w="740" w:type="dxa"/>
            <w:vAlign w:val="bottom"/>
          </w:tcPr>
          <w:p>
            <w:pPr>
              <w:ind w:left="240"/>
              <w:spacing w:after="0"/>
              <w:rPr>
                <w:sz w:val="20"/>
                <w:szCs w:val="20"/>
                <w:color w:val="auto"/>
              </w:rPr>
            </w:pPr>
            <w:r>
              <w:rPr>
                <w:rFonts w:ascii="Arial" w:cs="Arial" w:eastAsia="Arial" w:hAnsi="Arial"/>
                <w:sz w:val="22"/>
                <w:szCs w:val="22"/>
                <w:color w:val="auto"/>
              </w:rPr>
              <w:t>2.16</w:t>
            </w:r>
          </w:p>
        </w:tc>
        <w:tc>
          <w:tcPr>
            <w:tcW w:w="2360" w:type="dxa"/>
            <w:vAlign w:val="bottom"/>
          </w:tcPr>
          <w:p>
            <w:pPr>
              <w:ind w:left="140"/>
              <w:spacing w:after="0"/>
              <w:rPr>
                <w:sz w:val="20"/>
                <w:szCs w:val="20"/>
                <w:color w:val="auto"/>
              </w:rPr>
            </w:pPr>
            <w:r>
              <w:rPr>
                <w:rFonts w:ascii="Arial" w:cs="Arial" w:eastAsia="Arial" w:hAnsi="Arial"/>
                <w:sz w:val="22"/>
                <w:szCs w:val="22"/>
                <w:color w:val="auto"/>
              </w:rPr>
              <w:t>“Parent”</w:t>
            </w:r>
          </w:p>
        </w:tc>
        <w:tc>
          <w:tcPr>
            <w:tcW w:w="400" w:type="dxa"/>
            <w:vAlign w:val="bottom"/>
          </w:tcPr>
          <w:p>
            <w:pPr>
              <w:spacing w:after="0"/>
              <w:rPr>
                <w:sz w:val="23"/>
                <w:szCs w:val="23"/>
                <w:color w:val="auto"/>
              </w:rPr>
            </w:pPr>
          </w:p>
        </w:tc>
        <w:tc>
          <w:tcPr>
            <w:tcW w:w="2960" w:type="dxa"/>
            <w:vAlign w:val="bottom"/>
          </w:tcPr>
          <w:p>
            <w:pPr>
              <w:jc w:val="right"/>
              <w:ind w:right="2632"/>
              <w:spacing w:after="0"/>
              <w:rPr>
                <w:sz w:val="20"/>
                <w:szCs w:val="20"/>
                <w:color w:val="auto"/>
              </w:rPr>
            </w:pPr>
            <w:r>
              <w:rPr>
                <w:rFonts w:ascii="Arial" w:cs="Arial" w:eastAsia="Arial" w:hAnsi="Arial"/>
                <w:sz w:val="22"/>
                <w:szCs w:val="22"/>
                <w:color w:val="auto"/>
              </w:rPr>
              <w:t>2</w:t>
            </w:r>
          </w:p>
        </w:tc>
      </w:tr>
      <w:tr>
        <w:trPr>
          <w:trHeight w:val="270"/>
        </w:trPr>
        <w:tc>
          <w:tcPr>
            <w:tcW w:w="420" w:type="dxa"/>
            <w:vAlign w:val="bottom"/>
          </w:tcPr>
          <w:p>
            <w:pPr>
              <w:spacing w:after="0"/>
              <w:rPr>
                <w:sz w:val="23"/>
                <w:szCs w:val="23"/>
                <w:color w:val="auto"/>
              </w:rPr>
            </w:pPr>
          </w:p>
        </w:tc>
        <w:tc>
          <w:tcPr>
            <w:tcW w:w="740" w:type="dxa"/>
            <w:vAlign w:val="bottom"/>
          </w:tcPr>
          <w:p>
            <w:pPr>
              <w:ind w:left="240"/>
              <w:spacing w:after="0"/>
              <w:rPr>
                <w:sz w:val="20"/>
                <w:szCs w:val="20"/>
                <w:color w:val="auto"/>
              </w:rPr>
            </w:pPr>
            <w:r>
              <w:rPr>
                <w:rFonts w:ascii="Arial" w:cs="Arial" w:eastAsia="Arial" w:hAnsi="Arial"/>
                <w:sz w:val="22"/>
                <w:szCs w:val="22"/>
                <w:color w:val="auto"/>
              </w:rPr>
              <w:t>2.17</w:t>
            </w:r>
          </w:p>
        </w:tc>
        <w:tc>
          <w:tcPr>
            <w:tcW w:w="2360" w:type="dxa"/>
            <w:vAlign w:val="bottom"/>
          </w:tcPr>
          <w:p>
            <w:pPr>
              <w:ind w:left="140"/>
              <w:spacing w:after="0"/>
              <w:rPr>
                <w:sz w:val="20"/>
                <w:szCs w:val="20"/>
                <w:color w:val="auto"/>
              </w:rPr>
            </w:pPr>
            <w:r>
              <w:rPr>
                <w:rFonts w:ascii="Arial" w:cs="Arial" w:eastAsia="Arial" w:hAnsi="Arial"/>
                <w:sz w:val="22"/>
                <w:szCs w:val="22"/>
                <w:color w:val="auto"/>
              </w:rPr>
              <w:t>“Participant”</w:t>
            </w:r>
          </w:p>
        </w:tc>
        <w:tc>
          <w:tcPr>
            <w:tcW w:w="400" w:type="dxa"/>
            <w:vAlign w:val="bottom"/>
          </w:tcPr>
          <w:p>
            <w:pPr>
              <w:spacing w:after="0"/>
              <w:rPr>
                <w:sz w:val="23"/>
                <w:szCs w:val="23"/>
                <w:color w:val="auto"/>
              </w:rPr>
            </w:pPr>
          </w:p>
        </w:tc>
        <w:tc>
          <w:tcPr>
            <w:tcW w:w="2960" w:type="dxa"/>
            <w:vAlign w:val="bottom"/>
          </w:tcPr>
          <w:p>
            <w:pPr>
              <w:jc w:val="right"/>
              <w:ind w:right="2252"/>
              <w:spacing w:after="0"/>
              <w:rPr>
                <w:sz w:val="20"/>
                <w:szCs w:val="20"/>
                <w:color w:val="auto"/>
              </w:rPr>
            </w:pPr>
            <w:r>
              <w:rPr>
                <w:rFonts w:ascii="Arial" w:cs="Arial" w:eastAsia="Arial" w:hAnsi="Arial"/>
                <w:sz w:val="22"/>
                <w:szCs w:val="22"/>
                <w:color w:val="auto"/>
              </w:rPr>
              <w:t>2</w:t>
            </w:r>
          </w:p>
        </w:tc>
      </w:tr>
      <w:tr>
        <w:trPr>
          <w:trHeight w:val="270"/>
        </w:trPr>
        <w:tc>
          <w:tcPr>
            <w:tcW w:w="420" w:type="dxa"/>
            <w:vAlign w:val="bottom"/>
          </w:tcPr>
          <w:p>
            <w:pPr>
              <w:spacing w:after="0"/>
              <w:rPr>
                <w:sz w:val="23"/>
                <w:szCs w:val="23"/>
                <w:color w:val="auto"/>
              </w:rPr>
            </w:pPr>
          </w:p>
        </w:tc>
        <w:tc>
          <w:tcPr>
            <w:tcW w:w="740" w:type="dxa"/>
            <w:vAlign w:val="bottom"/>
          </w:tcPr>
          <w:p>
            <w:pPr>
              <w:ind w:left="240"/>
              <w:spacing w:after="0"/>
              <w:rPr>
                <w:sz w:val="20"/>
                <w:szCs w:val="20"/>
                <w:color w:val="auto"/>
              </w:rPr>
            </w:pPr>
            <w:r>
              <w:rPr>
                <w:rFonts w:ascii="Arial" w:cs="Arial" w:eastAsia="Arial" w:hAnsi="Arial"/>
                <w:sz w:val="22"/>
                <w:szCs w:val="22"/>
                <w:color w:val="auto"/>
              </w:rPr>
              <w:t>2.18</w:t>
            </w:r>
          </w:p>
        </w:tc>
        <w:tc>
          <w:tcPr>
            <w:tcW w:w="2760" w:type="dxa"/>
            <w:vAlign w:val="bottom"/>
            <w:gridSpan w:val="2"/>
          </w:tcPr>
          <w:p>
            <w:pPr>
              <w:ind w:left="140"/>
              <w:spacing w:after="0"/>
              <w:rPr>
                <w:sz w:val="20"/>
                <w:szCs w:val="20"/>
                <w:color w:val="auto"/>
              </w:rPr>
            </w:pPr>
            <w:r>
              <w:rPr>
                <w:rFonts w:ascii="Arial" w:cs="Arial" w:eastAsia="Arial" w:hAnsi="Arial"/>
                <w:sz w:val="22"/>
                <w:szCs w:val="22"/>
                <w:color w:val="auto"/>
                <w:w w:val="95"/>
              </w:rPr>
              <w:t>“Payroll Deduction Account”</w:t>
            </w:r>
          </w:p>
        </w:tc>
        <w:tc>
          <w:tcPr>
            <w:tcW w:w="2960" w:type="dxa"/>
            <w:vAlign w:val="bottom"/>
          </w:tcPr>
          <w:p>
            <w:pPr>
              <w:jc w:val="right"/>
              <w:ind w:right="1192"/>
              <w:spacing w:after="0"/>
              <w:rPr>
                <w:sz w:val="20"/>
                <w:szCs w:val="20"/>
                <w:color w:val="auto"/>
              </w:rPr>
            </w:pPr>
            <w:r>
              <w:rPr>
                <w:rFonts w:ascii="Arial" w:cs="Arial" w:eastAsia="Arial" w:hAnsi="Arial"/>
                <w:sz w:val="22"/>
                <w:szCs w:val="22"/>
                <w:color w:val="auto"/>
              </w:rPr>
              <w:t>2</w:t>
            </w:r>
          </w:p>
        </w:tc>
      </w:tr>
      <w:tr>
        <w:trPr>
          <w:trHeight w:val="270"/>
        </w:trPr>
        <w:tc>
          <w:tcPr>
            <w:tcW w:w="420" w:type="dxa"/>
            <w:vAlign w:val="bottom"/>
          </w:tcPr>
          <w:p>
            <w:pPr>
              <w:spacing w:after="0"/>
              <w:rPr>
                <w:sz w:val="23"/>
                <w:szCs w:val="23"/>
                <w:color w:val="auto"/>
              </w:rPr>
            </w:pPr>
          </w:p>
        </w:tc>
        <w:tc>
          <w:tcPr>
            <w:tcW w:w="740" w:type="dxa"/>
            <w:vAlign w:val="bottom"/>
          </w:tcPr>
          <w:p>
            <w:pPr>
              <w:ind w:left="240"/>
              <w:spacing w:after="0"/>
              <w:rPr>
                <w:sz w:val="20"/>
                <w:szCs w:val="20"/>
                <w:color w:val="auto"/>
              </w:rPr>
            </w:pPr>
            <w:r>
              <w:rPr>
                <w:rFonts w:ascii="Arial" w:cs="Arial" w:eastAsia="Arial" w:hAnsi="Arial"/>
                <w:sz w:val="22"/>
                <w:szCs w:val="22"/>
                <w:color w:val="auto"/>
              </w:rPr>
              <w:t>2.19</w:t>
            </w:r>
          </w:p>
        </w:tc>
        <w:tc>
          <w:tcPr>
            <w:tcW w:w="2360" w:type="dxa"/>
            <w:vAlign w:val="bottom"/>
          </w:tcPr>
          <w:p>
            <w:pPr>
              <w:ind w:left="140"/>
              <w:spacing w:after="0"/>
              <w:rPr>
                <w:sz w:val="20"/>
                <w:szCs w:val="20"/>
                <w:color w:val="auto"/>
              </w:rPr>
            </w:pPr>
            <w:r>
              <w:rPr>
                <w:rFonts w:ascii="Arial" w:cs="Arial" w:eastAsia="Arial" w:hAnsi="Arial"/>
                <w:sz w:val="22"/>
                <w:szCs w:val="22"/>
                <w:color w:val="auto"/>
              </w:rPr>
              <w:t>“Plan”</w:t>
            </w:r>
          </w:p>
        </w:tc>
        <w:tc>
          <w:tcPr>
            <w:tcW w:w="400" w:type="dxa"/>
            <w:vAlign w:val="bottom"/>
          </w:tcPr>
          <w:p>
            <w:pPr>
              <w:spacing w:after="0"/>
              <w:rPr>
                <w:sz w:val="23"/>
                <w:szCs w:val="23"/>
                <w:color w:val="auto"/>
              </w:rPr>
            </w:pPr>
          </w:p>
        </w:tc>
        <w:tc>
          <w:tcPr>
            <w:tcW w:w="2960" w:type="dxa"/>
            <w:vAlign w:val="bottom"/>
          </w:tcPr>
          <w:p>
            <w:pPr>
              <w:jc w:val="right"/>
              <w:ind w:right="2632"/>
              <w:spacing w:after="0"/>
              <w:rPr>
                <w:sz w:val="20"/>
                <w:szCs w:val="20"/>
                <w:color w:val="auto"/>
              </w:rPr>
            </w:pPr>
            <w:r>
              <w:rPr>
                <w:rFonts w:ascii="Arial" w:cs="Arial" w:eastAsia="Arial" w:hAnsi="Arial"/>
                <w:sz w:val="22"/>
                <w:szCs w:val="22"/>
                <w:color w:val="auto"/>
              </w:rPr>
              <w:t>2</w:t>
            </w:r>
          </w:p>
        </w:tc>
      </w:tr>
      <w:tr>
        <w:trPr>
          <w:trHeight w:val="270"/>
        </w:trPr>
        <w:tc>
          <w:tcPr>
            <w:tcW w:w="420" w:type="dxa"/>
            <w:vAlign w:val="bottom"/>
          </w:tcPr>
          <w:p>
            <w:pPr>
              <w:spacing w:after="0"/>
              <w:rPr>
                <w:sz w:val="23"/>
                <w:szCs w:val="23"/>
                <w:color w:val="auto"/>
              </w:rPr>
            </w:pPr>
          </w:p>
        </w:tc>
        <w:tc>
          <w:tcPr>
            <w:tcW w:w="740" w:type="dxa"/>
            <w:vAlign w:val="bottom"/>
          </w:tcPr>
          <w:p>
            <w:pPr>
              <w:ind w:left="240"/>
              <w:spacing w:after="0"/>
              <w:rPr>
                <w:sz w:val="20"/>
                <w:szCs w:val="20"/>
                <w:color w:val="auto"/>
              </w:rPr>
            </w:pPr>
            <w:r>
              <w:rPr>
                <w:rFonts w:ascii="Arial" w:cs="Arial" w:eastAsia="Arial" w:hAnsi="Arial"/>
                <w:sz w:val="22"/>
                <w:szCs w:val="22"/>
                <w:color w:val="auto"/>
              </w:rPr>
              <w:t>2.20</w:t>
            </w:r>
          </w:p>
        </w:tc>
        <w:tc>
          <w:tcPr>
            <w:tcW w:w="2360" w:type="dxa"/>
            <w:vAlign w:val="bottom"/>
          </w:tcPr>
          <w:p>
            <w:pPr>
              <w:ind w:left="140"/>
              <w:spacing w:after="0"/>
              <w:rPr>
                <w:sz w:val="20"/>
                <w:szCs w:val="20"/>
                <w:color w:val="auto"/>
              </w:rPr>
            </w:pPr>
            <w:r>
              <w:rPr>
                <w:rFonts w:ascii="Arial" w:cs="Arial" w:eastAsia="Arial" w:hAnsi="Arial"/>
                <w:sz w:val="22"/>
                <w:szCs w:val="22"/>
                <w:color w:val="auto"/>
              </w:rPr>
              <w:t>“Purchase Price”</w:t>
            </w:r>
          </w:p>
        </w:tc>
        <w:tc>
          <w:tcPr>
            <w:tcW w:w="400" w:type="dxa"/>
            <w:vAlign w:val="bottom"/>
          </w:tcPr>
          <w:p>
            <w:pPr>
              <w:spacing w:after="0"/>
              <w:rPr>
                <w:sz w:val="23"/>
                <w:szCs w:val="23"/>
                <w:color w:val="auto"/>
              </w:rPr>
            </w:pPr>
          </w:p>
        </w:tc>
        <w:tc>
          <w:tcPr>
            <w:tcW w:w="2960" w:type="dxa"/>
            <w:vAlign w:val="bottom"/>
          </w:tcPr>
          <w:p>
            <w:pPr>
              <w:ind w:left="660"/>
              <w:spacing w:after="0"/>
              <w:rPr>
                <w:sz w:val="20"/>
                <w:szCs w:val="20"/>
                <w:color w:val="auto"/>
              </w:rPr>
            </w:pPr>
            <w:r>
              <w:rPr>
                <w:rFonts w:ascii="Arial" w:cs="Arial" w:eastAsia="Arial" w:hAnsi="Arial"/>
                <w:sz w:val="22"/>
                <w:szCs w:val="22"/>
                <w:color w:val="auto"/>
              </w:rPr>
              <w:t>3</w:t>
            </w:r>
          </w:p>
        </w:tc>
      </w:tr>
      <w:tr>
        <w:trPr>
          <w:trHeight w:val="270"/>
        </w:trPr>
        <w:tc>
          <w:tcPr>
            <w:tcW w:w="420" w:type="dxa"/>
            <w:vAlign w:val="bottom"/>
          </w:tcPr>
          <w:p>
            <w:pPr>
              <w:spacing w:after="0"/>
              <w:rPr>
                <w:sz w:val="23"/>
                <w:szCs w:val="23"/>
                <w:color w:val="auto"/>
              </w:rPr>
            </w:pPr>
          </w:p>
        </w:tc>
        <w:tc>
          <w:tcPr>
            <w:tcW w:w="740" w:type="dxa"/>
            <w:vAlign w:val="bottom"/>
          </w:tcPr>
          <w:p>
            <w:pPr>
              <w:ind w:left="240"/>
              <w:spacing w:after="0"/>
              <w:rPr>
                <w:sz w:val="20"/>
                <w:szCs w:val="20"/>
                <w:color w:val="auto"/>
              </w:rPr>
            </w:pPr>
            <w:r>
              <w:rPr>
                <w:rFonts w:ascii="Arial" w:cs="Arial" w:eastAsia="Arial" w:hAnsi="Arial"/>
                <w:sz w:val="22"/>
                <w:szCs w:val="22"/>
                <w:color w:val="auto"/>
              </w:rPr>
              <w:t>2.21</w:t>
            </w:r>
          </w:p>
        </w:tc>
        <w:tc>
          <w:tcPr>
            <w:tcW w:w="2360" w:type="dxa"/>
            <w:vAlign w:val="bottom"/>
          </w:tcPr>
          <w:p>
            <w:pPr>
              <w:ind w:left="140"/>
              <w:spacing w:after="0"/>
              <w:rPr>
                <w:sz w:val="20"/>
                <w:szCs w:val="20"/>
                <w:color w:val="auto"/>
              </w:rPr>
            </w:pPr>
            <w:r>
              <w:rPr>
                <w:rFonts w:ascii="Arial" w:cs="Arial" w:eastAsia="Arial" w:hAnsi="Arial"/>
                <w:sz w:val="22"/>
                <w:szCs w:val="22"/>
                <w:color w:val="auto"/>
              </w:rPr>
              <w:t>“Subsidiary”</w:t>
            </w:r>
          </w:p>
        </w:tc>
        <w:tc>
          <w:tcPr>
            <w:tcW w:w="400" w:type="dxa"/>
            <w:vAlign w:val="bottom"/>
          </w:tcPr>
          <w:p>
            <w:pPr>
              <w:spacing w:after="0"/>
              <w:rPr>
                <w:sz w:val="23"/>
                <w:szCs w:val="23"/>
                <w:color w:val="auto"/>
              </w:rPr>
            </w:pPr>
          </w:p>
        </w:tc>
        <w:tc>
          <w:tcPr>
            <w:tcW w:w="2960" w:type="dxa"/>
            <w:vAlign w:val="bottom"/>
          </w:tcPr>
          <w:p>
            <w:pPr>
              <w:jc w:val="right"/>
              <w:ind w:right="2272"/>
              <w:spacing w:after="0"/>
              <w:rPr>
                <w:sz w:val="20"/>
                <w:szCs w:val="20"/>
                <w:color w:val="auto"/>
              </w:rPr>
            </w:pPr>
            <w:r>
              <w:rPr>
                <w:rFonts w:ascii="Arial" w:cs="Arial" w:eastAsia="Arial" w:hAnsi="Arial"/>
                <w:sz w:val="22"/>
                <w:szCs w:val="22"/>
                <w:color w:val="auto"/>
              </w:rPr>
              <w:t>3</w:t>
            </w:r>
          </w:p>
        </w:tc>
      </w:tr>
      <w:tr>
        <w:trPr>
          <w:trHeight w:val="275"/>
        </w:trPr>
        <w:tc>
          <w:tcPr>
            <w:tcW w:w="420" w:type="dxa"/>
            <w:vAlign w:val="bottom"/>
          </w:tcPr>
          <w:p>
            <w:pPr>
              <w:spacing w:after="0"/>
              <w:rPr>
                <w:sz w:val="23"/>
                <w:szCs w:val="23"/>
                <w:color w:val="auto"/>
              </w:rPr>
            </w:pPr>
          </w:p>
        </w:tc>
        <w:tc>
          <w:tcPr>
            <w:tcW w:w="740" w:type="dxa"/>
            <w:vAlign w:val="bottom"/>
          </w:tcPr>
          <w:p>
            <w:pPr>
              <w:ind w:left="240"/>
              <w:spacing w:after="0"/>
              <w:rPr>
                <w:sz w:val="20"/>
                <w:szCs w:val="20"/>
                <w:color w:val="auto"/>
              </w:rPr>
            </w:pPr>
            <w:r>
              <w:rPr>
                <w:rFonts w:ascii="Arial" w:cs="Arial" w:eastAsia="Arial" w:hAnsi="Arial"/>
                <w:sz w:val="22"/>
                <w:szCs w:val="22"/>
                <w:color w:val="auto"/>
              </w:rPr>
              <w:t>2.22</w:t>
            </w:r>
          </w:p>
        </w:tc>
        <w:tc>
          <w:tcPr>
            <w:tcW w:w="2360" w:type="dxa"/>
            <w:vAlign w:val="bottom"/>
          </w:tcPr>
          <w:p>
            <w:pPr>
              <w:ind w:left="140"/>
              <w:spacing w:after="0"/>
              <w:rPr>
                <w:sz w:val="20"/>
                <w:szCs w:val="20"/>
                <w:color w:val="auto"/>
              </w:rPr>
            </w:pPr>
            <w:r>
              <w:rPr>
                <w:rFonts w:ascii="Arial" w:cs="Arial" w:eastAsia="Arial" w:hAnsi="Arial"/>
                <w:sz w:val="22"/>
                <w:szCs w:val="22"/>
                <w:color w:val="auto"/>
              </w:rPr>
              <w:t>“Trading Day”</w:t>
            </w:r>
          </w:p>
        </w:tc>
        <w:tc>
          <w:tcPr>
            <w:tcW w:w="400" w:type="dxa"/>
            <w:vAlign w:val="bottom"/>
          </w:tcPr>
          <w:p>
            <w:pPr>
              <w:spacing w:after="0"/>
              <w:rPr>
                <w:sz w:val="23"/>
                <w:szCs w:val="23"/>
                <w:color w:val="auto"/>
              </w:rPr>
            </w:pPr>
          </w:p>
        </w:tc>
        <w:tc>
          <w:tcPr>
            <w:tcW w:w="2960" w:type="dxa"/>
            <w:vAlign w:val="bottom"/>
          </w:tcPr>
          <w:p>
            <w:pPr>
              <w:jc w:val="right"/>
              <w:ind w:right="2232"/>
              <w:spacing w:after="0"/>
              <w:rPr>
                <w:sz w:val="20"/>
                <w:szCs w:val="20"/>
                <w:color w:val="auto"/>
              </w:rPr>
            </w:pPr>
            <w:r>
              <w:rPr>
                <w:rFonts w:ascii="Arial" w:cs="Arial" w:eastAsia="Arial" w:hAnsi="Arial"/>
                <w:sz w:val="22"/>
                <w:szCs w:val="22"/>
                <w:color w:val="auto"/>
              </w:rPr>
              <w:t>3</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60" w:type="dxa"/>
            <w:vAlign w:val="bottom"/>
          </w:tcPr>
          <w:p>
            <w:pPr>
              <w:spacing w:after="0"/>
              <w:rPr>
                <w:sz w:val="20"/>
                <w:szCs w:val="20"/>
                <w:color w:val="auto"/>
              </w:rPr>
            </w:pPr>
            <w:r>
              <w:rPr>
                <w:rFonts w:ascii="Arial" w:cs="Arial" w:eastAsia="Arial" w:hAnsi="Arial"/>
                <w:sz w:val="22"/>
                <w:szCs w:val="22"/>
                <w:color w:val="auto"/>
              </w:rPr>
              <w:t>3.</w:t>
            </w:r>
          </w:p>
        </w:tc>
        <w:tc>
          <w:tcPr>
            <w:tcW w:w="2860" w:type="dxa"/>
            <w:vAlign w:val="bottom"/>
          </w:tcPr>
          <w:p>
            <w:pPr>
              <w:ind w:left="200"/>
              <w:spacing w:after="0"/>
              <w:rPr>
                <w:sz w:val="20"/>
                <w:szCs w:val="20"/>
                <w:color w:val="auto"/>
              </w:rPr>
            </w:pPr>
            <w:r>
              <w:rPr>
                <w:rFonts w:ascii="Arial" w:cs="Arial" w:eastAsia="Arial" w:hAnsi="Arial"/>
                <w:sz w:val="22"/>
                <w:szCs w:val="22"/>
                <w:color w:val="auto"/>
              </w:rPr>
              <w:t>Shares for the Plan</w:t>
            </w:r>
          </w:p>
        </w:tc>
        <w:tc>
          <w:tcPr>
            <w:tcW w:w="2240" w:type="dxa"/>
            <w:vAlign w:val="bottom"/>
          </w:tcPr>
          <w:p>
            <w:pPr>
              <w:jc w:val="right"/>
              <w:ind w:right="1072"/>
              <w:spacing w:after="0"/>
              <w:rPr>
                <w:sz w:val="20"/>
                <w:szCs w:val="20"/>
                <w:color w:val="auto"/>
              </w:rPr>
            </w:pPr>
            <w:r>
              <w:rPr>
                <w:rFonts w:ascii="Arial" w:cs="Arial" w:eastAsia="Arial" w:hAnsi="Arial"/>
                <w:sz w:val="22"/>
                <w:szCs w:val="22"/>
                <w:color w:val="auto"/>
              </w:rPr>
              <w:t>3</w:t>
            </w:r>
          </w:p>
        </w:tc>
        <w:tc>
          <w:tcPr>
            <w:tcW w:w="840" w:type="dxa"/>
            <w:vAlign w:val="bottom"/>
          </w:tcPr>
          <w:p>
            <w:pPr>
              <w:spacing w:after="0"/>
              <w:rPr>
                <w:sz w:val="23"/>
                <w:szCs w:val="23"/>
                <w:color w:val="auto"/>
              </w:rPr>
            </w:pPr>
          </w:p>
        </w:tc>
      </w:tr>
      <w:tr>
        <w:trPr>
          <w:trHeight w:val="486"/>
        </w:trPr>
        <w:tc>
          <w:tcPr>
            <w:tcW w:w="460" w:type="dxa"/>
            <w:vAlign w:val="bottom"/>
          </w:tcPr>
          <w:p>
            <w:pPr>
              <w:spacing w:after="0"/>
              <w:rPr>
                <w:sz w:val="20"/>
                <w:szCs w:val="20"/>
                <w:color w:val="auto"/>
              </w:rPr>
            </w:pPr>
            <w:r>
              <w:rPr>
                <w:rFonts w:ascii="Arial" w:cs="Arial" w:eastAsia="Arial" w:hAnsi="Arial"/>
                <w:sz w:val="22"/>
                <w:szCs w:val="22"/>
                <w:color w:val="auto"/>
              </w:rPr>
              <w:t>4.</w:t>
            </w:r>
          </w:p>
        </w:tc>
        <w:tc>
          <w:tcPr>
            <w:tcW w:w="2860" w:type="dxa"/>
            <w:vAlign w:val="bottom"/>
          </w:tcPr>
          <w:p>
            <w:pPr>
              <w:ind w:left="200"/>
              <w:spacing w:after="0"/>
              <w:rPr>
                <w:sz w:val="20"/>
                <w:szCs w:val="20"/>
                <w:color w:val="auto"/>
              </w:rPr>
            </w:pPr>
            <w:r>
              <w:rPr>
                <w:rFonts w:ascii="Arial" w:cs="Arial" w:eastAsia="Arial" w:hAnsi="Arial"/>
                <w:sz w:val="22"/>
                <w:szCs w:val="22"/>
                <w:color w:val="auto"/>
              </w:rPr>
              <w:t>Administration of the Plan</w:t>
            </w:r>
          </w:p>
        </w:tc>
        <w:tc>
          <w:tcPr>
            <w:tcW w:w="2240" w:type="dxa"/>
            <w:vAlign w:val="bottom"/>
          </w:tcPr>
          <w:p>
            <w:pPr>
              <w:jc w:val="right"/>
              <w:ind w:right="592"/>
              <w:spacing w:after="0"/>
              <w:rPr>
                <w:sz w:val="20"/>
                <w:szCs w:val="20"/>
                <w:color w:val="auto"/>
              </w:rPr>
            </w:pPr>
            <w:r>
              <w:rPr>
                <w:rFonts w:ascii="Arial" w:cs="Arial" w:eastAsia="Arial" w:hAnsi="Arial"/>
                <w:sz w:val="22"/>
                <w:szCs w:val="22"/>
                <w:color w:val="auto"/>
              </w:rPr>
              <w:t>3</w:t>
            </w:r>
          </w:p>
        </w:tc>
        <w:tc>
          <w:tcPr>
            <w:tcW w:w="840" w:type="dxa"/>
            <w:vAlign w:val="bottom"/>
          </w:tcPr>
          <w:p>
            <w:pPr>
              <w:spacing w:after="0"/>
              <w:rPr>
                <w:sz w:val="24"/>
                <w:szCs w:val="24"/>
                <w:color w:val="auto"/>
              </w:rPr>
            </w:pPr>
          </w:p>
        </w:tc>
      </w:tr>
      <w:tr>
        <w:trPr>
          <w:trHeight w:val="486"/>
        </w:trPr>
        <w:tc>
          <w:tcPr>
            <w:tcW w:w="460" w:type="dxa"/>
            <w:vAlign w:val="bottom"/>
          </w:tcPr>
          <w:p>
            <w:pPr>
              <w:spacing w:after="0"/>
              <w:rPr>
                <w:sz w:val="20"/>
                <w:szCs w:val="20"/>
                <w:color w:val="auto"/>
              </w:rPr>
            </w:pPr>
            <w:r>
              <w:rPr>
                <w:rFonts w:ascii="Arial" w:cs="Arial" w:eastAsia="Arial" w:hAnsi="Arial"/>
                <w:sz w:val="22"/>
                <w:szCs w:val="22"/>
                <w:color w:val="auto"/>
              </w:rPr>
              <w:t>5.</w:t>
            </w:r>
          </w:p>
        </w:tc>
        <w:tc>
          <w:tcPr>
            <w:tcW w:w="2860" w:type="dxa"/>
            <w:vAlign w:val="bottom"/>
          </w:tcPr>
          <w:p>
            <w:pPr>
              <w:ind w:left="200"/>
              <w:spacing w:after="0"/>
              <w:rPr>
                <w:sz w:val="20"/>
                <w:szCs w:val="20"/>
                <w:color w:val="auto"/>
              </w:rPr>
            </w:pPr>
            <w:r>
              <w:rPr>
                <w:rFonts w:ascii="Arial" w:cs="Arial" w:eastAsia="Arial" w:hAnsi="Arial"/>
                <w:sz w:val="22"/>
                <w:szCs w:val="22"/>
                <w:color w:val="auto"/>
              </w:rPr>
              <w:t>Eligibility</w:t>
            </w:r>
          </w:p>
        </w:tc>
        <w:tc>
          <w:tcPr>
            <w:tcW w:w="2240" w:type="dxa"/>
            <w:vAlign w:val="bottom"/>
          </w:tcPr>
          <w:p>
            <w:pPr>
              <w:jc w:val="right"/>
              <w:ind w:right="1652"/>
              <w:spacing w:after="0"/>
              <w:rPr>
                <w:sz w:val="20"/>
                <w:szCs w:val="20"/>
                <w:color w:val="auto"/>
              </w:rPr>
            </w:pPr>
            <w:r>
              <w:rPr>
                <w:rFonts w:ascii="Arial" w:cs="Arial" w:eastAsia="Arial" w:hAnsi="Arial"/>
                <w:sz w:val="22"/>
                <w:szCs w:val="22"/>
                <w:color w:val="auto"/>
              </w:rPr>
              <w:t>3</w:t>
            </w:r>
          </w:p>
        </w:tc>
        <w:tc>
          <w:tcPr>
            <w:tcW w:w="840" w:type="dxa"/>
            <w:vAlign w:val="bottom"/>
          </w:tcPr>
          <w:p>
            <w:pPr>
              <w:spacing w:after="0"/>
              <w:rPr>
                <w:sz w:val="24"/>
                <w:szCs w:val="24"/>
                <w:color w:val="auto"/>
              </w:rPr>
            </w:pPr>
          </w:p>
        </w:tc>
      </w:tr>
      <w:tr>
        <w:trPr>
          <w:trHeight w:val="486"/>
        </w:trPr>
        <w:tc>
          <w:tcPr>
            <w:tcW w:w="460" w:type="dxa"/>
            <w:vAlign w:val="bottom"/>
          </w:tcPr>
          <w:p>
            <w:pPr>
              <w:spacing w:after="0"/>
              <w:rPr>
                <w:sz w:val="20"/>
                <w:szCs w:val="20"/>
                <w:color w:val="auto"/>
              </w:rPr>
            </w:pPr>
            <w:r>
              <w:rPr>
                <w:rFonts w:ascii="Arial" w:cs="Arial" w:eastAsia="Arial" w:hAnsi="Arial"/>
                <w:sz w:val="22"/>
                <w:szCs w:val="22"/>
                <w:color w:val="auto"/>
              </w:rPr>
              <w:t>6.</w:t>
            </w:r>
          </w:p>
        </w:tc>
        <w:tc>
          <w:tcPr>
            <w:tcW w:w="2860" w:type="dxa"/>
            <w:vAlign w:val="bottom"/>
          </w:tcPr>
          <w:p>
            <w:pPr>
              <w:ind w:left="200"/>
              <w:spacing w:after="0"/>
              <w:rPr>
                <w:sz w:val="20"/>
                <w:szCs w:val="20"/>
                <w:color w:val="auto"/>
              </w:rPr>
            </w:pPr>
            <w:r>
              <w:rPr>
                <w:rFonts w:ascii="Arial" w:cs="Arial" w:eastAsia="Arial" w:hAnsi="Arial"/>
                <w:sz w:val="22"/>
                <w:szCs w:val="22"/>
                <w:color w:val="auto"/>
              </w:rPr>
              <w:t>Election to Participate</w:t>
            </w:r>
          </w:p>
        </w:tc>
        <w:tc>
          <w:tcPr>
            <w:tcW w:w="2240" w:type="dxa"/>
            <w:vAlign w:val="bottom"/>
          </w:tcPr>
          <w:p>
            <w:pPr>
              <w:jc w:val="right"/>
              <w:ind w:right="792"/>
              <w:spacing w:after="0"/>
              <w:rPr>
                <w:sz w:val="20"/>
                <w:szCs w:val="20"/>
                <w:color w:val="auto"/>
              </w:rPr>
            </w:pPr>
            <w:r>
              <w:rPr>
                <w:rFonts w:ascii="Arial" w:cs="Arial" w:eastAsia="Arial" w:hAnsi="Arial"/>
                <w:sz w:val="22"/>
                <w:szCs w:val="22"/>
                <w:color w:val="auto"/>
              </w:rPr>
              <w:t>4</w:t>
            </w:r>
          </w:p>
        </w:tc>
        <w:tc>
          <w:tcPr>
            <w:tcW w:w="840" w:type="dxa"/>
            <w:vAlign w:val="bottom"/>
          </w:tcPr>
          <w:p>
            <w:pPr>
              <w:spacing w:after="0"/>
              <w:rPr>
                <w:sz w:val="24"/>
                <w:szCs w:val="24"/>
                <w:color w:val="auto"/>
              </w:rPr>
            </w:pPr>
          </w:p>
        </w:tc>
      </w:tr>
      <w:tr>
        <w:trPr>
          <w:trHeight w:val="486"/>
        </w:trPr>
        <w:tc>
          <w:tcPr>
            <w:tcW w:w="460" w:type="dxa"/>
            <w:vAlign w:val="bottom"/>
          </w:tcPr>
          <w:p>
            <w:pPr>
              <w:spacing w:after="0"/>
              <w:rPr>
                <w:sz w:val="20"/>
                <w:szCs w:val="20"/>
                <w:color w:val="auto"/>
              </w:rPr>
            </w:pPr>
            <w:r>
              <w:rPr>
                <w:rFonts w:ascii="Arial" w:cs="Arial" w:eastAsia="Arial" w:hAnsi="Arial"/>
                <w:sz w:val="22"/>
                <w:szCs w:val="22"/>
                <w:color w:val="auto"/>
              </w:rPr>
              <w:t>7.</w:t>
            </w:r>
          </w:p>
        </w:tc>
        <w:tc>
          <w:tcPr>
            <w:tcW w:w="5100" w:type="dxa"/>
            <w:vAlign w:val="bottom"/>
            <w:gridSpan w:val="2"/>
          </w:tcPr>
          <w:p>
            <w:pPr>
              <w:ind w:left="200"/>
              <w:spacing w:after="0"/>
              <w:rPr>
                <w:sz w:val="20"/>
                <w:szCs w:val="20"/>
                <w:color w:val="auto"/>
              </w:rPr>
            </w:pPr>
            <w:r>
              <w:rPr>
                <w:rFonts w:ascii="Arial" w:cs="Arial" w:eastAsia="Arial" w:hAnsi="Arial"/>
                <w:sz w:val="22"/>
                <w:szCs w:val="22"/>
                <w:color w:val="auto"/>
              </w:rPr>
              <w:t>Method of Purchase and Investment Accounts</w:t>
            </w:r>
          </w:p>
        </w:tc>
        <w:tc>
          <w:tcPr>
            <w:tcW w:w="840" w:type="dxa"/>
            <w:vAlign w:val="bottom"/>
          </w:tcPr>
          <w:p>
            <w:pPr>
              <w:jc w:val="right"/>
              <w:ind w:right="272"/>
              <w:spacing w:after="0"/>
              <w:rPr>
                <w:sz w:val="20"/>
                <w:szCs w:val="20"/>
                <w:color w:val="auto"/>
              </w:rPr>
            </w:pPr>
            <w:r>
              <w:rPr>
                <w:rFonts w:ascii="Arial" w:cs="Arial" w:eastAsia="Arial" w:hAnsi="Arial"/>
                <w:sz w:val="22"/>
                <w:szCs w:val="22"/>
                <w:color w:val="auto"/>
              </w:rPr>
              <w:t>5</w:t>
            </w:r>
          </w:p>
        </w:tc>
      </w:tr>
      <w:tr>
        <w:trPr>
          <w:trHeight w:val="486"/>
        </w:trPr>
        <w:tc>
          <w:tcPr>
            <w:tcW w:w="460" w:type="dxa"/>
            <w:vAlign w:val="bottom"/>
          </w:tcPr>
          <w:p>
            <w:pPr>
              <w:spacing w:after="0"/>
              <w:rPr>
                <w:sz w:val="20"/>
                <w:szCs w:val="20"/>
                <w:color w:val="auto"/>
              </w:rPr>
            </w:pPr>
            <w:r>
              <w:rPr>
                <w:rFonts w:ascii="Arial" w:cs="Arial" w:eastAsia="Arial" w:hAnsi="Arial"/>
                <w:sz w:val="22"/>
                <w:szCs w:val="22"/>
                <w:color w:val="auto"/>
              </w:rPr>
              <w:t>8.</w:t>
            </w:r>
          </w:p>
        </w:tc>
        <w:tc>
          <w:tcPr>
            <w:tcW w:w="2860" w:type="dxa"/>
            <w:vAlign w:val="bottom"/>
          </w:tcPr>
          <w:p>
            <w:pPr>
              <w:ind w:left="200"/>
              <w:spacing w:after="0"/>
              <w:rPr>
                <w:sz w:val="20"/>
                <w:szCs w:val="20"/>
                <w:color w:val="auto"/>
              </w:rPr>
            </w:pPr>
            <w:r>
              <w:rPr>
                <w:rFonts w:ascii="Arial" w:cs="Arial" w:eastAsia="Arial" w:hAnsi="Arial"/>
                <w:sz w:val="22"/>
                <w:szCs w:val="22"/>
                <w:color w:val="auto"/>
              </w:rPr>
              <w:t>Stock Purchases</w:t>
            </w:r>
          </w:p>
        </w:tc>
        <w:tc>
          <w:tcPr>
            <w:tcW w:w="2240" w:type="dxa"/>
            <w:vAlign w:val="bottom"/>
          </w:tcPr>
          <w:p>
            <w:pPr>
              <w:jc w:val="right"/>
              <w:ind w:right="1292"/>
              <w:spacing w:after="0"/>
              <w:rPr>
                <w:sz w:val="20"/>
                <w:szCs w:val="20"/>
                <w:color w:val="auto"/>
              </w:rPr>
            </w:pPr>
            <w:r>
              <w:rPr>
                <w:rFonts w:ascii="Arial" w:cs="Arial" w:eastAsia="Arial" w:hAnsi="Arial"/>
                <w:sz w:val="22"/>
                <w:szCs w:val="22"/>
                <w:color w:val="auto"/>
              </w:rPr>
              <w:t>5</w:t>
            </w:r>
          </w:p>
        </w:tc>
        <w:tc>
          <w:tcPr>
            <w:tcW w:w="840" w:type="dxa"/>
            <w:vAlign w:val="bottom"/>
          </w:tcPr>
          <w:p>
            <w:pPr>
              <w:spacing w:after="0"/>
              <w:rPr>
                <w:sz w:val="24"/>
                <w:szCs w:val="24"/>
                <w:color w:val="auto"/>
              </w:rPr>
            </w:pPr>
          </w:p>
        </w:tc>
      </w:tr>
      <w:tr>
        <w:trPr>
          <w:trHeight w:val="486"/>
        </w:trPr>
        <w:tc>
          <w:tcPr>
            <w:tcW w:w="460" w:type="dxa"/>
            <w:vAlign w:val="bottom"/>
          </w:tcPr>
          <w:p>
            <w:pPr>
              <w:spacing w:after="0"/>
              <w:rPr>
                <w:sz w:val="20"/>
                <w:szCs w:val="20"/>
                <w:color w:val="auto"/>
              </w:rPr>
            </w:pPr>
            <w:r>
              <w:rPr>
                <w:rFonts w:ascii="Arial" w:cs="Arial" w:eastAsia="Arial" w:hAnsi="Arial"/>
                <w:sz w:val="22"/>
                <w:szCs w:val="22"/>
                <w:color w:val="auto"/>
              </w:rPr>
              <w:t>9.</w:t>
            </w:r>
          </w:p>
        </w:tc>
        <w:tc>
          <w:tcPr>
            <w:tcW w:w="2860" w:type="dxa"/>
            <w:vAlign w:val="bottom"/>
          </w:tcPr>
          <w:p>
            <w:pPr>
              <w:ind w:left="200"/>
              <w:spacing w:after="0"/>
              <w:rPr>
                <w:sz w:val="20"/>
                <w:szCs w:val="20"/>
                <w:color w:val="auto"/>
              </w:rPr>
            </w:pPr>
            <w:r>
              <w:rPr>
                <w:rFonts w:ascii="Arial" w:cs="Arial" w:eastAsia="Arial" w:hAnsi="Arial"/>
                <w:sz w:val="22"/>
                <w:szCs w:val="22"/>
                <w:color w:val="auto"/>
              </w:rPr>
              <w:t>Limitation on Purchases</w:t>
            </w:r>
          </w:p>
        </w:tc>
        <w:tc>
          <w:tcPr>
            <w:tcW w:w="2240" w:type="dxa"/>
            <w:vAlign w:val="bottom"/>
          </w:tcPr>
          <w:p>
            <w:pPr>
              <w:jc w:val="right"/>
              <w:ind w:right="792"/>
              <w:spacing w:after="0"/>
              <w:rPr>
                <w:sz w:val="20"/>
                <w:szCs w:val="20"/>
                <w:color w:val="auto"/>
              </w:rPr>
            </w:pPr>
            <w:r>
              <w:rPr>
                <w:rFonts w:ascii="Arial" w:cs="Arial" w:eastAsia="Arial" w:hAnsi="Arial"/>
                <w:sz w:val="22"/>
                <w:szCs w:val="22"/>
                <w:color w:val="auto"/>
              </w:rPr>
              <w:t>5</w:t>
            </w:r>
          </w:p>
        </w:tc>
        <w:tc>
          <w:tcPr>
            <w:tcW w:w="840" w:type="dxa"/>
            <w:vAlign w:val="bottom"/>
          </w:tcPr>
          <w:p>
            <w:pPr>
              <w:spacing w:after="0"/>
              <w:rPr>
                <w:sz w:val="24"/>
                <w:szCs w:val="24"/>
                <w:color w:val="auto"/>
              </w:rPr>
            </w:pPr>
          </w:p>
        </w:tc>
      </w:tr>
      <w:tr>
        <w:trPr>
          <w:trHeight w:val="486"/>
        </w:trPr>
        <w:tc>
          <w:tcPr>
            <w:tcW w:w="460" w:type="dxa"/>
            <w:vAlign w:val="bottom"/>
          </w:tcPr>
          <w:p>
            <w:pPr>
              <w:spacing w:after="0"/>
              <w:rPr>
                <w:sz w:val="20"/>
                <w:szCs w:val="20"/>
                <w:color w:val="auto"/>
              </w:rPr>
            </w:pPr>
            <w:r>
              <w:rPr>
                <w:rFonts w:ascii="Arial" w:cs="Arial" w:eastAsia="Arial" w:hAnsi="Arial"/>
                <w:sz w:val="22"/>
                <w:szCs w:val="22"/>
                <w:color w:val="auto"/>
              </w:rPr>
              <w:t>10.</w:t>
            </w:r>
          </w:p>
        </w:tc>
        <w:tc>
          <w:tcPr>
            <w:tcW w:w="2860" w:type="dxa"/>
            <w:vAlign w:val="bottom"/>
          </w:tcPr>
          <w:p>
            <w:pPr>
              <w:ind w:left="200"/>
              <w:spacing w:after="0"/>
              <w:rPr>
                <w:sz w:val="20"/>
                <w:szCs w:val="20"/>
                <w:color w:val="auto"/>
              </w:rPr>
            </w:pPr>
            <w:r>
              <w:rPr>
                <w:rFonts w:ascii="Arial" w:cs="Arial" w:eastAsia="Arial" w:hAnsi="Arial"/>
                <w:sz w:val="22"/>
                <w:szCs w:val="22"/>
                <w:color w:val="auto"/>
              </w:rPr>
              <w:t>Title of Accounts</w:t>
            </w:r>
          </w:p>
        </w:tc>
        <w:tc>
          <w:tcPr>
            <w:tcW w:w="2240" w:type="dxa"/>
            <w:vAlign w:val="bottom"/>
          </w:tcPr>
          <w:p>
            <w:pPr>
              <w:jc w:val="right"/>
              <w:ind w:right="1212"/>
              <w:spacing w:after="0"/>
              <w:rPr>
                <w:sz w:val="20"/>
                <w:szCs w:val="20"/>
                <w:color w:val="auto"/>
              </w:rPr>
            </w:pPr>
            <w:r>
              <w:rPr>
                <w:rFonts w:ascii="Arial" w:cs="Arial" w:eastAsia="Arial" w:hAnsi="Arial"/>
                <w:sz w:val="22"/>
                <w:szCs w:val="22"/>
                <w:color w:val="auto"/>
              </w:rPr>
              <w:t>6</w:t>
            </w:r>
          </w:p>
        </w:tc>
        <w:tc>
          <w:tcPr>
            <w:tcW w:w="840" w:type="dxa"/>
            <w:vAlign w:val="bottom"/>
          </w:tcPr>
          <w:p>
            <w:pPr>
              <w:spacing w:after="0"/>
              <w:rPr>
                <w:sz w:val="24"/>
                <w:szCs w:val="24"/>
                <w:color w:val="auto"/>
              </w:rPr>
            </w:pPr>
          </w:p>
        </w:tc>
      </w:tr>
      <w:tr>
        <w:trPr>
          <w:trHeight w:val="486"/>
        </w:trPr>
        <w:tc>
          <w:tcPr>
            <w:tcW w:w="460" w:type="dxa"/>
            <w:vAlign w:val="bottom"/>
          </w:tcPr>
          <w:p>
            <w:pPr>
              <w:spacing w:after="0"/>
              <w:rPr>
                <w:sz w:val="20"/>
                <w:szCs w:val="20"/>
                <w:color w:val="auto"/>
              </w:rPr>
            </w:pPr>
            <w:r>
              <w:rPr>
                <w:rFonts w:ascii="Arial" w:cs="Arial" w:eastAsia="Arial" w:hAnsi="Arial"/>
                <w:sz w:val="22"/>
                <w:szCs w:val="22"/>
                <w:color w:val="auto"/>
              </w:rPr>
              <w:t>11.</w:t>
            </w:r>
          </w:p>
        </w:tc>
        <w:tc>
          <w:tcPr>
            <w:tcW w:w="5100" w:type="dxa"/>
            <w:vAlign w:val="bottom"/>
            <w:gridSpan w:val="2"/>
          </w:tcPr>
          <w:p>
            <w:pPr>
              <w:ind w:left="200"/>
              <w:spacing w:after="0"/>
              <w:rPr>
                <w:sz w:val="20"/>
                <w:szCs w:val="20"/>
                <w:color w:val="auto"/>
              </w:rPr>
            </w:pPr>
            <w:r>
              <w:rPr>
                <w:rFonts w:ascii="Arial" w:cs="Arial" w:eastAsia="Arial" w:hAnsi="Arial"/>
                <w:sz w:val="22"/>
                <w:szCs w:val="22"/>
                <w:color w:val="auto"/>
                <w:w w:val="97"/>
              </w:rPr>
              <w:t>Right to Sell Company Stock in Investment Account</w:t>
            </w:r>
          </w:p>
        </w:tc>
        <w:tc>
          <w:tcPr>
            <w:tcW w:w="84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486"/>
        </w:trPr>
        <w:tc>
          <w:tcPr>
            <w:tcW w:w="460" w:type="dxa"/>
            <w:vAlign w:val="bottom"/>
          </w:tcPr>
          <w:p>
            <w:pPr>
              <w:spacing w:after="0"/>
              <w:rPr>
                <w:sz w:val="20"/>
                <w:szCs w:val="20"/>
                <w:color w:val="auto"/>
              </w:rPr>
            </w:pPr>
            <w:r>
              <w:rPr>
                <w:rFonts w:ascii="Arial" w:cs="Arial" w:eastAsia="Arial" w:hAnsi="Arial"/>
                <w:sz w:val="22"/>
                <w:szCs w:val="22"/>
                <w:color w:val="auto"/>
              </w:rPr>
              <w:t>12.</w:t>
            </w:r>
          </w:p>
        </w:tc>
        <w:tc>
          <w:tcPr>
            <w:tcW w:w="2860" w:type="dxa"/>
            <w:vAlign w:val="bottom"/>
          </w:tcPr>
          <w:p>
            <w:pPr>
              <w:ind w:left="200"/>
              <w:spacing w:after="0"/>
              <w:rPr>
                <w:sz w:val="20"/>
                <w:szCs w:val="20"/>
                <w:color w:val="auto"/>
              </w:rPr>
            </w:pPr>
            <w:r>
              <w:rPr>
                <w:rFonts w:ascii="Arial" w:cs="Arial" w:eastAsia="Arial" w:hAnsi="Arial"/>
                <w:sz w:val="22"/>
                <w:szCs w:val="22"/>
                <w:color w:val="auto"/>
              </w:rPr>
              <w:t>Rights Not Transferable</w:t>
            </w:r>
          </w:p>
        </w:tc>
        <w:tc>
          <w:tcPr>
            <w:tcW w:w="2240" w:type="dxa"/>
            <w:vAlign w:val="bottom"/>
          </w:tcPr>
          <w:p>
            <w:pPr>
              <w:jc w:val="right"/>
              <w:ind w:right="812"/>
              <w:spacing w:after="0"/>
              <w:rPr>
                <w:sz w:val="20"/>
                <w:szCs w:val="20"/>
                <w:color w:val="auto"/>
              </w:rPr>
            </w:pPr>
            <w:r>
              <w:rPr>
                <w:rFonts w:ascii="Arial" w:cs="Arial" w:eastAsia="Arial" w:hAnsi="Arial"/>
                <w:sz w:val="22"/>
                <w:szCs w:val="22"/>
                <w:color w:val="auto"/>
              </w:rPr>
              <w:t>6</w:t>
            </w:r>
          </w:p>
        </w:tc>
        <w:tc>
          <w:tcPr>
            <w:tcW w:w="8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219"/>
          </w:cols>
          <w:pgMar w:left="240" w:top="5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219"/>
          </w:cols>
          <w:pgMar w:left="240" w:top="585"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75"/>
        </w:trPr>
        <w:tc>
          <w:tcPr>
            <w:tcW w:w="460" w:type="dxa"/>
            <w:vAlign w:val="bottom"/>
          </w:tcPr>
          <w:p>
            <w:pPr>
              <w:jc w:val="right"/>
              <w:ind w:right="72"/>
              <w:spacing w:after="0"/>
              <w:rPr>
                <w:sz w:val="20"/>
                <w:szCs w:val="20"/>
                <w:color w:val="auto"/>
              </w:rPr>
            </w:pPr>
            <w:r>
              <w:rPr>
                <w:rFonts w:ascii="Arial" w:cs="Arial" w:eastAsia="Arial" w:hAnsi="Arial"/>
                <w:sz w:val="22"/>
                <w:szCs w:val="22"/>
                <w:color w:val="auto"/>
                <w:w w:val="84"/>
              </w:rPr>
              <w:t>13.</w:t>
            </w:r>
          </w:p>
        </w:tc>
        <w:tc>
          <w:tcPr>
            <w:tcW w:w="2960" w:type="dxa"/>
            <w:vAlign w:val="bottom"/>
          </w:tcPr>
          <w:p>
            <w:pPr>
              <w:ind w:left="200"/>
              <w:spacing w:after="0"/>
              <w:rPr>
                <w:sz w:val="20"/>
                <w:szCs w:val="20"/>
                <w:color w:val="auto"/>
              </w:rPr>
            </w:pPr>
            <w:r>
              <w:rPr>
                <w:rFonts w:ascii="Arial" w:cs="Arial" w:eastAsia="Arial" w:hAnsi="Arial"/>
                <w:sz w:val="22"/>
                <w:szCs w:val="22"/>
                <w:color w:val="auto"/>
              </w:rPr>
              <w:t>Change in Capital Structure</w:t>
            </w:r>
          </w:p>
        </w:tc>
        <w:tc>
          <w:tcPr>
            <w:tcW w:w="440" w:type="dxa"/>
            <w:vAlign w:val="bottom"/>
          </w:tcPr>
          <w:p>
            <w:pPr>
              <w:spacing w:after="0"/>
              <w:rPr>
                <w:sz w:val="23"/>
                <w:szCs w:val="23"/>
                <w:color w:val="auto"/>
              </w:rPr>
            </w:pPr>
          </w:p>
        </w:tc>
        <w:tc>
          <w:tcPr>
            <w:tcW w:w="1600" w:type="dxa"/>
            <w:vAlign w:val="bottom"/>
          </w:tcPr>
          <w:p>
            <w:pPr>
              <w:jc w:val="right"/>
              <w:ind w:right="372"/>
              <w:spacing w:after="0"/>
              <w:rPr>
                <w:sz w:val="20"/>
                <w:szCs w:val="20"/>
                <w:color w:val="auto"/>
              </w:rPr>
            </w:pPr>
            <w:r>
              <w:rPr>
                <w:rFonts w:ascii="Arial" w:cs="Arial" w:eastAsia="Arial" w:hAnsi="Arial"/>
                <w:sz w:val="22"/>
                <w:szCs w:val="22"/>
                <w:color w:val="auto"/>
              </w:rPr>
              <w:t>6</w:t>
            </w:r>
          </w:p>
        </w:tc>
      </w:tr>
      <w:tr>
        <w:trPr>
          <w:trHeight w:val="486"/>
        </w:trPr>
        <w:tc>
          <w:tcPr>
            <w:tcW w:w="460" w:type="dxa"/>
            <w:vAlign w:val="bottom"/>
          </w:tcPr>
          <w:p>
            <w:pPr>
              <w:jc w:val="right"/>
              <w:ind w:right="72"/>
              <w:spacing w:after="0"/>
              <w:rPr>
                <w:sz w:val="20"/>
                <w:szCs w:val="20"/>
                <w:color w:val="auto"/>
              </w:rPr>
            </w:pPr>
            <w:r>
              <w:rPr>
                <w:rFonts w:ascii="Arial" w:cs="Arial" w:eastAsia="Arial" w:hAnsi="Arial"/>
                <w:sz w:val="22"/>
                <w:szCs w:val="22"/>
                <w:color w:val="auto"/>
                <w:w w:val="84"/>
              </w:rPr>
              <w:t>14.</w:t>
            </w:r>
          </w:p>
        </w:tc>
        <w:tc>
          <w:tcPr>
            <w:tcW w:w="3400" w:type="dxa"/>
            <w:vAlign w:val="bottom"/>
            <w:gridSpan w:val="2"/>
          </w:tcPr>
          <w:p>
            <w:pPr>
              <w:ind w:left="200"/>
              <w:spacing w:after="0"/>
              <w:rPr>
                <w:sz w:val="20"/>
                <w:szCs w:val="20"/>
                <w:color w:val="auto"/>
              </w:rPr>
            </w:pPr>
            <w:r>
              <w:rPr>
                <w:rFonts w:ascii="Arial" w:cs="Arial" w:eastAsia="Arial" w:hAnsi="Arial"/>
                <w:sz w:val="22"/>
                <w:szCs w:val="22"/>
                <w:color w:val="auto"/>
                <w:w w:val="92"/>
              </w:rPr>
              <w:t>Retirement, Termination and Death</w:t>
            </w:r>
          </w:p>
        </w:tc>
        <w:tc>
          <w:tcPr>
            <w:tcW w:w="160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486"/>
        </w:trPr>
        <w:tc>
          <w:tcPr>
            <w:tcW w:w="460" w:type="dxa"/>
            <w:vAlign w:val="bottom"/>
          </w:tcPr>
          <w:p>
            <w:pPr>
              <w:jc w:val="right"/>
              <w:ind w:right="72"/>
              <w:spacing w:after="0"/>
              <w:rPr>
                <w:sz w:val="20"/>
                <w:szCs w:val="20"/>
                <w:color w:val="auto"/>
              </w:rPr>
            </w:pPr>
            <w:r>
              <w:rPr>
                <w:rFonts w:ascii="Arial" w:cs="Arial" w:eastAsia="Arial" w:hAnsi="Arial"/>
                <w:sz w:val="22"/>
                <w:szCs w:val="22"/>
                <w:color w:val="auto"/>
                <w:w w:val="84"/>
              </w:rPr>
              <w:t>15.</w:t>
            </w:r>
          </w:p>
        </w:tc>
        <w:tc>
          <w:tcPr>
            <w:tcW w:w="2960" w:type="dxa"/>
            <w:vAlign w:val="bottom"/>
          </w:tcPr>
          <w:p>
            <w:pPr>
              <w:ind w:left="200"/>
              <w:spacing w:after="0"/>
              <w:rPr>
                <w:sz w:val="20"/>
                <w:szCs w:val="20"/>
                <w:color w:val="auto"/>
              </w:rPr>
            </w:pPr>
            <w:r>
              <w:rPr>
                <w:rFonts w:ascii="Arial" w:cs="Arial" w:eastAsia="Arial" w:hAnsi="Arial"/>
                <w:sz w:val="22"/>
                <w:szCs w:val="22"/>
                <w:color w:val="auto"/>
              </w:rPr>
              <w:t>Amendment of the Plan</w:t>
            </w:r>
          </w:p>
        </w:tc>
        <w:tc>
          <w:tcPr>
            <w:tcW w:w="440" w:type="dxa"/>
            <w:vAlign w:val="bottom"/>
          </w:tcPr>
          <w:p>
            <w:pPr>
              <w:spacing w:after="0"/>
              <w:rPr>
                <w:sz w:val="24"/>
                <w:szCs w:val="24"/>
                <w:color w:val="auto"/>
              </w:rPr>
            </w:pPr>
          </w:p>
        </w:tc>
        <w:tc>
          <w:tcPr>
            <w:tcW w:w="1600" w:type="dxa"/>
            <w:vAlign w:val="bottom"/>
          </w:tcPr>
          <w:p>
            <w:pPr>
              <w:jc w:val="right"/>
              <w:ind w:right="732"/>
              <w:spacing w:after="0"/>
              <w:rPr>
                <w:sz w:val="20"/>
                <w:szCs w:val="20"/>
                <w:color w:val="auto"/>
              </w:rPr>
            </w:pPr>
            <w:r>
              <w:rPr>
                <w:rFonts w:ascii="Arial" w:cs="Arial" w:eastAsia="Arial" w:hAnsi="Arial"/>
                <w:sz w:val="22"/>
                <w:szCs w:val="22"/>
                <w:color w:val="auto"/>
              </w:rPr>
              <w:t>7</w:t>
            </w:r>
          </w:p>
        </w:tc>
      </w:tr>
      <w:tr>
        <w:trPr>
          <w:trHeight w:val="486"/>
        </w:trPr>
        <w:tc>
          <w:tcPr>
            <w:tcW w:w="460" w:type="dxa"/>
            <w:vAlign w:val="bottom"/>
          </w:tcPr>
          <w:p>
            <w:pPr>
              <w:jc w:val="right"/>
              <w:ind w:right="72"/>
              <w:spacing w:after="0"/>
              <w:rPr>
                <w:sz w:val="20"/>
                <w:szCs w:val="20"/>
                <w:color w:val="auto"/>
              </w:rPr>
            </w:pPr>
            <w:r>
              <w:rPr>
                <w:rFonts w:ascii="Arial" w:cs="Arial" w:eastAsia="Arial" w:hAnsi="Arial"/>
                <w:sz w:val="22"/>
                <w:szCs w:val="22"/>
                <w:color w:val="auto"/>
                <w:w w:val="84"/>
              </w:rPr>
              <w:t>16.</w:t>
            </w:r>
          </w:p>
        </w:tc>
        <w:tc>
          <w:tcPr>
            <w:tcW w:w="2960" w:type="dxa"/>
            <w:vAlign w:val="bottom"/>
          </w:tcPr>
          <w:p>
            <w:pPr>
              <w:ind w:left="200"/>
              <w:spacing w:after="0"/>
              <w:rPr>
                <w:sz w:val="20"/>
                <w:szCs w:val="20"/>
                <w:color w:val="auto"/>
              </w:rPr>
            </w:pPr>
            <w:r>
              <w:rPr>
                <w:rFonts w:ascii="Arial" w:cs="Arial" w:eastAsia="Arial" w:hAnsi="Arial"/>
                <w:sz w:val="22"/>
                <w:szCs w:val="22"/>
                <w:color w:val="auto"/>
              </w:rPr>
              <w:t>Termination of the Plan</w:t>
            </w:r>
          </w:p>
        </w:tc>
        <w:tc>
          <w:tcPr>
            <w:tcW w:w="440" w:type="dxa"/>
            <w:vAlign w:val="bottom"/>
          </w:tcPr>
          <w:p>
            <w:pPr>
              <w:spacing w:after="0"/>
              <w:rPr>
                <w:sz w:val="24"/>
                <w:szCs w:val="24"/>
                <w:color w:val="auto"/>
              </w:rPr>
            </w:pPr>
          </w:p>
        </w:tc>
        <w:tc>
          <w:tcPr>
            <w:tcW w:w="1600" w:type="dxa"/>
            <w:vAlign w:val="bottom"/>
          </w:tcPr>
          <w:p>
            <w:pPr>
              <w:jc w:val="right"/>
              <w:ind w:right="752"/>
              <w:spacing w:after="0"/>
              <w:rPr>
                <w:sz w:val="20"/>
                <w:szCs w:val="20"/>
                <w:color w:val="auto"/>
              </w:rPr>
            </w:pPr>
            <w:r>
              <w:rPr>
                <w:rFonts w:ascii="Arial" w:cs="Arial" w:eastAsia="Arial" w:hAnsi="Arial"/>
                <w:sz w:val="22"/>
                <w:szCs w:val="22"/>
                <w:color w:val="auto"/>
              </w:rPr>
              <w:t>7</w:t>
            </w:r>
          </w:p>
        </w:tc>
      </w:tr>
      <w:tr>
        <w:trPr>
          <w:trHeight w:val="486"/>
        </w:trPr>
        <w:tc>
          <w:tcPr>
            <w:tcW w:w="460" w:type="dxa"/>
            <w:vAlign w:val="bottom"/>
          </w:tcPr>
          <w:p>
            <w:pPr>
              <w:jc w:val="right"/>
              <w:ind w:right="72"/>
              <w:spacing w:after="0"/>
              <w:rPr>
                <w:sz w:val="20"/>
                <w:szCs w:val="20"/>
                <w:color w:val="auto"/>
              </w:rPr>
            </w:pPr>
            <w:r>
              <w:rPr>
                <w:rFonts w:ascii="Arial" w:cs="Arial" w:eastAsia="Arial" w:hAnsi="Arial"/>
                <w:sz w:val="22"/>
                <w:szCs w:val="22"/>
                <w:color w:val="auto"/>
                <w:w w:val="84"/>
              </w:rPr>
              <w:t>17.</w:t>
            </w:r>
          </w:p>
        </w:tc>
        <w:tc>
          <w:tcPr>
            <w:tcW w:w="2960" w:type="dxa"/>
            <w:vAlign w:val="bottom"/>
          </w:tcPr>
          <w:p>
            <w:pPr>
              <w:ind w:left="200"/>
              <w:spacing w:after="0"/>
              <w:rPr>
                <w:sz w:val="20"/>
                <w:szCs w:val="20"/>
                <w:color w:val="auto"/>
              </w:rPr>
            </w:pPr>
            <w:r>
              <w:rPr>
                <w:rFonts w:ascii="Arial" w:cs="Arial" w:eastAsia="Arial" w:hAnsi="Arial"/>
                <w:sz w:val="22"/>
                <w:szCs w:val="22"/>
                <w:color w:val="auto"/>
              </w:rPr>
              <w:t>Effective Date of Plan</w:t>
            </w:r>
          </w:p>
        </w:tc>
        <w:tc>
          <w:tcPr>
            <w:tcW w:w="440" w:type="dxa"/>
            <w:vAlign w:val="bottom"/>
          </w:tcPr>
          <w:p>
            <w:pPr>
              <w:spacing w:after="0"/>
              <w:rPr>
                <w:sz w:val="24"/>
                <w:szCs w:val="24"/>
                <w:color w:val="auto"/>
              </w:rPr>
            </w:pPr>
          </w:p>
        </w:tc>
        <w:tc>
          <w:tcPr>
            <w:tcW w:w="1600" w:type="dxa"/>
            <w:vAlign w:val="bottom"/>
          </w:tcPr>
          <w:p>
            <w:pPr>
              <w:jc w:val="right"/>
              <w:ind w:right="692"/>
              <w:spacing w:after="0"/>
              <w:rPr>
                <w:sz w:val="20"/>
                <w:szCs w:val="20"/>
                <w:color w:val="auto"/>
              </w:rPr>
            </w:pPr>
            <w:r>
              <w:rPr>
                <w:rFonts w:ascii="Arial" w:cs="Arial" w:eastAsia="Arial" w:hAnsi="Arial"/>
                <w:sz w:val="22"/>
                <w:szCs w:val="22"/>
                <w:color w:val="auto"/>
              </w:rPr>
              <w:t>8</w:t>
            </w:r>
          </w:p>
        </w:tc>
      </w:tr>
      <w:tr>
        <w:trPr>
          <w:trHeight w:val="486"/>
        </w:trPr>
        <w:tc>
          <w:tcPr>
            <w:tcW w:w="460" w:type="dxa"/>
            <w:vAlign w:val="bottom"/>
          </w:tcPr>
          <w:p>
            <w:pPr>
              <w:jc w:val="right"/>
              <w:ind w:right="72"/>
              <w:spacing w:after="0"/>
              <w:rPr>
                <w:sz w:val="20"/>
                <w:szCs w:val="20"/>
                <w:color w:val="auto"/>
              </w:rPr>
            </w:pPr>
            <w:r>
              <w:rPr>
                <w:rFonts w:ascii="Arial" w:cs="Arial" w:eastAsia="Arial" w:hAnsi="Arial"/>
                <w:sz w:val="22"/>
                <w:szCs w:val="22"/>
                <w:color w:val="auto"/>
                <w:w w:val="84"/>
              </w:rPr>
              <w:t>18.</w:t>
            </w:r>
          </w:p>
        </w:tc>
        <w:tc>
          <w:tcPr>
            <w:tcW w:w="3400" w:type="dxa"/>
            <w:vAlign w:val="bottom"/>
            <w:gridSpan w:val="2"/>
          </w:tcPr>
          <w:p>
            <w:pPr>
              <w:ind w:left="200"/>
              <w:spacing w:after="0"/>
              <w:rPr>
                <w:sz w:val="20"/>
                <w:szCs w:val="20"/>
                <w:color w:val="auto"/>
              </w:rPr>
            </w:pPr>
            <w:r>
              <w:rPr>
                <w:rFonts w:ascii="Arial" w:cs="Arial" w:eastAsia="Arial" w:hAnsi="Arial"/>
                <w:sz w:val="22"/>
                <w:szCs w:val="22"/>
                <w:color w:val="auto"/>
                <w:w w:val="91"/>
              </w:rPr>
              <w:t>Government and Other Regulations</w:t>
            </w:r>
          </w:p>
        </w:tc>
        <w:tc>
          <w:tcPr>
            <w:tcW w:w="160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486"/>
        </w:trPr>
        <w:tc>
          <w:tcPr>
            <w:tcW w:w="460" w:type="dxa"/>
            <w:vAlign w:val="bottom"/>
          </w:tcPr>
          <w:p>
            <w:pPr>
              <w:jc w:val="right"/>
              <w:ind w:right="72"/>
              <w:spacing w:after="0"/>
              <w:rPr>
                <w:sz w:val="20"/>
                <w:szCs w:val="20"/>
                <w:color w:val="auto"/>
              </w:rPr>
            </w:pPr>
            <w:r>
              <w:rPr>
                <w:rFonts w:ascii="Arial" w:cs="Arial" w:eastAsia="Arial" w:hAnsi="Arial"/>
                <w:sz w:val="22"/>
                <w:szCs w:val="22"/>
                <w:color w:val="auto"/>
                <w:w w:val="84"/>
              </w:rPr>
              <w:t>19.</w:t>
            </w:r>
          </w:p>
        </w:tc>
        <w:tc>
          <w:tcPr>
            <w:tcW w:w="2960" w:type="dxa"/>
            <w:vAlign w:val="bottom"/>
          </w:tcPr>
          <w:p>
            <w:pPr>
              <w:ind w:left="200"/>
              <w:spacing w:after="0"/>
              <w:rPr>
                <w:sz w:val="20"/>
                <w:szCs w:val="20"/>
                <w:color w:val="auto"/>
              </w:rPr>
            </w:pPr>
            <w:r>
              <w:rPr>
                <w:rFonts w:ascii="Arial" w:cs="Arial" w:eastAsia="Arial" w:hAnsi="Arial"/>
                <w:sz w:val="22"/>
                <w:szCs w:val="22"/>
                <w:color w:val="auto"/>
                <w:w w:val="96"/>
              </w:rPr>
              <w:t>Indemnification of Committee</w:t>
            </w:r>
          </w:p>
        </w:tc>
        <w:tc>
          <w:tcPr>
            <w:tcW w:w="440" w:type="dxa"/>
            <w:vAlign w:val="bottom"/>
          </w:tcPr>
          <w:p>
            <w:pPr>
              <w:spacing w:after="0"/>
              <w:rPr>
                <w:sz w:val="24"/>
                <w:szCs w:val="24"/>
                <w:color w:val="auto"/>
              </w:rPr>
            </w:pPr>
          </w:p>
        </w:tc>
        <w:tc>
          <w:tcPr>
            <w:tcW w:w="1600" w:type="dxa"/>
            <w:vAlign w:val="bottom"/>
          </w:tcPr>
          <w:p>
            <w:pPr>
              <w:jc w:val="right"/>
              <w:ind w:right="332"/>
              <w:spacing w:after="0"/>
              <w:rPr>
                <w:sz w:val="20"/>
                <w:szCs w:val="20"/>
                <w:color w:val="auto"/>
              </w:rPr>
            </w:pPr>
            <w:r>
              <w:rPr>
                <w:rFonts w:ascii="Arial" w:cs="Arial" w:eastAsia="Arial" w:hAnsi="Arial"/>
                <w:sz w:val="22"/>
                <w:szCs w:val="22"/>
                <w:color w:val="auto"/>
              </w:rPr>
              <w:t>8</w:t>
            </w:r>
          </w:p>
        </w:tc>
      </w:tr>
      <w:tr>
        <w:trPr>
          <w:trHeight w:val="486"/>
        </w:trPr>
        <w:tc>
          <w:tcPr>
            <w:tcW w:w="460" w:type="dxa"/>
            <w:vAlign w:val="bottom"/>
          </w:tcPr>
          <w:p>
            <w:pPr>
              <w:jc w:val="right"/>
              <w:ind w:right="72"/>
              <w:spacing w:after="0"/>
              <w:rPr>
                <w:sz w:val="20"/>
                <w:szCs w:val="20"/>
                <w:color w:val="auto"/>
              </w:rPr>
            </w:pPr>
            <w:r>
              <w:rPr>
                <w:rFonts w:ascii="Arial" w:cs="Arial" w:eastAsia="Arial" w:hAnsi="Arial"/>
                <w:sz w:val="22"/>
                <w:szCs w:val="22"/>
                <w:color w:val="auto"/>
                <w:w w:val="84"/>
              </w:rPr>
              <w:t>20.</w:t>
            </w:r>
          </w:p>
        </w:tc>
        <w:tc>
          <w:tcPr>
            <w:tcW w:w="2960" w:type="dxa"/>
            <w:vAlign w:val="bottom"/>
          </w:tcPr>
          <w:p>
            <w:pPr>
              <w:ind w:left="200"/>
              <w:spacing w:after="0"/>
              <w:rPr>
                <w:sz w:val="20"/>
                <w:szCs w:val="20"/>
                <w:color w:val="auto"/>
              </w:rPr>
            </w:pPr>
            <w:r>
              <w:rPr>
                <w:rFonts w:ascii="Arial" w:cs="Arial" w:eastAsia="Arial" w:hAnsi="Arial"/>
                <w:sz w:val="22"/>
                <w:szCs w:val="22"/>
                <w:color w:val="auto"/>
              </w:rPr>
              <w:t>Governing Law</w:t>
            </w:r>
          </w:p>
        </w:tc>
        <w:tc>
          <w:tcPr>
            <w:tcW w:w="440" w:type="dxa"/>
            <w:vAlign w:val="bottom"/>
          </w:tcPr>
          <w:p>
            <w:pPr>
              <w:spacing w:after="0"/>
              <w:rPr>
                <w:sz w:val="24"/>
                <w:szCs w:val="24"/>
                <w:color w:val="auto"/>
              </w:rPr>
            </w:pPr>
          </w:p>
        </w:tc>
        <w:tc>
          <w:tcPr>
            <w:tcW w:w="1600" w:type="dxa"/>
            <w:vAlign w:val="bottom"/>
          </w:tcPr>
          <w:p>
            <w:pPr>
              <w:jc w:val="right"/>
              <w:ind w:right="1252"/>
              <w:spacing w:after="0"/>
              <w:rPr>
                <w:sz w:val="20"/>
                <w:szCs w:val="20"/>
                <w:color w:val="auto"/>
              </w:rPr>
            </w:pPr>
            <w:r>
              <w:rPr>
                <w:rFonts w:ascii="Arial" w:cs="Arial" w:eastAsia="Arial" w:hAnsi="Arial"/>
                <w:sz w:val="22"/>
                <w:szCs w:val="22"/>
                <w:color w:val="auto"/>
              </w:rPr>
              <w:t>8</w:t>
            </w:r>
          </w:p>
        </w:tc>
      </w:tr>
      <w:tr>
        <w:trPr>
          <w:trHeight w:val="486"/>
        </w:trPr>
        <w:tc>
          <w:tcPr>
            <w:tcW w:w="460" w:type="dxa"/>
            <w:vAlign w:val="bottom"/>
          </w:tcPr>
          <w:p>
            <w:pPr>
              <w:jc w:val="right"/>
              <w:ind w:right="72"/>
              <w:spacing w:after="0"/>
              <w:rPr>
                <w:sz w:val="20"/>
                <w:szCs w:val="20"/>
                <w:color w:val="auto"/>
              </w:rPr>
            </w:pPr>
            <w:r>
              <w:rPr>
                <w:rFonts w:ascii="Arial" w:cs="Arial" w:eastAsia="Arial" w:hAnsi="Arial"/>
                <w:sz w:val="22"/>
                <w:szCs w:val="22"/>
                <w:color w:val="auto"/>
                <w:w w:val="84"/>
              </w:rPr>
              <w:t>21.</w:t>
            </w:r>
          </w:p>
        </w:tc>
        <w:tc>
          <w:tcPr>
            <w:tcW w:w="2960" w:type="dxa"/>
            <w:vAlign w:val="bottom"/>
          </w:tcPr>
          <w:p>
            <w:pPr>
              <w:ind w:left="200"/>
              <w:spacing w:after="0"/>
              <w:rPr>
                <w:sz w:val="20"/>
                <w:szCs w:val="20"/>
                <w:color w:val="auto"/>
              </w:rPr>
            </w:pPr>
            <w:r>
              <w:rPr>
                <w:rFonts w:ascii="Arial" w:cs="Arial" w:eastAsia="Arial" w:hAnsi="Arial"/>
                <w:sz w:val="22"/>
                <w:szCs w:val="22"/>
                <w:color w:val="auto"/>
              </w:rPr>
              <w:t>Legends</w:t>
            </w:r>
          </w:p>
        </w:tc>
        <w:tc>
          <w:tcPr>
            <w:tcW w:w="440" w:type="dxa"/>
            <w:vAlign w:val="bottom"/>
          </w:tcPr>
          <w:p>
            <w:pPr>
              <w:jc w:val="right"/>
              <w:ind w:right="92"/>
              <w:spacing w:after="0"/>
              <w:rPr>
                <w:sz w:val="20"/>
                <w:szCs w:val="20"/>
                <w:color w:val="auto"/>
              </w:rPr>
            </w:pPr>
            <w:r>
              <w:rPr>
                <w:rFonts w:ascii="Arial" w:cs="Arial" w:eastAsia="Arial" w:hAnsi="Arial"/>
                <w:sz w:val="22"/>
                <w:szCs w:val="22"/>
                <w:color w:val="auto"/>
              </w:rPr>
              <w:t>8</w:t>
            </w:r>
          </w:p>
        </w:tc>
        <w:tc>
          <w:tcPr>
            <w:tcW w:w="16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219"/>
          </w:cols>
          <w:pgMar w:left="240" w:top="807"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CLEARONE,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EMPLOYEE STOCK PURCHASE PLAN</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(Effective as of December 12, 2014)</w:t>
      </w:r>
    </w:p>
    <w:p>
      <w:pPr>
        <w:spacing w:after="0" w:line="226" w:lineRule="exact"/>
        <w:rPr>
          <w:sz w:val="20"/>
          <w:szCs w:val="20"/>
          <w:color w:val="auto"/>
        </w:rPr>
      </w:pPr>
    </w:p>
    <w:p>
      <w:pPr>
        <w:ind w:left="660" w:hanging="652"/>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Purpose</w:t>
      </w:r>
    </w:p>
    <w:p>
      <w:pPr>
        <w:spacing w:after="0" w:line="260"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The purpose of the ClearOne, Inc. Employee Stock Purchase Plan (the “Plan”) is to secure for the Company and its stockholders the benefits of the incentive inherent in the ownership of Company Stock by eligible present and future employees of the Company and its designated Subsidiaries. The Plan is intended to comply with the terms of Code Section 423 and Rule 16b-3 of the Act. Nothing in this plan is intended to modify or change the Company’s Insider Trading Policy.</w:t>
      </w:r>
    </w:p>
    <w:p>
      <w:pPr>
        <w:spacing w:after="0" w:line="143" w:lineRule="exact"/>
        <w:rPr>
          <w:sz w:val="20"/>
          <w:szCs w:val="20"/>
          <w:color w:val="auto"/>
        </w:rPr>
      </w:pPr>
    </w:p>
    <w:p>
      <w:pPr>
        <w:ind w:left="660" w:hanging="652"/>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Definitions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Where indicated by initial capital letters, the following terms have the following meanings:</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“Act” means the Securities Exchange Act of 1934, as amended.</w:t>
      </w:r>
    </w:p>
    <w:p>
      <w:pPr>
        <w:spacing w:after="0" w:line="26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“Board” means the Board of Directors of the Company.</w:t>
      </w:r>
    </w:p>
    <w:p>
      <w:pPr>
        <w:spacing w:after="0" w:line="26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“Code” means the Internal Revenue Code of 1986, as amended, and the regulations promulgated thereunder.</w:t>
      </w:r>
    </w:p>
    <w:p>
      <w:pPr>
        <w:spacing w:after="0" w:line="260" w:lineRule="exact"/>
        <w:rPr>
          <w:sz w:val="20"/>
          <w:szCs w:val="20"/>
          <w:color w:val="auto"/>
        </w:rPr>
      </w:pPr>
    </w:p>
    <w:p>
      <w:pPr>
        <w:ind w:right="120" w:firstLine="648"/>
        <w:spacing w:after="0" w:line="312" w:lineRule="auto"/>
        <w:rPr>
          <w:sz w:val="20"/>
          <w:szCs w:val="20"/>
          <w:color w:val="auto"/>
        </w:rPr>
      </w:pPr>
      <w:r>
        <w:rPr>
          <w:rFonts w:ascii="Arial" w:cs="Arial" w:eastAsia="Arial" w:hAnsi="Arial"/>
          <w:sz w:val="19"/>
          <w:szCs w:val="19"/>
          <w:color w:val="auto"/>
        </w:rPr>
        <w:t>2.4 “Committee” means the Compensation Committee of the Board, provided that, if any member of the Committee does not qualify as a non-employee director for purposes of Rule 16b-3 of the Act, the remaining members of the Committee (but not less than two members) shall be constituted as a subcommittee of the Committee to act as the Committee for purposes of the Plan.</w:t>
      </w:r>
    </w:p>
    <w:p>
      <w:pPr>
        <w:spacing w:after="0" w:line="17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color w:val="auto"/>
        </w:rPr>
        <w:t>“Company” means ClearOne, Inc., a Utah corporation, and any successor by merger, consolidation or otherwise.</w:t>
      </w:r>
    </w:p>
    <w:p>
      <w:pPr>
        <w:spacing w:after="0" w:line="260" w:lineRule="exact"/>
        <w:rPr>
          <w:sz w:val="20"/>
          <w:szCs w:val="20"/>
          <w:color w:val="auto"/>
        </w:rPr>
      </w:pPr>
    </w:p>
    <w:p>
      <w:pPr>
        <w:ind w:right="520" w:firstLine="648"/>
        <w:spacing w:after="0" w:line="253" w:lineRule="auto"/>
        <w:rPr>
          <w:sz w:val="20"/>
          <w:szCs w:val="20"/>
          <w:color w:val="auto"/>
        </w:rPr>
      </w:pPr>
      <w:r>
        <w:rPr>
          <w:rFonts w:ascii="Arial" w:cs="Arial" w:eastAsia="Arial" w:hAnsi="Arial"/>
          <w:sz w:val="22"/>
          <w:szCs w:val="22"/>
          <w:color w:val="auto"/>
        </w:rPr>
        <w:t>2.6 “Company Stock” means the Company’s common stock. In the event of a change in the capital structure of the Company (as provided in Section 13), the shares resulting from such change shall be deemed to be Company Stock within the meaning of the Plan.</w:t>
      </w:r>
    </w:p>
    <w:p>
      <w:pPr>
        <w:spacing w:after="0" w:line="226" w:lineRule="exact"/>
        <w:rPr>
          <w:sz w:val="20"/>
          <w:szCs w:val="20"/>
          <w:color w:val="auto"/>
        </w:rPr>
      </w:pPr>
    </w:p>
    <w:p>
      <w:pPr>
        <w:jc w:val="both"/>
        <w:ind w:right="240" w:firstLine="648"/>
        <w:spacing w:after="0" w:line="271" w:lineRule="auto"/>
        <w:rPr>
          <w:sz w:val="20"/>
          <w:szCs w:val="20"/>
          <w:color w:val="auto"/>
        </w:rPr>
      </w:pPr>
      <w:r>
        <w:rPr>
          <w:rFonts w:ascii="Arial" w:cs="Arial" w:eastAsia="Arial" w:hAnsi="Arial"/>
          <w:sz w:val="21"/>
          <w:szCs w:val="21"/>
          <w:color w:val="auto"/>
        </w:rPr>
        <w:t>2.7 “Compensation” means base salary, overtime pay, commissions and cash bonuses actually received by a Participant while he or she is an Eligible Employee, determined before any elective salary reductions made pursuant to Code Section 401(k), 125 and 132(f)(4). All other forms of compensation, whether cash or non-cash, shall be excluded.</w:t>
      </w:r>
    </w:p>
    <w:p>
      <w:pPr>
        <w:spacing w:after="0" w:line="208" w:lineRule="exact"/>
        <w:rPr>
          <w:sz w:val="20"/>
          <w:szCs w:val="20"/>
          <w:color w:val="auto"/>
        </w:rPr>
      </w:pPr>
    </w:p>
    <w:p>
      <w:pPr>
        <w:ind w:right="860" w:firstLine="648"/>
        <w:spacing w:after="0" w:line="263" w:lineRule="auto"/>
        <w:rPr>
          <w:sz w:val="20"/>
          <w:szCs w:val="20"/>
          <w:color w:val="auto"/>
        </w:rPr>
      </w:pPr>
      <w:r>
        <w:rPr>
          <w:rFonts w:ascii="Arial" w:cs="Arial" w:eastAsia="Arial" w:hAnsi="Arial"/>
          <w:sz w:val="22"/>
          <w:szCs w:val="22"/>
          <w:color w:val="auto"/>
        </w:rPr>
        <w:t>2.8 “Custodian” means a financial institution or other entity selected by the Company from time to time to act as custodian for the Plan.</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057" w:right="239" w:bottom="1440" w:gutter="0" w:footer="0" w:header="0"/>
        </w:sectPr>
      </w:pPr>
    </w:p>
    <w:bookmarkStart w:id="11" w:name="page12"/>
    <w:bookmarkEnd w:id="11"/>
    <w:p>
      <w:pPr>
        <w:ind w:right="180" w:firstLine="648"/>
        <w:spacing w:after="0" w:line="263" w:lineRule="auto"/>
        <w:rPr>
          <w:sz w:val="20"/>
          <w:szCs w:val="20"/>
          <w:color w:val="auto"/>
        </w:rPr>
      </w:pPr>
      <w:r>
        <w:rPr>
          <w:rFonts w:ascii="Arial" w:cs="Arial" w:eastAsia="Arial" w:hAnsi="Arial"/>
          <w:sz w:val="22"/>
          <w:szCs w:val="22"/>
          <w:color w:val="auto"/>
        </w:rPr>
        <w:t>2.9 “Eligible Employee” means any employee of the Company or its Subsidiaries who meets the eligibility requirements of the Plan.</w:t>
      </w:r>
    </w:p>
    <w:p>
      <w:pPr>
        <w:spacing w:after="0" w:line="215" w:lineRule="exact"/>
        <w:rPr>
          <w:sz w:val="20"/>
          <w:szCs w:val="20"/>
          <w:color w:val="auto"/>
        </w:rPr>
      </w:pPr>
    </w:p>
    <w:p>
      <w:pPr>
        <w:jc w:val="center"/>
        <w:ind w:right="40"/>
        <w:spacing w:after="0"/>
        <w:tabs>
          <w:tab w:leader="none" w:pos="20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19"/>
          <w:szCs w:val="19"/>
          <w:color w:val="auto"/>
        </w:rPr>
        <w:t>“Enrollment Form” means the form filed by a Participant with the Committee authorizing payroll deductions.</w:t>
      </w:r>
    </w:p>
    <w:p>
      <w:pPr>
        <w:spacing w:after="0" w:line="260" w:lineRule="exact"/>
        <w:rPr>
          <w:sz w:val="20"/>
          <w:szCs w:val="20"/>
          <w:color w:val="auto"/>
        </w:rPr>
      </w:pPr>
    </w:p>
    <w:p>
      <w:pPr>
        <w:ind w:right="240" w:firstLine="648"/>
        <w:spacing w:after="0" w:line="312" w:lineRule="auto"/>
        <w:rPr>
          <w:sz w:val="20"/>
          <w:szCs w:val="20"/>
          <w:color w:val="auto"/>
        </w:rPr>
      </w:pPr>
      <w:r>
        <w:rPr>
          <w:rFonts w:ascii="Arial" w:cs="Arial" w:eastAsia="Arial" w:hAnsi="Arial"/>
          <w:sz w:val="19"/>
          <w:szCs w:val="19"/>
          <w:color w:val="auto"/>
        </w:rPr>
        <w:t>2.11 “Fair Market Value” means the closing trading price of a share of Common Stock, as reported on the principal exchange on which the Stock is traded on the applicable Grant Date or Investment Date, or, if the Common Stock was not quoted on such date, the closing trading price on the last day prior thereto on which the Common Stock was quoted.</w:t>
      </w:r>
    </w:p>
    <w:p>
      <w:pPr>
        <w:spacing w:after="0" w:line="174"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2.12 “Grant Date” means the first business day of each Offering Period on which shares of Common Stock are or could be traded on the principal exchange on which the Stock is traded.</w:t>
      </w:r>
    </w:p>
    <w:p>
      <w:pPr>
        <w:spacing w:after="0" w:line="215" w:lineRule="exact"/>
        <w:rPr>
          <w:sz w:val="20"/>
          <w:szCs w:val="20"/>
          <w:color w:val="auto"/>
        </w:rPr>
      </w:pPr>
    </w:p>
    <w:p>
      <w:pPr>
        <w:ind w:right="220" w:firstLine="648"/>
        <w:spacing w:after="0" w:line="263" w:lineRule="auto"/>
        <w:rPr>
          <w:sz w:val="20"/>
          <w:szCs w:val="20"/>
          <w:color w:val="auto"/>
        </w:rPr>
      </w:pPr>
      <w:r>
        <w:rPr>
          <w:rFonts w:ascii="Arial" w:cs="Arial" w:eastAsia="Arial" w:hAnsi="Arial"/>
          <w:sz w:val="22"/>
          <w:szCs w:val="22"/>
          <w:color w:val="auto"/>
        </w:rPr>
        <w:t>2.13 “Investment Account” means the account established to hold Company Stock purchased under the Plan pursuant to Section 7.</w:t>
      </w:r>
    </w:p>
    <w:p>
      <w:pPr>
        <w:spacing w:after="0" w:line="215" w:lineRule="exact"/>
        <w:rPr>
          <w:sz w:val="20"/>
          <w:szCs w:val="20"/>
          <w:color w:val="auto"/>
        </w:rPr>
      </w:pPr>
    </w:p>
    <w:p>
      <w:pPr>
        <w:ind w:right="200" w:firstLine="648"/>
        <w:spacing w:after="0" w:line="287" w:lineRule="auto"/>
        <w:rPr>
          <w:sz w:val="20"/>
          <w:szCs w:val="20"/>
          <w:color w:val="auto"/>
        </w:rPr>
      </w:pPr>
      <w:r>
        <w:rPr>
          <w:rFonts w:ascii="Arial" w:cs="Arial" w:eastAsia="Arial" w:hAnsi="Arial"/>
          <w:sz w:val="21"/>
          <w:szCs w:val="21"/>
          <w:color w:val="auto"/>
        </w:rPr>
        <w:t>2.14 “Investment Date” means the last business day of each Offering Period, as determined by the Committee, on which shares of Company Stock are or could be traded on the principal exchange on which the Stock is traded.</w:t>
      </w:r>
    </w:p>
    <w:p>
      <w:pPr>
        <w:spacing w:after="0" w:line="192"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2.15 “Offering Period” means each period of time during which shares of Common Stock are offered to Participants for purchase at a specified Purchase Price on a specified Investment Date. Unless otherwise determined by the Committee, an Offering Period shall mean a period of approximately six months commencing and ending as follows: commencing on the first Trading Day on or after January 1, and terminating on the last Trading Day in the period ending June 30; and commencing on the first Trading Day on or after July 1, and ending on the last Trading Day in the period ending the following December 31; provided, however, that the first Offering Period shall not commence until the Plan has been approved by the Company’s shareholders and may commence on a Trading Day after the first Trading Day on or after January 1 or July 1, and that the first Offering Period may be of less than six (6) months duration. No Offering Period shall be longer than twenty-seven months or shorter than one month.</w:t>
      </w:r>
    </w:p>
    <w:p>
      <w:pPr>
        <w:spacing w:after="0" w:line="197" w:lineRule="exact"/>
        <w:rPr>
          <w:sz w:val="20"/>
          <w:szCs w:val="20"/>
          <w:color w:val="auto"/>
        </w:rPr>
      </w:pPr>
    </w:p>
    <w:p>
      <w:pPr>
        <w:ind w:right="60" w:firstLine="648"/>
        <w:spacing w:after="0" w:line="271" w:lineRule="auto"/>
        <w:rPr>
          <w:sz w:val="20"/>
          <w:szCs w:val="20"/>
          <w:color w:val="auto"/>
        </w:rPr>
      </w:pPr>
      <w:r>
        <w:rPr>
          <w:rFonts w:ascii="Arial" w:cs="Arial" w:eastAsia="Arial" w:hAnsi="Arial"/>
          <w:sz w:val="21"/>
          <w:szCs w:val="21"/>
          <w:color w:val="auto"/>
        </w:rPr>
        <w:t>2.16 “Parent” means any corporation (other than the Company) in an unbroken chain of corporations ending with the Company if, as of an Investment Date, each of the corporations other than the Company owns stock possessing 50% or more of the total combined voting power of all classes of stock in one of the other corporations in such chain.</w:t>
      </w:r>
    </w:p>
    <w:p>
      <w:pPr>
        <w:spacing w:after="0" w:line="208" w:lineRule="exact"/>
        <w:rPr>
          <w:sz w:val="20"/>
          <w:szCs w:val="20"/>
          <w:color w:val="auto"/>
        </w:rPr>
      </w:pPr>
    </w:p>
    <w:p>
      <w:pPr>
        <w:ind w:right="780" w:firstLine="648"/>
        <w:spacing w:after="0" w:line="263" w:lineRule="auto"/>
        <w:rPr>
          <w:sz w:val="20"/>
          <w:szCs w:val="20"/>
          <w:color w:val="auto"/>
        </w:rPr>
      </w:pPr>
      <w:r>
        <w:rPr>
          <w:rFonts w:ascii="Arial" w:cs="Arial" w:eastAsia="Arial" w:hAnsi="Arial"/>
          <w:sz w:val="22"/>
          <w:szCs w:val="22"/>
          <w:color w:val="auto"/>
        </w:rPr>
        <w:t>2.17 “Participant” means an Eligible Employee who elects to participate in the Plan by filing an Enrollment Form pursuant to Section 6.</w:t>
      </w:r>
    </w:p>
    <w:p>
      <w:pPr>
        <w:spacing w:after="0" w:line="215"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2.18 “Payroll Deduction Account” means the account established for a Participant to hold payroll deductions pursuant to Section 6.</w:t>
      </w:r>
    </w:p>
    <w:p>
      <w:pPr>
        <w:spacing w:after="0" w:line="21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2.19</w:t>
      </w:r>
      <w:r>
        <w:rPr>
          <w:sz w:val="20"/>
          <w:szCs w:val="20"/>
          <w:color w:val="auto"/>
        </w:rPr>
        <w:tab/>
      </w:r>
      <w:r>
        <w:rPr>
          <w:rFonts w:ascii="Arial" w:cs="Arial" w:eastAsia="Arial" w:hAnsi="Arial"/>
          <w:sz w:val="19"/>
          <w:szCs w:val="19"/>
          <w:color w:val="auto"/>
        </w:rPr>
        <w:t>“Plan” means the ClearOne, Inc. Employee Stock Purchase Plan, as set forth herein and as amended from time to</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12" w:name="page13"/>
    <w:bookmarkEnd w:id="12"/>
    <w:p>
      <w:pPr>
        <w:jc w:val="both"/>
        <w:ind w:right="240" w:firstLine="648"/>
        <w:spacing w:after="0" w:line="288" w:lineRule="auto"/>
        <w:rPr>
          <w:sz w:val="20"/>
          <w:szCs w:val="20"/>
          <w:color w:val="auto"/>
        </w:rPr>
      </w:pPr>
      <w:r>
        <w:rPr>
          <w:rFonts w:ascii="Arial" w:cs="Arial" w:eastAsia="Arial" w:hAnsi="Arial"/>
          <w:sz w:val="19"/>
          <w:szCs w:val="19"/>
          <w:color w:val="auto"/>
        </w:rPr>
        <w:t>2.20 “Purchase Price” means the lower of (i) a percentage of the Fair Market Value of a share of Company Stock on the Grant Date, or (ii) a percentage of the Fair Market Value of a share of Company Stock on the Investment Date. In any event, the percentage shall be eighty-five percent (85%) unless the Committee, in its sole discretion, increases the percentage at any time.</w:t>
      </w:r>
    </w:p>
    <w:p>
      <w:pPr>
        <w:spacing w:after="0" w:line="1" w:lineRule="exact"/>
        <w:rPr>
          <w:sz w:val="20"/>
          <w:szCs w:val="20"/>
          <w:color w:val="auto"/>
        </w:rPr>
      </w:pPr>
    </w:p>
    <w:p>
      <w:pPr>
        <w:ind w:right="80"/>
        <w:spacing w:after="0" w:line="245" w:lineRule="auto"/>
        <w:rPr>
          <w:sz w:val="20"/>
          <w:szCs w:val="20"/>
          <w:color w:val="auto"/>
        </w:rPr>
      </w:pPr>
      <w:r>
        <w:rPr>
          <w:rFonts w:ascii="Arial" w:cs="Arial" w:eastAsia="Arial" w:hAnsi="Arial"/>
          <w:sz w:val="22"/>
          <w:szCs w:val="22"/>
          <w:color w:val="auto"/>
        </w:rPr>
        <w:t>After any such increase, the Committee, in its sole discretion, may decrease the percentage, but not below eighty-five percent (85%) at any time. Any increase or decrease in the percentage shall be communicated to Eligible Employees before the first day of the Offering Period that is affected by the change.</w:t>
      </w:r>
    </w:p>
    <w:p>
      <w:pPr>
        <w:spacing w:after="0" w:line="234"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color w:val="auto"/>
        </w:rPr>
        <w:t>2.21 “Subsidiary” means any corporation (other than the Company) in an unbroken chain of corporations beginning with the Company if, as of an Investment Date, each of the corporations other than the last corporation in the unbroken chain owns stock possessing 50% or more of the total combined voting power of all classes of stock in one of the other corporations in such chain.</w:t>
      </w:r>
    </w:p>
    <w:p>
      <w:pPr>
        <w:spacing w:after="0" w:line="174" w:lineRule="exact"/>
        <w:rPr>
          <w:sz w:val="20"/>
          <w:szCs w:val="20"/>
          <w:color w:val="auto"/>
        </w:rPr>
      </w:pPr>
    </w:p>
    <w:p>
      <w:pPr>
        <w:ind w:right="400" w:firstLine="648"/>
        <w:spacing w:after="0" w:line="263" w:lineRule="auto"/>
        <w:rPr>
          <w:sz w:val="20"/>
          <w:szCs w:val="20"/>
          <w:color w:val="auto"/>
        </w:rPr>
      </w:pPr>
      <w:r>
        <w:rPr>
          <w:rFonts w:ascii="Arial" w:cs="Arial" w:eastAsia="Arial" w:hAnsi="Arial"/>
          <w:sz w:val="22"/>
          <w:szCs w:val="22"/>
          <w:color w:val="auto"/>
        </w:rPr>
        <w:t>2.22 “Trading Day” means a day on which the national stock exchanges and the NASDAQ Stock Market are open for trading.</w:t>
      </w:r>
    </w:p>
    <w:p>
      <w:pPr>
        <w:spacing w:after="0" w:line="21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color w:val="auto"/>
        </w:rPr>
        <w:t>Shares for the Plan</w:t>
      </w:r>
    </w:p>
    <w:p>
      <w:pPr>
        <w:spacing w:after="0" w:line="260" w:lineRule="exact"/>
        <w:rPr>
          <w:sz w:val="20"/>
          <w:szCs w:val="20"/>
          <w:color w:val="auto"/>
        </w:rPr>
      </w:pPr>
    </w:p>
    <w:p>
      <w:pPr>
        <w:ind w:right="280" w:firstLine="648"/>
        <w:spacing w:after="0" w:line="250" w:lineRule="auto"/>
        <w:rPr>
          <w:sz w:val="20"/>
          <w:szCs w:val="20"/>
          <w:color w:val="auto"/>
        </w:rPr>
      </w:pPr>
      <w:r>
        <w:rPr>
          <w:rFonts w:ascii="Arial" w:cs="Arial" w:eastAsia="Arial" w:hAnsi="Arial"/>
          <w:sz w:val="22"/>
          <w:szCs w:val="22"/>
          <w:color w:val="auto"/>
        </w:rPr>
        <w:t>There is reserved for issuance and purchase by employees under the Plan an aggregate of 500,000 shares of Company Stock, subject to adjustment as provided in Section 13. Shares subject to the Plan shall be authorized but unissued shares. Shares needed to satisfy the needs of the Plan may be newly issued by the Company or acquired by purchase at the expense of the Company on the open market or in private transactions.</w:t>
      </w:r>
    </w:p>
    <w:p>
      <w:pPr>
        <w:spacing w:after="0" w:line="188" w:lineRule="exact"/>
        <w:rPr>
          <w:sz w:val="20"/>
          <w:szCs w:val="20"/>
          <w:color w:val="auto"/>
        </w:rPr>
      </w:pPr>
    </w:p>
    <w:p>
      <w:pPr>
        <w:ind w:left="660" w:hanging="652"/>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22"/>
          <w:szCs w:val="22"/>
          <w:color w:val="auto"/>
        </w:rPr>
        <w:t>Administration of the Plan</w:t>
      </w:r>
    </w:p>
    <w:p>
      <w:pPr>
        <w:spacing w:after="0" w:line="260" w:lineRule="exact"/>
        <w:rPr>
          <w:sz w:val="20"/>
          <w:szCs w:val="20"/>
          <w:color w:val="auto"/>
        </w:rPr>
      </w:pPr>
    </w:p>
    <w:p>
      <w:pPr>
        <w:ind w:right="200" w:firstLine="648"/>
        <w:spacing w:after="0" w:line="265" w:lineRule="auto"/>
        <w:rPr>
          <w:sz w:val="20"/>
          <w:szCs w:val="20"/>
          <w:color w:val="auto"/>
        </w:rPr>
      </w:pPr>
      <w:r>
        <w:rPr>
          <w:rFonts w:ascii="Arial" w:cs="Arial" w:eastAsia="Arial" w:hAnsi="Arial"/>
          <w:sz w:val="21"/>
          <w:szCs w:val="21"/>
          <w:color w:val="auto"/>
        </w:rPr>
        <w:t>The Plan shall be administered by the Committee. Subject to the express provisions of the Plan, the Committee shall have the authority to take any and all actions (including directing the Custodian as to the acquisition of shares) necessary to implement the Plan and to interpret the Plan, to prescribe, amend and rescind rules and regulations relating to it, and to make all other determinations necessary or advisable in administering the Plan.</w:t>
      </w:r>
    </w:p>
    <w:p>
      <w:pPr>
        <w:spacing w:after="0" w:line="176" w:lineRule="exact"/>
        <w:rPr>
          <w:sz w:val="20"/>
          <w:szCs w:val="20"/>
          <w:color w:val="auto"/>
        </w:rPr>
      </w:pPr>
    </w:p>
    <w:p>
      <w:pPr>
        <w:ind w:right="120" w:firstLine="648"/>
        <w:spacing w:after="0" w:line="260" w:lineRule="auto"/>
        <w:rPr>
          <w:sz w:val="20"/>
          <w:szCs w:val="20"/>
          <w:color w:val="auto"/>
        </w:rPr>
      </w:pPr>
      <w:r>
        <w:rPr>
          <w:rFonts w:ascii="Arial" w:cs="Arial" w:eastAsia="Arial" w:hAnsi="Arial"/>
          <w:sz w:val="21"/>
          <w:szCs w:val="21"/>
          <w:color w:val="auto"/>
        </w:rPr>
        <w:t>All such determinations shall be final and binding upon all persons. A quorum of the Committee shall consist of a majority of its members and the Committee may act by vote of a majority of its members at a meeting at which a quorum is present, or without a meeting by a written consent to their action taken signed by all members of the Committee. The Committee may request advice or assistance or employ such other persons as are necessary for proper administration of the Plan. The Committee may delegate administration of the Plan to one or more employees or positions of the Company or any Subsidiary. All rules and determinations by the Committee or its delegate in the administration of the Plan shall be uniformly and consistently applied to all persons in similar circumstances.</w:t>
      </w:r>
    </w:p>
    <w:p>
      <w:pPr>
        <w:spacing w:after="0" w:line="181"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Eligibility</w:t>
      </w:r>
    </w:p>
    <w:p>
      <w:pPr>
        <w:spacing w:after="0" w:line="260"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Except as hereinafter provided, an employee of the Company, its current Subsidiaries listed on Exhibit A attached hereto or such of its future participating Subsidiaries as may from</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847" w:right="259" w:bottom="1440" w:gutter="0" w:footer="0" w:header="0"/>
        </w:sectPr>
      </w:pPr>
    </w:p>
    <w:bookmarkStart w:id="13" w:name="page14"/>
    <w:bookmarkEnd w:id="13"/>
    <w:p>
      <w:pPr>
        <w:ind w:right="360"/>
        <w:spacing w:after="0" w:line="263" w:lineRule="auto"/>
        <w:rPr>
          <w:sz w:val="20"/>
          <w:szCs w:val="20"/>
          <w:color w:val="auto"/>
        </w:rPr>
      </w:pPr>
      <w:r>
        <w:rPr>
          <w:rFonts w:ascii="Arial" w:cs="Arial" w:eastAsia="Arial" w:hAnsi="Arial"/>
          <w:sz w:val="22"/>
          <w:szCs w:val="22"/>
          <w:color w:val="auto"/>
        </w:rPr>
        <w:t>time to time be designated by the Committee and listed on Exhibit A shall be eligible to participate in the Plan. The Committee may amend Exhibit A from time to time to remove any Subsidiaries from participation in the Plan.</w:t>
      </w:r>
    </w:p>
    <w:p>
      <w:pPr>
        <w:spacing w:after="0" w:line="175"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Notwithstanding the foregoing, the following individuals shall not be eligible to participate in the Plan: (i) any employee who is employed for less than one year prior to the Grant Date, (ii) any employee whose customary employment is twenty hours or less per week as of the Grant Date, (iii) any employee whose customary employment is for not more than five months in any calendar year, (iv) any director of the Company or of any Subsidiary who is not an employee, (ii) any independent contractor who is not an employee, and (iii) any employee who is a citizen or resident of a foreign jurisdiction and such jurisdiction would prohibit a grant of an option under the Plan or compliance with such jurisdiction would cause the Plan to violate the requirements of Code Section 423.</w:t>
      </w:r>
    </w:p>
    <w:p>
      <w:pPr>
        <w:spacing w:after="0" w:line="197"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Notwithstanding the foregoing, in the event of an acquisition by the Company or one or more of its Subsidiaries of the business of a person or entity, whether by asset purchase, stock purchase, merger or otherwise, an authorized officer of the Company shall have sole discretion (without the consent of any Participant) to modify the eligibility and participation requirements of the Plan as they relate to those employees of the acquired person or entity who become employees of the Company, its current Subsidiaries or its future participating Subsidiaries; provided, however, any such modification which requires shareholder approval under the Code shall not be made without such shareholder approval.</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Election to Participate</w:t>
      </w:r>
    </w:p>
    <w:p>
      <w:pPr>
        <w:spacing w:after="0" w:line="260" w:lineRule="exact"/>
        <w:rPr>
          <w:sz w:val="20"/>
          <w:szCs w:val="20"/>
          <w:color w:val="auto"/>
        </w:rPr>
      </w:pPr>
    </w:p>
    <w:p>
      <w:pPr>
        <w:ind w:right="20" w:firstLine="648"/>
        <w:spacing w:after="0" w:line="247" w:lineRule="auto"/>
        <w:rPr>
          <w:sz w:val="20"/>
          <w:szCs w:val="20"/>
          <w:color w:val="auto"/>
        </w:rPr>
      </w:pPr>
      <w:r>
        <w:rPr>
          <w:rFonts w:ascii="Arial" w:cs="Arial" w:eastAsia="Arial" w:hAnsi="Arial"/>
          <w:sz w:val="22"/>
          <w:szCs w:val="22"/>
          <w:color w:val="auto"/>
        </w:rPr>
        <w:t>An Eligible Employee may elect to participate as of the first day of any Offering Period by completing an Enrollment Form and filing such Enrollment Form by the deadline established by the Committee or its delegate, in its discretion, which deadline shall be applied uniformly to all employees. If the Enrollment Form is not completed and timely filed by the established deadline, then such employee shall be eligible to participate in the Plan as of the first day of the next Offering Period that begins following the receipt by the Committee of a completed Enrollment Form. All Eligible Employees shall have the same rights and privileges within the meaning of Code Section 423(b)(5).</w:t>
      </w:r>
    </w:p>
    <w:p>
      <w:pPr>
        <w:spacing w:after="0" w:line="194"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Each Eligible Employee may become a Participant by timely filing with the Committee or its delegate an Enrollment Form in accordance with the foregoing authorizing specified regular payroll deductions from his or her Compensation. The Committee, in its discretion, shall establish the minimum and maximum Compensation, expressed either as a percentage or in a flat dollar amount, that a Participant may elect to contribute, provided such limits are applied uniformly to all Participants. All regular payroll deductions shall be credited to the Payroll Deduction Account that the Company has established in the name of the Participant.</w:t>
      </w:r>
    </w:p>
    <w:p>
      <w:pPr>
        <w:spacing w:after="0" w:line="147"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A Participant may increase or decrease his or her payroll deduction, subject to any contribution limits, by filing a new Enrollment Form. Any change in payroll deduction will be effective as of the payroll period following the date of the Participant’s election, or as soon as administratively practicable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591" w:right="299" w:bottom="1440" w:gutter="0" w:footer="0" w:header="0"/>
        </w:sectPr>
      </w:pPr>
    </w:p>
    <w:bookmarkStart w:id="14" w:name="page15"/>
    <w:bookmarkEnd w:id="14"/>
    <w:p>
      <w:pPr>
        <w:ind w:firstLine="648"/>
        <w:spacing w:after="0" w:line="290" w:lineRule="auto"/>
        <w:rPr>
          <w:sz w:val="20"/>
          <w:szCs w:val="20"/>
          <w:color w:val="auto"/>
        </w:rPr>
      </w:pPr>
      <w:r>
        <w:rPr>
          <w:rFonts w:ascii="Arial" w:cs="Arial" w:eastAsia="Arial" w:hAnsi="Arial"/>
          <w:sz w:val="19"/>
          <w:szCs w:val="19"/>
          <w:color w:val="auto"/>
        </w:rPr>
        <w:t>Subject to Section 14, a Participant may also cease his or her participation in the Plan at any time. If a Participant ceases his or her participation during an Offering Period, then he or she may elect to either (i) apply any payroll deductions credited to his or her Payroll Deduction Account prior to the date such cessation is effective towards the purchase of shares of Company Stock during such Offering Period, or (ii) receive a refund of any payroll deductions credited to his or her Payroll Deduction Account for such Offering Period. Any such cessation shall be effective as of the payroll period following the date of the Participant’s request to cease participation, or as soon as administratively practicable thereafter. If elected, any refund will be made as soon as administratively practicable. An Eligible Employee who has ceased to be a Participant may not again resume participation in the Plan until such Eligible Employee has complied with the foregoing provisions of this Section.</w:t>
      </w:r>
    </w:p>
    <w:p>
      <w:pPr>
        <w:spacing w:after="0" w:line="157"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Method of Purchase and Investment Accounts</w:t>
      </w:r>
    </w:p>
    <w:p>
      <w:pPr>
        <w:spacing w:after="0" w:line="260"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Each Participant having eligible funds in his or her Payroll Deduction Account on an Investment Date shall be deemed, without any further action, to have purchased the number of shares of Company Stock (including fractional shares unless otherwise determined by the Committee) which the eligible funds in his or her Payroll Deduction Account could purchase on that Investment Date at that Purchase Price.</w:t>
      </w:r>
    </w:p>
    <w:p>
      <w:pPr>
        <w:spacing w:after="0" w:line="188" w:lineRule="exact"/>
        <w:rPr>
          <w:sz w:val="20"/>
          <w:szCs w:val="20"/>
          <w:color w:val="auto"/>
        </w:rPr>
      </w:pPr>
    </w:p>
    <w:p>
      <w:pPr>
        <w:ind w:right="160" w:firstLine="648"/>
        <w:spacing w:after="0" w:line="265" w:lineRule="auto"/>
        <w:rPr>
          <w:sz w:val="20"/>
          <w:szCs w:val="20"/>
          <w:color w:val="auto"/>
        </w:rPr>
      </w:pPr>
      <w:r>
        <w:rPr>
          <w:rFonts w:ascii="Arial" w:cs="Arial" w:eastAsia="Arial" w:hAnsi="Arial"/>
          <w:sz w:val="21"/>
          <w:szCs w:val="21"/>
          <w:color w:val="auto"/>
        </w:rPr>
        <w:t>All shares purchased shall be maintained by the Custodian in a separate Investment Account for each Participant. All cash dividends paid with respect to shares of the Company Stock held in the Investment Account shall be added to a Participant’s Payroll Deduction Account and shall be used to purchase shares of Company Stock for the Participant’s Investment Account. Expenses incurred in the purchase of such shares shall be paid by the Company.</w:t>
      </w:r>
    </w:p>
    <w:p>
      <w:pPr>
        <w:spacing w:after="0" w:line="176"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All dividends distributed in-kind with respect to Company Stock held in the Investment Account shall be added to the shares held for a Participant in his or her Investment Account. Any distribution of shares with respect to shares of Company Stock held for a Participant in his or her Investment Account shall be added to the shares of Company Stock held for a Participant in his or her Investment Account.</w:t>
      </w:r>
    </w:p>
    <w:p>
      <w:pPr>
        <w:spacing w:after="0" w:line="188"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Stock Purchases</w:t>
      </w:r>
    </w:p>
    <w:p>
      <w:pPr>
        <w:spacing w:after="0" w:line="260" w:lineRule="exact"/>
        <w:rPr>
          <w:sz w:val="20"/>
          <w:szCs w:val="20"/>
          <w:color w:val="auto"/>
        </w:rPr>
      </w:pPr>
    </w:p>
    <w:p>
      <w:pPr>
        <w:ind w:right="120" w:firstLine="648"/>
        <w:spacing w:after="0" w:line="263" w:lineRule="auto"/>
        <w:rPr>
          <w:sz w:val="20"/>
          <w:szCs w:val="20"/>
          <w:color w:val="auto"/>
        </w:rPr>
      </w:pPr>
      <w:r>
        <w:rPr>
          <w:rFonts w:ascii="Arial" w:cs="Arial" w:eastAsia="Arial" w:hAnsi="Arial"/>
          <w:sz w:val="21"/>
          <w:szCs w:val="21"/>
          <w:color w:val="auto"/>
        </w:rPr>
        <w:t>The Custodian shall acquire shares of Company Stock for Participants as of each Investment Date from the Company or, if directed by the Committee, by purchases on the open market or in private transactions using total payroll deduction amounts received by the Custodian. If shares of Company Stock are purchased in one or more transactions on the open market or in private transactions at the direction of the Committee, the Company will pay the Custodian the difference between the Purchase Price and the price at which such shares are purchased for Participants.</w:t>
      </w:r>
    </w:p>
    <w:p>
      <w:pPr>
        <w:spacing w:after="0" w:line="176"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Limitation on Purchases</w:t>
      </w:r>
    </w:p>
    <w:p>
      <w:pPr>
        <w:spacing w:after="0" w:line="260" w:lineRule="exact"/>
        <w:rPr>
          <w:sz w:val="20"/>
          <w:szCs w:val="20"/>
          <w:color w:val="auto"/>
        </w:rPr>
      </w:pPr>
    </w:p>
    <w:p>
      <w:pPr>
        <w:ind w:right="280" w:firstLine="648"/>
        <w:spacing w:after="0" w:line="312" w:lineRule="auto"/>
        <w:rPr>
          <w:sz w:val="20"/>
          <w:szCs w:val="20"/>
          <w:color w:val="auto"/>
        </w:rPr>
      </w:pPr>
      <w:r>
        <w:rPr>
          <w:rFonts w:ascii="Arial" w:cs="Arial" w:eastAsia="Arial" w:hAnsi="Arial"/>
          <w:sz w:val="19"/>
          <w:szCs w:val="19"/>
          <w:color w:val="auto"/>
        </w:rPr>
        <w:t>Unless the Committee determines another limit prior to an Offering Period, no Eligible Employee shall be permitted to purchase more than 2,500 shares of Company Stock during any one Offering Period. Notwithstanding the foregoing, no Eligible Employee may be granted any options during any one calendar year which permit his or her rights to purchase shares of</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063" w:right="279" w:bottom="1440" w:gutter="0" w:footer="0" w:header="0"/>
        </w:sectPr>
      </w:pPr>
    </w:p>
    <w:bookmarkStart w:id="15" w:name="page16"/>
    <w:bookmarkEnd w:id="15"/>
    <w:p>
      <w:pPr>
        <w:ind w:right="100"/>
        <w:spacing w:after="0" w:line="253" w:lineRule="auto"/>
        <w:rPr>
          <w:sz w:val="20"/>
          <w:szCs w:val="20"/>
          <w:color w:val="auto"/>
        </w:rPr>
      </w:pPr>
      <w:r>
        <w:rPr>
          <w:rFonts w:ascii="Arial" w:cs="Arial" w:eastAsia="Arial" w:hAnsi="Arial"/>
          <w:sz w:val="22"/>
          <w:szCs w:val="22"/>
          <w:color w:val="auto"/>
        </w:rPr>
        <w:t>Company Stock under all Code Section 423 employee stock purchase plans of the Company and its Subsidiaries to accrue at a rate that exceeds $25,000 of the Fair Market Value of such stock determined on the Grant Date, which limit shall be interpreted to comply with Code Section 423(b)(8).</w:t>
      </w:r>
    </w:p>
    <w:p>
      <w:pPr>
        <w:spacing w:after="0" w:line="186" w:lineRule="exact"/>
        <w:rPr>
          <w:sz w:val="20"/>
          <w:szCs w:val="20"/>
          <w:color w:val="auto"/>
        </w:rPr>
      </w:pPr>
    </w:p>
    <w:p>
      <w:pPr>
        <w:ind w:right="340" w:firstLine="648"/>
        <w:spacing w:after="0" w:line="261" w:lineRule="auto"/>
        <w:rPr>
          <w:sz w:val="20"/>
          <w:szCs w:val="20"/>
          <w:color w:val="auto"/>
        </w:rPr>
      </w:pPr>
      <w:r>
        <w:rPr>
          <w:rFonts w:ascii="Arial" w:cs="Arial" w:eastAsia="Arial" w:hAnsi="Arial"/>
          <w:sz w:val="21"/>
          <w:szCs w:val="21"/>
          <w:color w:val="auto"/>
        </w:rPr>
        <w:t>A Participant’s Payroll Deduction Account may not be used to purchase Company Stock on any Investment Date to the extent that, after such purchase, the Participant would own (or be considered as owning within the meaning of Code Section 424(d)) stock possessing 5% or more of the total combined voting power of the Company or its Parent or Subsidiary. For this purpose, stock which the Participant may purchase under any outstanding option (whether or not exercisable) shall be treated as owned by such Participant. As of the first Investment Date on which this paragraph limits a Participant’s ability to purchase Company Stock, the employee shall cease to be a Participant.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Title of Accounts</w:t>
      </w:r>
    </w:p>
    <w:p>
      <w:pPr>
        <w:spacing w:after="0" w:line="260"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The Custodian shall maintain an Investment Account for each Participant.</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Right to Sell Company Stock in Investment Account</w:t>
      </w:r>
    </w:p>
    <w:p>
      <w:pPr>
        <w:spacing w:after="0" w:line="260" w:lineRule="exact"/>
        <w:rPr>
          <w:sz w:val="20"/>
          <w:szCs w:val="20"/>
          <w:color w:val="auto"/>
        </w:rPr>
      </w:pPr>
    </w:p>
    <w:p>
      <w:pPr>
        <w:ind w:right="320" w:firstLine="648"/>
        <w:spacing w:after="0" w:line="265" w:lineRule="auto"/>
        <w:rPr>
          <w:sz w:val="20"/>
          <w:szCs w:val="20"/>
          <w:color w:val="auto"/>
        </w:rPr>
      </w:pPr>
      <w:r>
        <w:rPr>
          <w:rFonts w:ascii="Arial" w:cs="Arial" w:eastAsia="Arial" w:hAnsi="Arial"/>
          <w:sz w:val="21"/>
          <w:szCs w:val="21"/>
          <w:color w:val="auto"/>
        </w:rPr>
        <w:t>A Participant shall have the right at any time to obtain a certificate (if the Company Stock is certificated) for the shares (including fractional shares) of Company Stock credited to his or her Investment Account. Subject to the Company’s Insider Trading Policy, a Participant shall have the right at any time to direct that any shares of Company Stock in his or her Investment Account be sold and that the proceeds, less expenses of sale, be remitted to him or her.</w:t>
      </w:r>
    </w:p>
    <w:p>
      <w:pPr>
        <w:spacing w:after="0" w:line="176" w:lineRule="exact"/>
        <w:rPr>
          <w:sz w:val="20"/>
          <w:szCs w:val="20"/>
          <w:color w:val="auto"/>
        </w:rPr>
      </w:pPr>
    </w:p>
    <w:p>
      <w:pPr>
        <w:ind w:right="100" w:firstLine="648"/>
        <w:spacing w:after="0" w:line="297" w:lineRule="auto"/>
        <w:rPr>
          <w:sz w:val="20"/>
          <w:szCs w:val="20"/>
          <w:color w:val="auto"/>
        </w:rPr>
      </w:pPr>
      <w:r>
        <w:rPr>
          <w:rFonts w:ascii="Arial" w:cs="Arial" w:eastAsia="Arial" w:hAnsi="Arial"/>
          <w:sz w:val="19"/>
          <w:szCs w:val="19"/>
          <w:color w:val="auto"/>
        </w:rPr>
        <w:t>When a Participant ceases to be a Participant, the Participant may elect to have his or her shares sold by the Custodian and the proceeds, after selling expenses, remitted to him or her or the Participant may elect to have a certificate (if the Company Stock is certificated) for the shares of Company Stock credited to the Participant’s Investment Account forwarded to him or her. In either event, the Custodian may sell any fractional interest held in the Participant’s Investment Account to the Company and remit the proceeds of such sale, less selling expenses, and the balance in his or her Payroll Deduction Account to him or her.</w:t>
      </w:r>
    </w:p>
    <w:p>
      <w:pPr>
        <w:spacing w:after="0" w:line="147"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As a condition of participation in the Plan, each Participant agrees to notify the Company if he or she sells or otherwise disposes of any of his or her shares of Company Stock within two years after the Grant Date or within one year after the Investment Date.</w:t>
      </w:r>
    </w:p>
    <w:p>
      <w:pPr>
        <w:spacing w:after="0" w:line="186"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Rights Not Transferable</w:t>
      </w:r>
    </w:p>
    <w:p>
      <w:pPr>
        <w:spacing w:after="0" w:line="260" w:lineRule="exact"/>
        <w:rPr>
          <w:sz w:val="20"/>
          <w:szCs w:val="20"/>
          <w:color w:val="auto"/>
        </w:rPr>
      </w:pPr>
    </w:p>
    <w:p>
      <w:pPr>
        <w:ind w:right="120" w:firstLine="648"/>
        <w:spacing w:after="0" w:line="287" w:lineRule="auto"/>
        <w:rPr>
          <w:sz w:val="20"/>
          <w:szCs w:val="20"/>
          <w:color w:val="auto"/>
        </w:rPr>
      </w:pPr>
      <w:r>
        <w:rPr>
          <w:rFonts w:ascii="Arial" w:cs="Arial" w:eastAsia="Arial" w:hAnsi="Arial"/>
          <w:sz w:val="21"/>
          <w:szCs w:val="21"/>
          <w:color w:val="auto"/>
        </w:rPr>
        <w:t>Rights under the Plan are not transferable by a Participant, except by will or by the laws of descent and distribution. Rights under the Plan are exercisable during a Participant’s lifetime only by him or her, pursuant to Section 7.</w:t>
      </w:r>
    </w:p>
    <w:p>
      <w:pPr>
        <w:spacing w:after="0" w:line="152"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Change in Capital Structure</w:t>
      </w:r>
    </w:p>
    <w:p>
      <w:pPr>
        <w:spacing w:after="0" w:line="260" w:lineRule="exact"/>
        <w:rPr>
          <w:sz w:val="20"/>
          <w:szCs w:val="20"/>
          <w:color w:val="auto"/>
        </w:rPr>
      </w:pPr>
    </w:p>
    <w:p>
      <w:pPr>
        <w:ind w:right="660" w:firstLine="648"/>
        <w:spacing w:after="0" w:line="263" w:lineRule="auto"/>
        <w:rPr>
          <w:sz w:val="20"/>
          <w:szCs w:val="20"/>
          <w:color w:val="auto"/>
        </w:rPr>
      </w:pPr>
      <w:r>
        <w:rPr>
          <w:rFonts w:ascii="Arial" w:cs="Arial" w:eastAsia="Arial" w:hAnsi="Arial"/>
          <w:sz w:val="22"/>
          <w:szCs w:val="22"/>
          <w:color w:val="auto"/>
        </w:rPr>
        <w:t>In the event of a stock dividend, spinoff, stock split or combination of shares, recapitalization or merger in which the Company is the surviving corporation or other change in</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91" w:right="259" w:bottom="1440" w:gutter="0" w:footer="0" w:header="0"/>
        </w:sectPr>
      </w:pPr>
    </w:p>
    <w:bookmarkStart w:id="16" w:name="page17"/>
    <w:bookmarkEnd w:id="16"/>
    <w:p>
      <w:pPr>
        <w:spacing w:after="0" w:line="248" w:lineRule="auto"/>
        <w:rPr>
          <w:sz w:val="20"/>
          <w:szCs w:val="20"/>
          <w:color w:val="auto"/>
        </w:rPr>
      </w:pPr>
      <w:r>
        <w:rPr>
          <w:rFonts w:ascii="Arial" w:cs="Arial" w:eastAsia="Arial" w:hAnsi="Arial"/>
          <w:sz w:val="22"/>
          <w:szCs w:val="22"/>
          <w:color w:val="auto"/>
        </w:rPr>
        <w:t>the Company’s capital stock (including, but not limited to, the creation or issuance to shareholders generally of rights, options or warrants for the purchase of common stock or preferred stock of the Company), the number and kind of shares of stock or securities of the Company to be subject to the Plan, the maximum number of shares or securities which may be delivered under the Plan, the selling price and other relevant provisions shall be appropriately adjusted by the Committee, whose determination shall be binding on all persons.</w:t>
      </w:r>
    </w:p>
    <w:p>
      <w:pPr>
        <w:spacing w:after="0" w:line="192" w:lineRule="exact"/>
        <w:rPr>
          <w:sz w:val="20"/>
          <w:szCs w:val="20"/>
          <w:color w:val="auto"/>
        </w:rPr>
      </w:pPr>
    </w:p>
    <w:p>
      <w:pPr>
        <w:ind w:right="240" w:firstLine="648"/>
        <w:spacing w:after="0" w:line="250" w:lineRule="auto"/>
        <w:rPr>
          <w:sz w:val="20"/>
          <w:szCs w:val="20"/>
          <w:color w:val="auto"/>
        </w:rPr>
      </w:pPr>
      <w:r>
        <w:rPr>
          <w:rFonts w:ascii="Arial" w:cs="Arial" w:eastAsia="Arial" w:hAnsi="Arial"/>
          <w:sz w:val="22"/>
          <w:szCs w:val="22"/>
          <w:color w:val="auto"/>
        </w:rPr>
        <w:t>If the Company is a party to a consolidation or a merger in which the Company is not the surviving corporation, a transaction that results in the acquisition of substantially all of the Company’s outstanding stock by a single person or entity, or a sale or transfer of substantially all of the Company’s assets, the Committee may take such actions with respect to the Plan as the Committee deems appropriate.</w:t>
      </w:r>
    </w:p>
    <w:p>
      <w:pPr>
        <w:spacing w:after="0" w:line="188" w:lineRule="exact"/>
        <w:rPr>
          <w:sz w:val="20"/>
          <w:szCs w:val="20"/>
          <w:color w:val="auto"/>
        </w:rPr>
      </w:pPr>
    </w:p>
    <w:p>
      <w:pPr>
        <w:ind w:right="100" w:firstLine="648"/>
        <w:spacing w:after="0" w:line="343" w:lineRule="auto"/>
        <w:rPr>
          <w:sz w:val="20"/>
          <w:szCs w:val="20"/>
          <w:color w:val="auto"/>
        </w:rPr>
      </w:pPr>
      <w:r>
        <w:rPr>
          <w:rFonts w:ascii="Arial" w:cs="Arial" w:eastAsia="Arial" w:hAnsi="Arial"/>
          <w:sz w:val="19"/>
          <w:szCs w:val="19"/>
          <w:color w:val="auto"/>
        </w:rPr>
        <w:t>Notwithstanding anything in the Plan to the contrary, the Committee may take the foregoing actions without the consent of any Participant, and the Committee’s determination shall be conclusive and binding on all persons for all purposes.</w:t>
      </w:r>
    </w:p>
    <w:p>
      <w:pPr>
        <w:spacing w:after="0" w:line="200" w:lineRule="exact"/>
        <w:rPr>
          <w:sz w:val="20"/>
          <w:szCs w:val="20"/>
          <w:color w:val="auto"/>
        </w:rPr>
      </w:pPr>
    </w:p>
    <w:p>
      <w:pPr>
        <w:spacing w:after="0" w:line="377"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Retirement, Termination and Death</w:t>
      </w:r>
    </w:p>
    <w:p>
      <w:pPr>
        <w:spacing w:after="0" w:line="260"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Notwithstanding any provision in the Plan to the contrary, in the event of a Participant’s retirement, termination of active employment, or death, all payroll deductions shall cease effective with such event and the amount in his or her Payroll Deduction Account shall be refunded to him or her. Certificates (if the Company Stock is certificated) will be issued for full shares of Company Stock held in his or her Investment Account if elected with the Custodian and pursuant to the rules of the Custodian. If a Participant elects to have his or her shares sold, he or she will receive the proceeds of the sale, less selling expenses. In the event of his or her death, the amount, if any, in his or her Payroll Deduction Account shall be paid to his or her estate, and any shares of Company Stock in his or her Investment Account shall be delivered to any beneficiary he or she has properly designated in forms filed with the Custodian, and if no such designation is on file with the Custodian, then such shares of Company Stock shall be delivered to his or her estate.</w:t>
      </w:r>
    </w:p>
    <w:p>
      <w:pPr>
        <w:spacing w:after="0" w:line="180"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Amendment of the Plan</w:t>
      </w:r>
    </w:p>
    <w:p>
      <w:pPr>
        <w:spacing w:after="0" w:line="260"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The Board of Directors may at any time, or from time to time, amend the Plan in any respect; provided, however, that the shareholders of the Company must approve any amendment that would increase the number of securities that may be issued under the Plan (other than an increase solely to reflect a change in capitalization such as a stock dividend or stock split pursuant to Section 13).</w:t>
      </w:r>
    </w:p>
    <w:p>
      <w:pPr>
        <w:spacing w:after="0" w:line="188"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Termination of the Plan</w:t>
      </w:r>
    </w:p>
    <w:p>
      <w:pPr>
        <w:spacing w:after="0" w:line="260"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The Plan and all rights of employees hereunder shall terminate at the discretion of the Board of Directors. Upon termination of the Plan, all amounts in an employee’s Payroll Deduction Account that are not used to purchase Company Stock will be refunded.</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591" w:right="279" w:bottom="1440" w:gutter="0" w:footer="0" w:header="0"/>
        </w:sectPr>
      </w:pPr>
    </w:p>
    <w:bookmarkStart w:id="17" w:name="page18"/>
    <w:bookmarkEnd w:id="17"/>
    <w:p>
      <w:pPr>
        <w:ind w:left="660" w:hanging="652"/>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Effective Date of Plan</w:t>
      </w:r>
    </w:p>
    <w:p>
      <w:pPr>
        <w:spacing w:after="0" w:line="260"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The Plan is effective as of December 12, 2014.</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Government and Other Regulations</w:t>
      </w:r>
    </w:p>
    <w:p>
      <w:pPr>
        <w:spacing w:after="0" w:line="26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The Plan, and the grant and exercise of the rights to purchase shares hereunder, and the Company’s obligation to sell and deliver shares upon the exercise of rights to purchase shares, shall be subject to all applicable federal, state and foreign laws, rules and regulations, and to such approvals by any regulatory or government agency as may, in the opinion of counsel for the Company, be required.</w:t>
      </w:r>
    </w:p>
    <w:p>
      <w:pPr>
        <w:spacing w:after="0" w:line="188"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Indemnification of Committee</w:t>
      </w:r>
    </w:p>
    <w:p>
      <w:pPr>
        <w:spacing w:after="0" w:line="260" w:lineRule="exact"/>
        <w:rPr>
          <w:sz w:val="20"/>
          <w:szCs w:val="20"/>
          <w:color w:val="auto"/>
        </w:rPr>
      </w:pPr>
    </w:p>
    <w:p>
      <w:pPr>
        <w:jc w:val="both"/>
        <w:ind w:right="40" w:firstLine="648"/>
        <w:spacing w:after="0" w:line="253" w:lineRule="auto"/>
        <w:rPr>
          <w:sz w:val="20"/>
          <w:szCs w:val="20"/>
          <w:color w:val="auto"/>
        </w:rPr>
      </w:pPr>
      <w:r>
        <w:rPr>
          <w:rFonts w:ascii="Arial" w:cs="Arial" w:eastAsia="Arial" w:hAnsi="Arial"/>
          <w:sz w:val="22"/>
          <w:szCs w:val="22"/>
          <w:color w:val="auto"/>
        </w:rPr>
        <w:t>Service on the Committee shall constitute service as a director of the Company so that members of the Committee shall be entitled to such indemnification and reimbursement as directors of the Company as provided in its Articles of Incorporation and/or Bylaws.</w:t>
      </w:r>
    </w:p>
    <w:p>
      <w:pPr>
        <w:spacing w:after="0" w:line="186"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Governing Law</w:t>
      </w:r>
    </w:p>
    <w:p>
      <w:pPr>
        <w:spacing w:after="0" w:line="260"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The Plan shall be construed and administered in accordance with the laws of the State of Utah.</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Legends</w:t>
      </w:r>
    </w:p>
    <w:p>
      <w:pPr>
        <w:spacing w:after="0" w:line="260"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In its sole and complete discretion, the Committee may elect to legend certificates representing Company Stock sold under the Plan to make appropriate references to the restrictions imposed on such Company Stock.</w:t>
      </w: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 * * * * *</w:t>
      </w:r>
    </w:p>
    <w:p>
      <w:pPr>
        <w:spacing w:after="0" w:line="220"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WHEREAS, ClearOne, Inc. has adopted the ClearOne, Inc. Employee Stock Purchase Plan effective as of December 12,</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2014.</w:t>
      </w:r>
    </w:p>
    <w:p>
      <w:pPr>
        <w:spacing w:after="0" w:line="350"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CLEARONE,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740"/>
        <w:spacing w:after="0"/>
        <w:rPr>
          <w:sz w:val="20"/>
          <w:szCs w:val="20"/>
          <w:color w:val="auto"/>
        </w:rPr>
      </w:pPr>
      <w:r>
        <w:rPr>
          <w:rFonts w:ascii="Arial" w:cs="Arial" w:eastAsia="Arial" w:hAnsi="Arial"/>
          <w:sz w:val="22"/>
          <w:szCs w:val="22"/>
          <w:u w:val="single" w:color="auto"/>
          <w:color w:val="auto"/>
        </w:rPr>
        <w:t>/s/ Narsi Narayanan</w:t>
      </w:r>
    </w:p>
    <w:p>
      <w:pPr>
        <w:ind w:left="5740"/>
        <w:spacing w:after="0" w:line="238" w:lineRule="auto"/>
        <w:rPr>
          <w:sz w:val="20"/>
          <w:szCs w:val="20"/>
          <w:color w:val="auto"/>
        </w:rPr>
      </w:pPr>
      <w:r>
        <w:rPr>
          <w:rFonts w:ascii="Arial" w:cs="Arial" w:eastAsia="Arial" w:hAnsi="Arial"/>
          <w:sz w:val="22"/>
          <w:szCs w:val="22"/>
          <w:color w:val="auto"/>
        </w:rPr>
        <w:t>Name: Narsi Narayanan</w:t>
      </w:r>
    </w:p>
    <w:p>
      <w:pPr>
        <w:ind w:left="5740"/>
        <w:spacing w:after="0" w:line="230" w:lineRule="auto"/>
        <w:rPr>
          <w:sz w:val="20"/>
          <w:szCs w:val="20"/>
          <w:color w:val="auto"/>
        </w:rPr>
      </w:pPr>
      <w:r>
        <w:rPr>
          <w:rFonts w:ascii="Arial" w:cs="Arial" w:eastAsia="Arial" w:hAnsi="Arial"/>
          <w:sz w:val="22"/>
          <w:szCs w:val="22"/>
          <w:color w:val="auto"/>
        </w:rPr>
        <w:t>Title: Senior Vice President of Finance</w:t>
      </w:r>
    </w:p>
    <w:p>
      <w:pPr>
        <w:spacing w:after="0" w:line="1"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and Corporate Secretary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591" w:right="319" w:bottom="1440" w:gutter="0" w:footer="0" w:header="0"/>
        </w:sectPr>
      </w:pPr>
    </w:p>
    <w:bookmarkStart w:id="18" w:name="page19"/>
    <w:bookmarkEnd w:id="18"/>
    <w:p>
      <w:pPr>
        <w:jc w:val="center"/>
        <w:ind w:right="-1220"/>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CLEAREONE, INC.</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List of Subsidiaries</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9"/>
          <w:szCs w:val="19"/>
          <w:b w:val="1"/>
          <w:bCs w:val="1"/>
          <w:color w:val="auto"/>
        </w:rPr>
        <w:t>As of December 12, 2014</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NetStreams, Inc. (DE)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NetStreams, LLC (TX)</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ClearOne Web Solutions, Inc. (DE)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ClearOne Communications Hong King Limited (Hong Kong)</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ClearOne Communications Limited (United Kingdom)</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ClearOne Ltd. (Israel)</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ClearOne middle East FZE (Dubai)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Gentner Communications Limited (Ireland)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Gentner Ventures, Inc. (UT)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E.mergent, Inc. (DE)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Sabine, Inc. (FL)</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ClearOne Spain SL (Spain)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19"/>
          </w:cols>
          <w:pgMar w:left="240" w:top="585" w:right="1440"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on Legality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Seyfarth Shaw LLP Letterhead</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ClearOne,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5225 Wile Post Way, Suite 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 84116</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Form S-8 Registration Statement of ClearOne, Inc. - ClearOne, Inc. Employee Stock Purchase Plan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acted as counsel for ClearOne, Inc., a Utah corporation (the “Company”), in connection with the referenced Registration Statement on Form S-8 (the “Registration Statement”) being filed by the Company with the Securities and Exchange Commission (the “Commission”) under the Securities Act of 1933, as amended, and covering 500,000 shares of the Company’s common stock, $0.001 par value per share (the “Shares”), that may be purchased under the Plan. We have been requested to furnish this Opinion Letter to be included as Exhibit 5 to the Registration Statement.</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the capacity described above, we have considered such matters of law and of fact, including the examination of originals or copies, certified or otherwise identified to our satisfaction, of such records and documents of the Company, certificates of public officials and such other documents as we have deemed appropriate as a basis for the opinion hereinafter set forth. Without limiting the foregoing, we have assumed without verification the genuineness of all signatures on all documents, the authority of the parties (other than the Company) executing such documents, the authenticity of all documents submitted to us as originals, and the conformity to original documents of all documents submitted to us as copies. The opinions set forth herein are based on existing laws, ordinances, rules, regulations, and judicial and administrative decisions as they presently have been interpreted, and we can give no assurances that our opinions would not be different after any change in any of the foregoing occurring after the date hereof. We have assumed without verification that, with respect to the minutes of any meetings of the Board of Directors or any committees thereof of the Company or of the shareholders of the Company that we have examined, due notice of the meetings was given or duly waived, the minutes accurately and completely reflect all actions taken at the meetings and a quorum was present and acting throughout the meetings. We have assumed without verification the accuracy and completeness of all corporate records made available to us by the Company.</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Based upon the foregoing, upon the assumption that there will be no material changes in the documents we have examined and the matters investigated referred to above, we are of the opinion that the Shares covered by the Registration Statement and to be issued pursuant to the Plan have been duly authorized by all requisite action on the part of the Company and, when issued in accordance with the terms and conditions of the Plan and for legal consideration not less than the consideration the board of directors of the Company has determined is adequate, will be legally and validly issued, fully paid and non-assessable.</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This Opinion Letter is provided to you for your sole benefit, and may not be relied upon by any other person or for any other purpose without our prior written consent. This letter speaks only as of the date hereof and we have no responsibilities to update or supplement it after such date.</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hereby consent to the filing of this opinion as exhibit 5 to the Registration Statement and further consent to the use of our name wherever appearing in the Registration Statement. By giving such consent we do not thereby admit we are in the category of persons where consent is required under Section 7 of the Securities Act of 1933, as amended, or the rules and regulations promulgated thereunder.</w:t>
      </w:r>
    </w:p>
    <w:p>
      <w:pPr>
        <w:spacing w:after="0" w:line="39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Seyfarth Shaw LLP</w:t>
      </w:r>
    </w:p>
    <w:p>
      <w:pPr>
        <w:sectPr>
          <w:pgSz w:w="11900" w:h="16838" w:orient="portrait"/>
          <w:cols w:equalWidth="0" w:num="1">
            <w:col w:w="11420"/>
          </w:cols>
          <w:pgMar w:left="240" w:top="580"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consent to the incorporation by reference in this Registration Statement on Form S-8 of ClearOne, Inc. of our report dated March 30, 2015, relating to our audit of the consolidated financial statements which appears in the Annual Report on Form 10-K of ClearOne, Inc. for the year ended December 31, 2014.</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 McGladrey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2015</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1)"/>
      <w:numFmt w:val="lowerLetter"/>
      <w:start w:val="1"/>
    </w:lvl>
  </w:abstractNum>
  <w:abstractNum w:abstractNumId="2">
    <w:nsid w:val="3352255A"/>
    <w:multiLevelType w:val="hybridMultilevel"/>
    <w:lvl w:ilvl="0">
      <w:lvlJc w:val="left"/>
      <w:lvlText w:val="(%1)"/>
      <w:numFmt w:val="decimal"/>
      <w:start w:val="1"/>
    </w:lvl>
    <w:lvl w:ilvl="1">
      <w:lvlJc w:val="left"/>
      <w:lvlText w:val="(%2)"/>
      <w:numFmt w:val="lowerRoman"/>
      <w:start w:val="1"/>
    </w:lvl>
  </w:abstractNum>
  <w:abstractNum w:abstractNumId="3">
    <w:nsid w:val="109CF92E"/>
    <w:multiLevelType w:val="hybridMultilevel"/>
    <w:lvl w:ilvl="0">
      <w:lvlJc w:val="left"/>
      <w:lvlText w:val="(%1)"/>
      <w:numFmt w:val="decimal"/>
      <w:start w:val="3"/>
    </w:lvl>
  </w:abstractNum>
  <w:abstractNum w:abstractNumId="4">
    <w:nsid w:val="DED7263"/>
    <w:multiLevelType w:val="hybridMultilevel"/>
    <w:lvl w:ilvl="0">
      <w:lvlJc w:val="left"/>
      <w:lvlText w:val="(%1)"/>
      <w:numFmt w:val="decimal"/>
      <w:start w:val="5"/>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2"/>
    </w:lvl>
  </w:abstractNum>
  <w:abstractNum w:abstractNumId="7">
    <w:nsid w:val="41A7C4C9"/>
    <w:multiLevelType w:val="hybridMultilevel"/>
    <w:lvl w:ilvl="0">
      <w:lvlJc w:val="left"/>
      <w:lvlText w:val="%1."/>
      <w:numFmt w:val="decimal"/>
      <w:start w:val="3"/>
    </w:lvl>
  </w:abstractNum>
  <w:abstractNum w:abstractNumId="8">
    <w:nsid w:val="6B68079A"/>
    <w:multiLevelType w:val="hybridMultilevel"/>
    <w:lvl w:ilvl="0">
      <w:lvlJc w:val="left"/>
      <w:lvlText w:val="%1."/>
      <w:numFmt w:val="decimal"/>
      <w:start w:val="4"/>
    </w:lvl>
  </w:abstractNum>
  <w:abstractNum w:abstractNumId="9">
    <w:nsid w:val="4E6AFB66"/>
    <w:multiLevelType w:val="hybridMultilevel"/>
    <w:lvl w:ilvl="0">
      <w:lvlJc w:val="left"/>
      <w:lvlText w:val="%1."/>
      <w:numFmt w:val="decimal"/>
      <w:start w:val="5"/>
    </w:lvl>
  </w:abstractNum>
  <w:abstractNum w:abstractNumId="10">
    <w:nsid w:val="25E45D32"/>
    <w:multiLevelType w:val="hybridMultilevel"/>
    <w:lvl w:ilvl="0">
      <w:lvlJc w:val="left"/>
      <w:lvlText w:val="%1."/>
      <w:numFmt w:val="decimal"/>
      <w:start w:val="6"/>
    </w:lvl>
  </w:abstractNum>
  <w:abstractNum w:abstractNumId="11">
    <w:nsid w:val="519B500D"/>
    <w:multiLevelType w:val="hybridMultilevel"/>
    <w:lvl w:ilvl="0">
      <w:lvlJc w:val="left"/>
      <w:lvlText w:val="%1."/>
      <w:numFmt w:val="decimal"/>
      <w:start w:val="7"/>
    </w:lvl>
  </w:abstractNum>
  <w:abstractNum w:abstractNumId="12">
    <w:nsid w:val="431BD7B7"/>
    <w:multiLevelType w:val="hybridMultilevel"/>
    <w:lvl w:ilvl="0">
      <w:lvlJc w:val="left"/>
      <w:lvlText w:val="%1."/>
      <w:numFmt w:val="decimal"/>
      <w:start w:val="8"/>
    </w:lvl>
  </w:abstractNum>
  <w:abstractNum w:abstractNumId="13">
    <w:nsid w:val="3F2DBA31"/>
    <w:multiLevelType w:val="hybridMultilevel"/>
    <w:lvl w:ilvl="0">
      <w:lvlJc w:val="left"/>
      <w:lvlText w:val="%1."/>
      <w:numFmt w:val="decimal"/>
      <w:start w:val="9"/>
    </w:lvl>
  </w:abstractNum>
  <w:abstractNum w:abstractNumId="14">
    <w:nsid w:val="7C83E458"/>
    <w:multiLevelType w:val="hybridMultilevel"/>
    <w:lvl w:ilvl="0">
      <w:lvlJc w:val="left"/>
      <w:lvlText w:val="%1."/>
      <w:numFmt w:val="decimal"/>
      <w:start w:val="10"/>
    </w:lvl>
  </w:abstractNum>
  <w:abstractNum w:abstractNumId="15">
    <w:nsid w:val="257130A3"/>
    <w:multiLevelType w:val="hybridMultilevel"/>
    <w:lvl w:ilvl="0">
      <w:lvlJc w:val="left"/>
      <w:lvlText w:val="%1."/>
      <w:numFmt w:val="decimal"/>
      <w:start w:val="12"/>
    </w:lvl>
  </w:abstractNum>
  <w:abstractNum w:abstractNumId="16">
    <w:nsid w:val="62BBD95A"/>
    <w:multiLevelType w:val="hybridMultilevel"/>
    <w:lvl w:ilvl="0">
      <w:lvlJc w:val="left"/>
      <w:lvlText w:val="%1."/>
      <w:numFmt w:val="decimal"/>
      <w:start w:val="13"/>
    </w:lvl>
  </w:abstractNum>
  <w:abstractNum w:abstractNumId="17">
    <w:nsid w:val="436C6125"/>
    <w:multiLevelType w:val="hybridMultilevel"/>
    <w:lvl w:ilvl="0">
      <w:lvlJc w:val="left"/>
      <w:lvlText w:val="%1."/>
      <w:numFmt w:val="decimal"/>
      <w:start w:val="14"/>
    </w:lvl>
  </w:abstractNum>
  <w:abstractNum w:abstractNumId="18">
    <w:nsid w:val="628C895D"/>
    <w:multiLevelType w:val="hybridMultilevel"/>
    <w:lvl w:ilvl="0">
      <w:lvlJc w:val="left"/>
      <w:lvlText w:val="%1."/>
      <w:numFmt w:val="decimal"/>
      <w:start w:val="15"/>
    </w:lvl>
  </w:abstractNum>
  <w:abstractNum w:abstractNumId="19">
    <w:nsid w:val="333AB105"/>
    <w:multiLevelType w:val="hybridMultilevel"/>
    <w:lvl w:ilvl="0">
      <w:lvlJc w:val="left"/>
      <w:lvlText w:val="%1."/>
      <w:numFmt w:val="decimal"/>
      <w:start w:val="16"/>
    </w:lvl>
  </w:abstractNum>
  <w:abstractNum w:abstractNumId="20">
    <w:nsid w:val="721DA317"/>
    <w:multiLevelType w:val="hybridMultilevel"/>
    <w:lvl w:ilvl="0">
      <w:lvlJc w:val="left"/>
      <w:lvlText w:val="%1."/>
      <w:numFmt w:val="decimal"/>
      <w:start w:val="17"/>
    </w:lvl>
  </w:abstractNum>
  <w:abstractNum w:abstractNumId="21">
    <w:nsid w:val="2443A858"/>
    <w:multiLevelType w:val="hybridMultilevel"/>
    <w:lvl w:ilvl="0">
      <w:lvlJc w:val="left"/>
      <w:lvlText w:val="%1."/>
      <w:numFmt w:val="decimal"/>
      <w:start w:val="19"/>
    </w:lvl>
  </w:abstractNum>
  <w:abstractNum w:abstractNumId="22">
    <w:nsid w:val="2D1D5AE9"/>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2019-12-06T04:16:00Z</dcterms:created>
  <dcterms:modified xsi:type="dcterms:W3CDTF">2019-12-06T04:16:00Z</dcterms:modified>
</cp:coreProperties>
</file>