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ind w:right="209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Quarterly Report Pursuant to Section 13 or 15(d) of the Securities Exchange Act of 1934</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For the quarterly period ended March 31, 1997</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19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For the transition period from --------------- to ---------------</w:t>
      </w:r>
    </w:p>
    <w:p>
      <w:pPr>
        <w:spacing w:after="0" w:line="200" w:lineRule="exact"/>
        <w:rPr>
          <w:sz w:val="24"/>
          <w:szCs w:val="24"/>
          <w:color w:val="auto"/>
        </w:rPr>
      </w:pPr>
    </w:p>
    <w:p>
      <w:pPr>
        <w:spacing w:after="0" w:line="204" w:lineRule="exact"/>
        <w:rPr>
          <w:sz w:val="24"/>
          <w:szCs w:val="24"/>
          <w:color w:val="auto"/>
        </w:rPr>
      </w:pPr>
    </w:p>
    <w:p>
      <w:pPr>
        <w:jc w:val="right"/>
        <w:ind w:right="4419"/>
        <w:spacing w:after="0"/>
        <w:rPr>
          <w:sz w:val="20"/>
          <w:szCs w:val="20"/>
          <w:color w:val="auto"/>
        </w:rPr>
      </w:pPr>
      <w:r>
        <w:rPr>
          <w:rFonts w:ascii="Courier New" w:cs="Courier New" w:eastAsia="Courier New" w:hAnsi="Courier New"/>
          <w:sz w:val="18"/>
          <w:szCs w:val="18"/>
          <w:color w:val="auto"/>
        </w:rPr>
        <w:t>Commission file number: 0-17219</w:t>
      </w:r>
    </w:p>
    <w:p>
      <w:pPr>
        <w:jc w:val="right"/>
        <w:ind w:right="441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244" w:right="1440" w:bottom="1440" w:gutter="0" w:footer="0" w:header="0"/>
        </w:sectPr>
      </w:pPr>
    </w:p>
    <w:bookmarkStart w:id="1" w:name="page2"/>
    <w:bookmarkEnd w:id="1"/>
    <w:p>
      <w:pPr>
        <w:ind w:left="106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(State or other jurisdiction of</w:t>
      </w:r>
    </w:p>
    <w:p>
      <w:pPr>
        <w:ind w:left="4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87-0398877</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0"/>
          <w:szCs w:val="20"/>
          <w:color w:val="auto"/>
        </w:rPr>
      </w:pPr>
    </w:p>
    <w:p>
      <w:pPr>
        <w:sectPr>
          <w:pgSz w:w="11900" w:h="16838" w:orient="portrait"/>
          <w:cols w:equalWidth="0" w:num="2">
            <w:col w:w="4880" w:space="720"/>
            <w:col w:w="4619"/>
          </w:cols>
          <w:pgMar w:left="240" w:top="514" w:right="1440" w:bottom="1440" w:gutter="0" w:footer="0" w:header="0"/>
        </w:sectPr>
      </w:pPr>
    </w:p>
    <w:p>
      <w:pPr>
        <w:spacing w:after="0" w:line="7" w:lineRule="exact"/>
        <w:rPr>
          <w:sz w:val="20"/>
          <w:szCs w:val="20"/>
          <w:color w:val="auto"/>
        </w:rPr>
      </w:pPr>
    </w:p>
    <w:p>
      <w:pPr>
        <w:ind w:right="860"/>
        <w:spacing w:after="0" w:line="279" w:lineRule="auto"/>
        <w:rPr>
          <w:sz w:val="20"/>
          <w:szCs w:val="20"/>
          <w:color w:val="auto"/>
        </w:rPr>
      </w:pPr>
      <w:r>
        <w:rPr>
          <w:rFonts w:ascii="Courier New" w:cs="Courier New" w:eastAsia="Courier New" w:hAnsi="Courier New"/>
          <w:sz w:val="16"/>
          <w:szCs w:val="16"/>
          <w:color w:val="auto"/>
        </w:rPr>
        <w:t>1825 RESEARCH WAY, SALT LAKE CITY, UTAH - --------------------------------------- (Address of principal executive offices)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28" w:lineRule="exact"/>
        <w:rPr>
          <w:sz w:val="20"/>
          <w:szCs w:val="20"/>
          <w:color w:val="auto"/>
        </w:rPr>
      </w:pPr>
    </w:p>
    <w:p>
      <w:pPr>
        <w:sectPr>
          <w:pgSz w:w="11900" w:h="16838" w:orient="portrait"/>
          <w:cols w:equalWidth="0" w:num="2">
            <w:col w:w="5180" w:space="720"/>
            <w:col w:w="4319"/>
          </w:cols>
          <w:pgMar w:left="240" w:top="514" w:right="1440" w:bottom="1440" w:gutter="0" w:footer="0" w:header="0"/>
          <w:type w:val="continuous"/>
        </w:sectPr>
      </w:pPr>
    </w:p>
    <w:p>
      <w:pPr>
        <w:spacing w:after="0" w:line="175"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514" w:right="1440" w:bottom="1440" w:gutter="0" w:footer="0" w:header="0"/>
          <w:type w:val="continuous"/>
        </w:sect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Yes xx</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0"/>
          <w:szCs w:val="20"/>
          <w:color w:val="auto"/>
        </w:rPr>
      </w:pPr>
    </w:p>
    <w:p>
      <w:pPr>
        <w:sectPr>
          <w:pgSz w:w="11900" w:h="16838" w:orient="portrait"/>
          <w:cols w:equalWidth="0" w:num="2">
            <w:col w:w="960" w:space="420"/>
            <w:col w:w="8839"/>
          </w:cols>
          <w:pgMar w:left="240" w:top="514"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w:t>
      </w:r>
    </w:p>
    <w:p>
      <w:pPr>
        <w:spacing w:after="0" w:line="200" w:lineRule="exact"/>
        <w:rPr>
          <w:sz w:val="20"/>
          <w:szCs w:val="20"/>
          <w:color w:val="auto"/>
        </w:rPr>
      </w:pPr>
    </w:p>
    <w:p>
      <w:pPr>
        <w:sectPr>
          <w:pgSz w:w="11900" w:h="16838" w:orient="portrait"/>
          <w:cols w:equalWidth="0" w:num="2">
            <w:col w:w="1280" w:space="420"/>
            <w:col w:w="8519"/>
          </w:cols>
          <w:pgMar w:left="240" w:top="514" w:right="1440" w:bottom="1440" w:gutter="0" w:footer="0" w:header="0"/>
          <w:type w:val="continuous"/>
        </w:sectPr>
      </w:pPr>
    </w:p>
    <w:p>
      <w:pPr>
        <w:spacing w:after="0" w:line="2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514" w:right="1440" w:bottom="1440" w:gutter="0" w:footer="0" w:header="0"/>
          <w:type w:val="continuous"/>
        </w:sect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OF COMMON STOCK</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MAY 6, 1997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7,662,375 SHARES</w:t>
      </w:r>
    </w:p>
    <w:p>
      <w:pPr>
        <w:spacing w:after="0" w:line="216" w:lineRule="exact"/>
        <w:rPr>
          <w:sz w:val="20"/>
          <w:szCs w:val="20"/>
          <w:color w:val="auto"/>
        </w:rPr>
      </w:pPr>
    </w:p>
    <w:p>
      <w:pPr>
        <w:sectPr>
          <w:pgSz w:w="11900" w:h="16838" w:orient="portrait"/>
          <w:cols w:equalWidth="0" w:num="2">
            <w:col w:w="5500" w:space="720"/>
            <w:col w:w="399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4" w:lineRule="exact"/>
        <w:rPr>
          <w:sz w:val="20"/>
          <w:szCs w:val="20"/>
          <w:color w:val="auto"/>
        </w:rPr>
      </w:pPr>
    </w:p>
    <w:p>
      <w:pPr>
        <w:jc w:val="center"/>
        <w:ind w:left="3340"/>
        <w:spacing w:after="0"/>
        <w:rPr>
          <w:sz w:val="20"/>
          <w:szCs w:val="20"/>
          <w:color w:val="auto"/>
        </w:rPr>
      </w:pPr>
      <w:r>
        <w:rPr>
          <w:rFonts w:ascii="Courier New" w:cs="Courier New" w:eastAsia="Courier New" w:hAnsi="Courier New"/>
          <w:sz w:val="18"/>
          <w:szCs w:val="18"/>
          <w:color w:val="auto"/>
        </w:rPr>
        <w:t>PAGE</w:t>
      </w:r>
    </w:p>
    <w:p>
      <w:pPr>
        <w:jc w:val="center"/>
        <w:ind w:left="334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Balance Sheets</w:t>
            </w:r>
          </w:p>
        </w:tc>
        <w:tc>
          <w:tcPr>
            <w:tcW w:w="3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March 31, 1997 (unaudited) and June 30, 1996</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00" w:type="dxa"/>
            <w:vAlign w:val="bottom"/>
          </w:tcPr>
          <w:p>
            <w:pPr>
              <w:spacing w:after="0"/>
              <w:rPr>
                <w:sz w:val="24"/>
                <w:szCs w:val="24"/>
                <w:color w:val="auto"/>
              </w:rPr>
            </w:pP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3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56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Three Months Ended March 31, 1997 and</w:t>
            </w:r>
          </w:p>
        </w:tc>
        <w:tc>
          <w:tcPr>
            <w:tcW w:w="3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1996</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(unaudited)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00" w:type="dxa"/>
            <w:vAlign w:val="bottom"/>
          </w:tcPr>
          <w:p>
            <w:pPr>
              <w:spacing w:after="0"/>
              <w:rPr>
                <w:sz w:val="24"/>
                <w:szCs w:val="24"/>
                <w:color w:val="auto"/>
              </w:rPr>
            </w:pP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Statements of Operations</w:t>
            </w:r>
          </w:p>
        </w:tc>
        <w:tc>
          <w:tcPr>
            <w:tcW w:w="3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Nine</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Ended March 31, 1997 and</w:t>
            </w:r>
          </w:p>
        </w:tc>
        <w:tc>
          <w:tcPr>
            <w:tcW w:w="3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1996</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(unaudited)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608"/>
        </w:trPr>
        <w:tc>
          <w:tcPr>
            <w:tcW w:w="10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Condensed</w:t>
            </w:r>
          </w:p>
        </w:tc>
        <w:tc>
          <w:tcPr>
            <w:tcW w:w="4600" w:type="dxa"/>
            <w:vAlign w:val="bottom"/>
          </w:tcPr>
          <w:p>
            <w:pPr>
              <w:ind w:left="60"/>
              <w:spacing w:after="0"/>
              <w:rPr>
                <w:sz w:val="20"/>
                <w:szCs w:val="20"/>
                <w:color w:val="auto"/>
              </w:rPr>
            </w:pPr>
            <w:r>
              <w:rPr>
                <w:rFonts w:ascii="Courier New" w:cs="Courier New" w:eastAsia="Courier New" w:hAnsi="Courier New"/>
                <w:sz w:val="18"/>
                <w:szCs w:val="18"/>
                <w:color w:val="auto"/>
              </w:rPr>
              <w:t>Statements of Cash Flows</w:t>
            </w:r>
          </w:p>
        </w:tc>
        <w:tc>
          <w:tcPr>
            <w:tcW w:w="3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Nine</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Months Ended March 31, 1997 and</w:t>
            </w:r>
          </w:p>
        </w:tc>
        <w:tc>
          <w:tcPr>
            <w:tcW w:w="3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1996</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(unaudited)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1000" w:type="dxa"/>
            <w:vAlign w:val="bottom"/>
          </w:tcPr>
          <w:p>
            <w:pPr>
              <w:spacing w:after="0"/>
              <w:rPr>
                <w:sz w:val="24"/>
                <w:szCs w:val="24"/>
                <w:color w:val="auto"/>
              </w:rPr>
            </w:pP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Notes to Financial Statements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608"/>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Item</w:t>
            </w: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2. Management's Discussion and Analysis of Financial</w:t>
            </w:r>
          </w:p>
        </w:tc>
        <w:tc>
          <w:tcPr>
            <w:tcW w:w="3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Condition</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810"/>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PART II -</w:t>
            </w:r>
          </w:p>
        </w:tc>
        <w:tc>
          <w:tcPr>
            <w:tcW w:w="56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  INFORMATION</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660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GENTNER COMMUNICATIONS CORPORATION</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BALANCE SHEETS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June 30,</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1997</w:t>
            </w:r>
          </w:p>
        </w:tc>
        <w:tc>
          <w:tcPr>
            <w:tcW w:w="26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2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Cash and cash equivalents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292,952</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213,763</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Accounts receivable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1,592,031</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1,556,436</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Inventory . .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2,535,611</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3,229,765</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Other current assets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337,509</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111,743</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Total current assets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4,758,103</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5,111,707</w:t>
            </w:r>
          </w:p>
        </w:tc>
      </w:tr>
      <w:tr>
        <w:trPr>
          <w:trHeight w:val="405"/>
        </w:trPr>
        <w:tc>
          <w:tcPr>
            <w:tcW w:w="5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7"/>
              </w:rPr>
              <w:t>Property and equipment, net . . . . . . . .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2,220,717</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1,514,629</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7"/>
              </w:rPr>
              <w:t>Other assets, net .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307,191</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153,874</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Total assets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$ 7,286,011</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$ 6,780,210</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120" w:type="dxa"/>
            <w:vAlign w:val="bottom"/>
          </w:tcPr>
          <w:p>
            <w:pPr>
              <w:jc w:val="right"/>
              <w:spacing w:after="0"/>
              <w:rPr>
                <w:sz w:val="20"/>
                <w:szCs w:val="20"/>
                <w:color w:val="auto"/>
              </w:rPr>
            </w:pPr>
            <w:r>
              <w:rPr>
                <w:rFonts w:ascii="Courier New" w:cs="Courier New" w:eastAsia="Courier New" w:hAnsi="Courier New"/>
                <w:sz w:val="18"/>
                <w:szCs w:val="18"/>
                <w:color w:val="auto"/>
              </w:rPr>
              <w:t>LIABILITIES AND SHAREHOLDERS' EQUITY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Notes payable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$ 1,112,370</w:t>
            </w:r>
          </w:p>
        </w:tc>
        <w:tc>
          <w:tcPr>
            <w:tcW w:w="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916,041</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Accounts payable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662,467</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503,168</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Accrued expenses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390,220</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294,729</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Current portion of long-term debt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222,454</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163,314</w:t>
            </w: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obligations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181,339</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138,787</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Total current liabilities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2,568,850</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2,016,039</w:t>
            </w:r>
          </w:p>
        </w:tc>
      </w:tr>
      <w:tr>
        <w:trPr>
          <w:trHeight w:val="405"/>
        </w:trPr>
        <w:tc>
          <w:tcPr>
            <w:tcW w:w="512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7"/>
              </w:rPr>
              <w:t>Long-term debt  . . . . . . . . . . . . . . .</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639,783</w:t>
            </w:r>
          </w:p>
        </w:tc>
        <w:tc>
          <w:tcPr>
            <w:tcW w:w="26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427,250</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7"/>
              </w:rPr>
              <w:t>Capital lease obligations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396,489</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163,163</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Total liabilities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3,605,122</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2,606,452</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 stock, 50,000,000 shares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authorized, par value $.001,</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7,662,375 shares issued and</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outstanding . . . . . .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7,662</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7,662</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Additional paid-in capital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4,422,747</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4,422,747</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Accumulated deficit . . . . . . . . .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(749,520)</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(256,651)</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Total shareholders' equity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3,680,889</w:t>
            </w:r>
          </w:p>
        </w:tc>
        <w:tc>
          <w:tcPr>
            <w:tcW w:w="26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4,173,758</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120" w:type="dxa"/>
            <w:vAlign w:val="bottom"/>
          </w:tcPr>
          <w:p>
            <w:pPr>
              <w:jc w:val="right"/>
              <w:ind w:right="1752"/>
              <w:spacing w:after="0"/>
              <w:rPr>
                <w:sz w:val="20"/>
                <w:szCs w:val="20"/>
                <w:color w:val="auto"/>
              </w:rPr>
            </w:pPr>
            <w:r>
              <w:rPr>
                <w:rFonts w:ascii="Courier New" w:cs="Courier New" w:eastAsia="Courier New" w:hAnsi="Courier New"/>
                <w:sz w:val="18"/>
                <w:szCs w:val="18"/>
                <w:color w:val="auto"/>
              </w:rPr>
              <w:t>Total liabilities and</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shareholders' equity  . . . . . . .</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$ 7,286,011</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$ 6,780,210</w:t>
            </w:r>
          </w:p>
        </w:tc>
      </w:tr>
      <w:tr>
        <w:trPr>
          <w:trHeight w:val="203"/>
        </w:trPr>
        <w:tc>
          <w:tcPr>
            <w:tcW w:w="512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4</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6" w:name="page7"/>
    <w:bookmarkEnd w:id="6"/>
    <w:p>
      <w:pPr>
        <w:ind w:left="10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9019"/>
          </w:cols>
          <w:pgMar w:left="1440" w:top="52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5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STATEMENTS OF OPERATIONS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sales  . . . . . . . . . . . . . . . . . . .</w:t>
            </w:r>
          </w:p>
        </w:tc>
        <w:tc>
          <w:tcPr>
            <w:tcW w:w="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3,340,279</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$ 2,378,502</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Cost of goods sold . . . . .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1,751,973</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1,315,558</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1,588,306</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1,062,944</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Marketing and selling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936,304</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540,717</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590,199</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326,940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Product development  .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309,987</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266,607</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operating expenses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1,836,490</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1,134,264</w:t>
            </w:r>
          </w:p>
        </w:tc>
      </w:tr>
      <w:tr>
        <w:trPr>
          <w:trHeight w:val="405"/>
        </w:trPr>
        <w:tc>
          <w:tcPr>
            <w:tcW w:w="5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Operating (loss) . . . . . . . . . .</w:t>
            </w:r>
          </w:p>
        </w:tc>
        <w:tc>
          <w:tcPr>
            <w:tcW w:w="4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(248,184)</w:t>
            </w:r>
          </w:p>
        </w:tc>
        <w:tc>
          <w:tcPr>
            <w:tcW w:w="2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(71,320)</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  . . .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4,408</w:t>
            </w:r>
          </w:p>
        </w:tc>
        <w:tc>
          <w:tcPr>
            <w:tcW w:w="2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 . . . . . . . . . . . . .</w:t>
            </w:r>
          </w:p>
        </w:tc>
        <w:tc>
          <w:tcPr>
            <w:tcW w:w="4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(49,571)</w:t>
            </w:r>
          </w:p>
        </w:tc>
        <w:tc>
          <w:tcPr>
            <w:tcW w:w="2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(37,357)</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 . . . . . . . . . . . . . . . .</w:t>
            </w:r>
          </w:p>
        </w:tc>
        <w:tc>
          <w:tcPr>
            <w:tcW w:w="44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4,377</w:t>
            </w:r>
          </w:p>
        </w:tc>
        <w:tc>
          <w:tcPr>
            <w:tcW w:w="2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(12,587)</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other income (expense)  . . . .</w:t>
            </w:r>
          </w:p>
        </w:tc>
        <w:tc>
          <w:tcPr>
            <w:tcW w:w="44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(40,786)</w:t>
            </w:r>
          </w:p>
        </w:tc>
        <w:tc>
          <w:tcPr>
            <w:tcW w:w="2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(49,444)</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(Loss) before income taxes . . . . . . . . . . .</w:t>
            </w:r>
          </w:p>
        </w:tc>
        <w:tc>
          <w:tcPr>
            <w:tcW w:w="4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(288,970)</w:t>
            </w:r>
          </w:p>
        </w:tc>
        <w:tc>
          <w:tcPr>
            <w:tcW w:w="28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(120,764)</w:t>
            </w:r>
          </w:p>
        </w:tc>
      </w:tr>
      <w:tr>
        <w:trPr>
          <w:trHeight w:val="405"/>
        </w:trPr>
        <w:tc>
          <w:tcPr>
            <w:tcW w:w="5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Provision for income taxes . . . . . . . . . . .</w:t>
            </w:r>
          </w:p>
        </w:tc>
        <w:tc>
          <w:tcPr>
            <w:tcW w:w="440" w:type="dxa"/>
            <w:vAlign w:val="bottom"/>
          </w:tcPr>
          <w:p>
            <w:pPr>
              <w:spacing w:after="0"/>
              <w:rPr>
                <w:sz w:val="24"/>
                <w:szCs w:val="24"/>
                <w:color w:val="auto"/>
              </w:rPr>
            </w:pP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26,757</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 . . . . . . . . . . . . .</w:t>
            </w:r>
          </w:p>
        </w:tc>
        <w:tc>
          <w:tcPr>
            <w:tcW w:w="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(288,970)</w:t>
            </w:r>
          </w:p>
        </w:tc>
        <w:tc>
          <w:tcPr>
            <w:tcW w:w="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(94,007)</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(loss) per common share . . . . . . . . . .</w:t>
            </w:r>
          </w:p>
        </w:tc>
        <w:tc>
          <w:tcPr>
            <w:tcW w:w="4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(0.04)</w:t>
            </w:r>
          </w:p>
        </w:tc>
        <w:tc>
          <w:tcPr>
            <w:tcW w:w="2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514" w:right="1440" w:bottom="1440" w:gutter="0" w:footer="0" w:header="0"/>
        </w:sectPr>
      </w:pPr>
    </w:p>
    <w:bookmarkStart w:id="8" w:name="page9"/>
    <w:bookmarkEnd w:id="8"/>
    <w:p>
      <w:pPr>
        <w:ind w:left="9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9019"/>
          </w:cols>
          <w:pgMar w:left="1440" w:top="52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664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STATEMENTS OF OPERATIONS</w:t>
            </w:r>
          </w:p>
        </w:tc>
        <w:tc>
          <w:tcPr>
            <w:tcW w:w="1380" w:type="dxa"/>
            <w:vAlign w:val="bottom"/>
          </w:tcPr>
          <w:p>
            <w:pPr>
              <w:spacing w:after="0"/>
              <w:rPr>
                <w:sz w:val="17"/>
                <w:szCs w:val="17"/>
                <w:color w:val="auto"/>
              </w:rPr>
            </w:pPr>
          </w:p>
        </w:tc>
      </w:tr>
      <w:tr>
        <w:trPr>
          <w:trHeight w:val="608"/>
        </w:trPr>
        <w:tc>
          <w:tcPr>
            <w:tcW w:w="5020" w:type="dxa"/>
            <w:vAlign w:val="bottom"/>
          </w:tcPr>
          <w:p>
            <w:pPr>
              <w:spacing w:after="0"/>
              <w:rPr>
                <w:sz w:val="24"/>
                <w:szCs w:val="24"/>
                <w:color w:val="auto"/>
              </w:rPr>
            </w:pPr>
          </w:p>
        </w:tc>
        <w:tc>
          <w:tcPr>
            <w:tcW w:w="300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5020" w:type="dxa"/>
            <w:vAlign w:val="bottom"/>
          </w:tcPr>
          <w:p>
            <w:pPr>
              <w:spacing w:after="0"/>
              <w:rPr>
                <w:sz w:val="17"/>
                <w:szCs w:val="17"/>
                <w:color w:val="auto"/>
              </w:rPr>
            </w:pPr>
          </w:p>
        </w:tc>
        <w:tc>
          <w:tcPr>
            <w:tcW w:w="30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5020" w:type="dxa"/>
            <w:vAlign w:val="bottom"/>
          </w:tcPr>
          <w:p>
            <w:pPr>
              <w:spacing w:after="0"/>
              <w:rPr>
                <w:sz w:val="17"/>
                <w:szCs w:val="17"/>
                <w:color w:val="auto"/>
              </w:rPr>
            </w:pPr>
          </w:p>
        </w:tc>
        <w:tc>
          <w:tcPr>
            <w:tcW w:w="3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020" w:type="dxa"/>
            <w:vAlign w:val="bottom"/>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Net sales . . . . . . . . . . . . . . . . . .</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$ 9,838,158</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$ 8,228,662</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Cost of goods sold  . . . . . . .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5,222,302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4,388,949</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Gross profit  . . . . . . .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4,615,856</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3,839,713</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Marketing and selling . . .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2,747,481</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1,704,123</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General and administrative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1,488,153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1,026,935</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Product development . . . .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737,128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718,818</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Total operating expenses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4,972,762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3,449,876</w:t>
            </w:r>
          </w:p>
        </w:tc>
      </w:tr>
      <w:tr>
        <w:trPr>
          <w:trHeight w:val="405"/>
        </w:trPr>
        <w:tc>
          <w:tcPr>
            <w:tcW w:w="5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Operating income (loss) . . . . .</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(356,906)</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389,837</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Interest income . . . . . . . . . . . .</w:t>
            </w: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Interest expense  . . . . . . . . . . .</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(123,558)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(135,882)</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Other, net  . . . . . . . . . . . . . .</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(16,814)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(24,691)</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Total other income (expense)  . .</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(135,964)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(158,585)</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Income (loss) before income taxes . . . . . .</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(492,870)</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231,252</w:t>
            </w:r>
          </w:p>
        </w:tc>
      </w:tr>
      <w:tr>
        <w:trPr>
          <w:trHeight w:val="405"/>
        </w:trPr>
        <w:tc>
          <w:tcPr>
            <w:tcW w:w="50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Provision for income taxes  . . . . . . . . .</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Net income (loss) . . . . . . . .</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(492,870)</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231,252</w:t>
            </w:r>
          </w:p>
        </w:tc>
      </w:tr>
      <w:tr>
        <w:trPr>
          <w:trHeight w:val="203"/>
        </w:trPr>
        <w:tc>
          <w:tcPr>
            <w:tcW w:w="5020" w:type="dxa"/>
            <w:vAlign w:val="bottom"/>
          </w:tcPr>
          <w:p>
            <w:pPr>
              <w:spacing w:after="0"/>
              <w:rPr>
                <w:sz w:val="17"/>
                <w:szCs w:val="17"/>
                <w:color w:val="auto"/>
              </w:rPr>
            </w:pPr>
          </w:p>
        </w:tc>
        <w:tc>
          <w:tcPr>
            <w:tcW w:w="1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earnings (loss)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 (0.06) $ 0.03 ============ ============</w:t>
      </w:r>
    </w:p>
    <w:p>
      <w:pPr>
        <w:spacing w:after="0" w:line="200" w:lineRule="exact"/>
        <w:rPr>
          <w:sz w:val="20"/>
          <w:szCs w:val="20"/>
          <w:color w:val="auto"/>
        </w:rPr>
      </w:pPr>
    </w:p>
    <w:p>
      <w:pPr>
        <w:sectPr>
          <w:pgSz w:w="11900" w:h="16838" w:orient="portrait"/>
          <w:cols w:equalWidth="0" w:num="3">
            <w:col w:w="3800" w:space="220"/>
            <w:col w:w="720" w:space="540"/>
            <w:col w:w="493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514" w:right="1440" w:bottom="1440" w:gutter="0" w:footer="0" w:header="0"/>
          <w:type w:val="continuous"/>
        </w:sectPr>
      </w:pPr>
    </w:p>
    <w:bookmarkStart w:id="10" w:name="page11"/>
    <w:bookmarkEnd w:id="10"/>
    <w:p>
      <w:pPr>
        <w:ind w:left="9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9019"/>
          </w:cols>
          <w:pgMar w:left="1440" w:top="520"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66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CONDENSED STATEMENTS OF CASH FLOWS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2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received from customers  . . . . .</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9,727,056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8,518,852</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paid to suppliers and employees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(8,918,092)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(8,150,951)</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received . . . . .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1,227</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3,862</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paid . . . . . . . . . . .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(124,382)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(144,178)</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 refunded (paid)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24,100</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provided by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operating activities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709,909</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201,685</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Purchases of property and equipment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(742,931)</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(109,925)</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Issuance of note receivable . . . .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(139,745)</w:t>
            </w:r>
          </w:p>
        </w:tc>
        <w:tc>
          <w:tcPr>
            <w:tcW w:w="26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Increase in other assets  . . . . .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(74,226)</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25,944</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activities  . . . . . . . . .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(956,902)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(83,981)</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employee stock</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 exercises  . . . . . . . . . .</w:t>
            </w:r>
          </w:p>
        </w:tc>
        <w:tc>
          <w:tcPr>
            <w:tcW w:w="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142,313</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borrowings (repayments)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under line of credit  . .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196,329</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(99,618)</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Principal payments of short-term</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notes to vendors  . . . . . . . . . .</w:t>
            </w:r>
          </w:p>
        </w:tc>
        <w:tc>
          <w:tcPr>
            <w:tcW w:w="1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(283,687)</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long-term debt  . . . . .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425,195</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400,000</w:t>
            </w: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Principal payments of capital</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lease obligations . . . . . . . . .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(141,820)</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(103,542)</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Principal payments of long-term debt  .</w:t>
            </w:r>
          </w:p>
        </w:tc>
        <w:tc>
          <w:tcPr>
            <w:tcW w:w="1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(153,522)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(95,818)</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financing activities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326,182</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(40,352)</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Net increase in cash  . . . . . .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79,189</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77,352</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Cash at the beginning of the year . . . . . .</w:t>
            </w:r>
          </w:p>
        </w:tc>
        <w:tc>
          <w:tcPr>
            <w:tcW w:w="1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213,763</w:t>
            </w:r>
          </w:p>
        </w:tc>
        <w:tc>
          <w:tcPr>
            <w:tcW w:w="2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119,238</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Cash at the end of the period . . . . . . . .</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292,952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196,590</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Supplemental disclosure of cash flow information:</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Property and equipment financed by</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capital leases  . . . . . . . . . . .</w:t>
            </w: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417,698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25,490</w:t>
            </w:r>
          </w:p>
        </w:tc>
      </w:tr>
      <w:tr>
        <w:trPr>
          <w:trHeight w:val="203"/>
        </w:trPr>
        <w:tc>
          <w:tcPr>
            <w:tcW w:w="5160" w:type="dxa"/>
            <w:vAlign w:val="bottom"/>
          </w:tcPr>
          <w:p>
            <w:pPr>
              <w:spacing w:after="0"/>
              <w:rPr>
                <w:sz w:val="17"/>
                <w:szCs w:val="17"/>
                <w:color w:val="auto"/>
              </w:rPr>
            </w:pPr>
          </w:p>
        </w:tc>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514" w:right="1440" w:bottom="1440" w:gutter="0" w:footer="0" w:header="0"/>
        </w:sectPr>
      </w:pPr>
    </w:p>
    <w:bookmarkStart w:id="12" w:name="page13"/>
    <w:bookmarkEnd w:id="12"/>
    <w:p>
      <w:pPr>
        <w:ind w:left="1120"/>
        <w:spacing w:after="0"/>
        <w:rPr>
          <w:sz w:val="20"/>
          <w:szCs w:val="20"/>
          <w:color w:val="auto"/>
        </w:rPr>
      </w:pPr>
      <w:r>
        <w:rPr>
          <w:rFonts w:ascii="Courier New" w:cs="Courier New" w:eastAsia="Courier New" w:hAnsi="Courier New"/>
          <w:sz w:val="16"/>
          <w:szCs w:val="16"/>
          <w:color w:val="auto"/>
        </w:rPr>
        <w:t>See accompanying notes</w:t>
      </w:r>
    </w:p>
    <w:p>
      <w:pPr>
        <w:sectPr>
          <w:pgSz w:w="11900" w:h="16838" w:orient="portrait"/>
          <w:cols w:equalWidth="0" w:num="1">
            <w:col w:w="9019"/>
          </w:cols>
          <w:pgMar w:left="1440" w:top="317" w:right="1440" w:bottom="1440" w:gutter="0" w:footer="0" w:header="0"/>
        </w:sectPr>
      </w:pPr>
    </w:p>
    <w:bookmarkStart w:id="13" w:name="page14"/>
    <w:bookmarkEnd w:id="13"/>
    <w:p>
      <w:pPr>
        <w:ind w:left="2540"/>
        <w:spacing w:after="0"/>
        <w:rPr>
          <w:sz w:val="20"/>
          <w:szCs w:val="20"/>
          <w:color w:val="auto"/>
        </w:rPr>
      </w:pPr>
      <w:r>
        <w:rPr>
          <w:rFonts w:ascii="Courier New" w:cs="Courier New" w:eastAsia="Courier New" w:hAnsi="Courier New"/>
          <w:sz w:val="18"/>
          <w:szCs w:val="18"/>
          <w:color w:val="auto"/>
        </w:rPr>
        <w:t>NOTES TO FINANCIAL STATEMENTS</w:t>
      </w:r>
    </w:p>
    <w:p>
      <w:pPr>
        <w:ind w:left="3380"/>
        <w:spacing w:after="0" w:line="238" w:lineRule="auto"/>
        <w:rPr>
          <w:sz w:val="20"/>
          <w:szCs w:val="20"/>
          <w:color w:val="auto"/>
        </w:rPr>
      </w:pPr>
      <w:r>
        <w:rPr>
          <w:rFonts w:ascii="Courier New" w:cs="Courier New" w:eastAsia="Courier New" w:hAnsi="Courier New"/>
          <w:sz w:val="18"/>
          <w:szCs w:val="18"/>
          <w:color w:val="auto"/>
        </w:rPr>
        <w:t>March 31, 1997</w:t>
      </w:r>
    </w:p>
    <w:p>
      <w:pPr>
        <w:ind w:left="34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1996 Annual Report on Form 10-KSB.</w:t>
      </w:r>
    </w:p>
    <w:p>
      <w:pPr>
        <w:spacing w:after="0" w:line="188"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7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 Per Common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was 7,662,375 and 7,662,375 respectively, for the three months ended March 31, 1997 and 1996. For the nine month periods then ended, the amounts were 7,662,375 and 7,632,030, respectively. Stock options and warrants to purchase common stock have been excluded from the presented computation of per share amounts inasmuch as the effects are either immaterial or antidilutive.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3.  Inventory</w:t>
            </w: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Inventory is summarized as follows: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4960" w:type="dxa"/>
            <w:vAlign w:val="bottom"/>
          </w:tcPr>
          <w:p>
            <w:pPr>
              <w:spacing w:after="0"/>
              <w:rPr>
                <w:sz w:val="24"/>
                <w:szCs w:val="24"/>
                <w:color w:val="auto"/>
              </w:rPr>
            </w:pPr>
          </w:p>
        </w:tc>
        <w:tc>
          <w:tcPr>
            <w:tcW w:w="174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(Unaudited)</w:t>
            </w:r>
          </w:p>
        </w:tc>
        <w:tc>
          <w:tcPr>
            <w:tcW w:w="1420" w:type="dxa"/>
            <w:vAlign w:val="bottom"/>
          </w:tcPr>
          <w:p>
            <w:pPr>
              <w:spacing w:after="0"/>
              <w:rPr>
                <w:sz w:val="24"/>
                <w:szCs w:val="24"/>
                <w:color w:val="auto"/>
              </w:rPr>
            </w:pPr>
          </w:p>
        </w:tc>
      </w:tr>
      <w:tr>
        <w:trPr>
          <w:trHeight w:val="203"/>
        </w:trPr>
        <w:tc>
          <w:tcPr>
            <w:tcW w:w="4960" w:type="dxa"/>
            <w:vAlign w:val="bottom"/>
          </w:tcPr>
          <w:p>
            <w:pPr>
              <w:spacing w:after="0"/>
              <w:rPr>
                <w:sz w:val="17"/>
                <w:szCs w:val="17"/>
                <w:color w:val="auto"/>
              </w:rPr>
            </w:pPr>
          </w:p>
        </w:tc>
        <w:tc>
          <w:tcPr>
            <w:tcW w:w="174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March 31,</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96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 . . . . . . . . . . . . . . . .</w:t>
            </w: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688,233</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962,504</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Work in progress. . . .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778,337</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866,279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 . . . .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1,069,041</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1,400,982</w:t>
            </w:r>
          </w:p>
        </w:tc>
      </w:tr>
      <w:tr>
        <w:trPr>
          <w:trHeight w:val="203"/>
        </w:trPr>
        <w:tc>
          <w:tcPr>
            <w:tcW w:w="496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inventory . . . . . . . . . . . . .</w:t>
            </w: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$ 2,535,611</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$ 3,229,765</w:t>
            </w:r>
          </w:p>
        </w:tc>
      </w:tr>
      <w:tr>
        <w:trPr>
          <w:trHeight w:val="203"/>
        </w:trPr>
        <w:tc>
          <w:tcPr>
            <w:tcW w:w="4960" w:type="dxa"/>
            <w:vAlign w:val="bottom"/>
          </w:tcPr>
          <w:p>
            <w:pPr>
              <w:spacing w:after="0"/>
              <w:rPr>
                <w:sz w:val="17"/>
                <w:szCs w:val="17"/>
                <w:color w:val="auto"/>
              </w:rPr>
            </w:pPr>
          </w:p>
        </w:tc>
        <w:tc>
          <w:tcPr>
            <w:tcW w:w="1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514"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200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2540"/>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for the three months ended March 31, 1997 increased 40% compared to the same three-month period last year. This growth was made up of a 66% increase in the Teleconferencing segment (including both product and service), a 30% increase in the Broadcast segment and a 12% increase in the Assisted Listening Systems (ALS) segment. Year-to-date sales increased 20% compared to the corresponding period last year due to sales growth in these same product segments.</w:t>
      </w:r>
    </w:p>
    <w:p>
      <w:pPr>
        <w:spacing w:after="0" w:line="211"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Sales in the Teleconferencing segments, including both product and service, increased 66% comparing third quarter of this fiscal year to the same quarter last year. This increase is primarily due to sales of the new GT724 Teleconferencing product. The company began shipping this product June 1996, and sales have exceeded the Company's projections. The GT724 is used in many different teleconferencing applications, particularly distance learning, telemedicine and courtrooms. For the third quarter, the company's Teleconferencing Service (1-800 LETS MEET)(TM) experienced a 115% sales growth over the same quarter last fiscal year. This increase in sales is a result of the company hiring a dedicated sales staff and aggressive marketing to promote its conference calling service. For the nine months ending March 31, 1997, sales in the Teleconferencing segment increased 25% over the same nine-month period last fiscal year. The nine month comparative increase is made up of a 25% increase in Teleconferencing products and a 63% increase in the 1-800 LETS MEET (TM) service. The year-to-date sales increases are due to the same reasons as the increases for the third quarter.</w:t>
      </w:r>
    </w:p>
    <w:p>
      <w:pPr>
        <w:spacing w:after="0" w:line="39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Broadcast segment sales, which include Telephone and Site Control products, increased 30% for third quarter of this year as compared to the third quarter of last year. The GSC3000 Site Control product began shipping during the second quarter, and has produced significant sales for the Company. The GSC3000 allows a broadcaster to monitor and control several different</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remote transmitter sites using one networked system. More than half the increase in Broadcast sales is due to Site Control sales improvements. The TS612 multi-line talk show product accounted for the remainder of the Broadcast sales increase. Year-to-date sales in the Broadcast segment are up 28% compared to the same period last year.</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Assisted Listening segment continues to show steady sales growth. Third quarter ALS sales grew 12% and year-to-date sales grew 35% compared to the corresponding periods during last fiscal year. This increase is a result of new product introductions and continued aggressive marketing. Additionally towards the end of the third quarter, the Company signed two OEM agreements with companies that want the Company to produce their private label ALS products.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514"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gross profit margin percentage was 48% for the third quarter of this year, compared to 45% for the same quarter last year. This increase is primarily due to new products having a higher gross profit margin, as well as a different product mix.</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Operating expenses for the quarter grew 62%, and increased 44% year-to-date compared to the same periods last year. According to the Company's plan, most of the increased expenses came in the Sales and Marketing area, which grew 73% for the quarter and 61% year-to-date, compared to corresponding periods last year. The balance of the increase is in the General and Administrative area, which grew 80% for the quarter, and 45% for the year, compared to last year.</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and Marketing third quarter expenses increased 73% over the prior years third quarter, primarily due to increased advertising, human resources and travel expenditures. Also during the third quarter this year, the independent representative commissions increased due to increased teleconferencing sales. Year-to-date Sales and Marketing expenses increased 61% compared to last year as the Company continues its investment in Sales and Marketing.</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Third quarter General and Administrative expenses are up 80%, and year-to-date expenses are up 45% compared to the same periods last year. This increase is primarily due to the Company's move into its expanded facility in November 1996. The new space is double the space originally occupied by the Company, and as a result, occupancy costs have increased significantly.</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Interest expense for the quarter is up 33% compared to the same quarter last year. This increase is due to higher line of credit usage and increased debt balances. The Company did not increase its outstanding debt until the third quarter, hence interest expense year-to-date is down 9%.</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third quarter of last fiscal year, the Company made a commitment to invest a significant amount in its Sales and Marketing, product development and infrastructure. The plan was to incur losses for the next several quarters with the expectation that this investment would increase future sales. The Company has experienced sales increases, and is now shifting its focus to profitability. With the investment phase completed, the Company is focused on controlling expenses and generating profits.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current ratio decreased from 2.5:1 on June 30, 1996 to</w:t>
      </w:r>
    </w:p>
    <w:p>
      <w:pPr>
        <w:spacing w:after="0"/>
        <w:tabs>
          <w:tab w:leader="none" w:pos="2720" w:val="left"/>
        </w:tabs>
        <w:rPr>
          <w:sz w:val="20"/>
          <w:szCs w:val="20"/>
          <w:color w:val="auto"/>
        </w:rPr>
      </w:pPr>
      <w:r>
        <w:rPr>
          <w:rFonts w:ascii="Courier New" w:cs="Courier New" w:eastAsia="Courier New" w:hAnsi="Courier New"/>
          <w:sz w:val="18"/>
          <w:szCs w:val="18"/>
          <w:color w:val="auto"/>
        </w:rPr>
        <w:t>1.9:1 on March 31, 1997.</w:t>
      </w:r>
      <w:r>
        <w:rPr>
          <w:sz w:val="20"/>
          <w:szCs w:val="20"/>
          <w:color w:val="auto"/>
        </w:rPr>
        <w:tab/>
      </w:r>
      <w:r>
        <w:rPr>
          <w:rFonts w:ascii="Courier New" w:cs="Courier New" w:eastAsia="Courier New" w:hAnsi="Courier New"/>
          <w:sz w:val="16"/>
          <w:szCs w:val="16"/>
          <w:color w:val="auto"/>
        </w:rPr>
        <w:t>This decrease in current ratio was caused primarily</w:t>
      </w:r>
    </w:p>
    <w:p>
      <w:pPr>
        <w:spacing w:after="0"/>
        <w:tabs>
          <w:tab w:leader="none" w:pos="6720" w:val="left"/>
        </w:tabs>
        <w:rPr>
          <w:sz w:val="20"/>
          <w:szCs w:val="20"/>
          <w:color w:val="auto"/>
        </w:rPr>
      </w:pPr>
      <w:r>
        <w:rPr>
          <w:rFonts w:ascii="Courier New" w:cs="Courier New" w:eastAsia="Courier New" w:hAnsi="Courier New"/>
          <w:sz w:val="18"/>
          <w:szCs w:val="18"/>
          <w:color w:val="auto"/>
        </w:rPr>
        <w:t>by decreasing inventory levels and increasing short term debt.</w:t>
      </w:r>
      <w:r>
        <w:rPr>
          <w:sz w:val="20"/>
          <w:szCs w:val="20"/>
          <w:color w:val="auto"/>
        </w:rPr>
        <w:tab/>
      </w:r>
      <w:r>
        <w:rPr>
          <w:rFonts w:ascii="Courier New" w:cs="Courier New" w:eastAsia="Courier New" w:hAnsi="Courier New"/>
          <w:sz w:val="16"/>
          <w:szCs w:val="16"/>
          <w:color w:val="auto"/>
        </w:rPr>
        <w:t>As the Company</w:t>
      </w:r>
    </w:p>
    <w:p>
      <w:pPr>
        <w:spacing w:after="0" w:line="237" w:lineRule="auto"/>
        <w:rPr>
          <w:sz w:val="20"/>
          <w:szCs w:val="20"/>
          <w:color w:val="auto"/>
        </w:rPr>
      </w:pPr>
      <w:r>
        <w:rPr>
          <w:rFonts w:ascii="Courier New" w:cs="Courier New" w:eastAsia="Courier New" w:hAnsi="Courier New"/>
          <w:sz w:val="18"/>
          <w:szCs w:val="18"/>
          <w:color w:val="auto"/>
        </w:rPr>
        <w:t>maintains its focus on improving inventory turns, the level of raw materials</w:t>
      </w:r>
    </w:p>
    <w:p>
      <w:pPr>
        <w:spacing w:after="0"/>
        <w:tabs>
          <w:tab w:leader="none" w:pos="6000" w:val="left"/>
        </w:tabs>
        <w:rPr>
          <w:sz w:val="20"/>
          <w:szCs w:val="20"/>
          <w:color w:val="auto"/>
        </w:rPr>
      </w:pPr>
      <w:r>
        <w:rPr>
          <w:rFonts w:ascii="Courier New" w:cs="Courier New" w:eastAsia="Courier New" w:hAnsi="Courier New"/>
          <w:sz w:val="18"/>
          <w:szCs w:val="18"/>
          <w:color w:val="auto"/>
        </w:rPr>
        <w:t>continues to decrease, falling 29% since June 30, 1996.</w:t>
      </w:r>
      <w:r>
        <w:rPr>
          <w:sz w:val="20"/>
          <w:szCs w:val="20"/>
          <w:color w:val="auto"/>
        </w:rPr>
        <w:tab/>
      </w:r>
      <w:r>
        <w:rPr>
          <w:rFonts w:ascii="Courier New" w:cs="Courier New" w:eastAsia="Courier New" w:hAnsi="Courier New"/>
          <w:sz w:val="16"/>
          <w:szCs w:val="16"/>
          <w:color w:val="auto"/>
        </w:rPr>
        <w:t>Finished goods</w:t>
      </w:r>
    </w:p>
    <w:p>
      <w:pPr>
        <w:spacing w:after="0"/>
        <w:rPr>
          <w:sz w:val="20"/>
          <w:szCs w:val="20"/>
          <w:color w:val="auto"/>
        </w:rPr>
      </w:pPr>
      <w:r>
        <w:rPr>
          <w:rFonts w:ascii="Courier New" w:cs="Courier New" w:eastAsia="Courier New" w:hAnsi="Courier New"/>
          <w:sz w:val="18"/>
          <w:szCs w:val="18"/>
          <w:color w:val="auto"/>
        </w:rPr>
        <w:t>inventory is at a level that the Company believes will continue to support</w:t>
      </w:r>
    </w:p>
    <w:p>
      <w:pPr>
        <w:spacing w:after="0"/>
        <w:tabs>
          <w:tab w:leader="none" w:pos="2840" w:val="left"/>
        </w:tabs>
        <w:rPr>
          <w:sz w:val="20"/>
          <w:szCs w:val="20"/>
          <w:color w:val="auto"/>
        </w:rPr>
      </w:pPr>
      <w:r>
        <w:rPr>
          <w:rFonts w:ascii="Courier New" w:cs="Courier New" w:eastAsia="Courier New" w:hAnsi="Courier New"/>
          <w:sz w:val="18"/>
          <w:szCs w:val="18"/>
          <w:color w:val="auto"/>
        </w:rPr>
        <w:t>anticipated sales levels.</w:t>
      </w:r>
      <w:r>
        <w:rPr>
          <w:sz w:val="20"/>
          <w:szCs w:val="20"/>
          <w:color w:val="auto"/>
        </w:rPr>
        <w:tab/>
      </w:r>
      <w:r>
        <w:rPr>
          <w:rFonts w:ascii="Courier New" w:cs="Courier New" w:eastAsia="Courier New" w:hAnsi="Courier New"/>
          <w:sz w:val="16"/>
          <w:szCs w:val="16"/>
          <w:color w:val="auto"/>
        </w:rPr>
        <w:t>Other factors affecting the current ratio are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Notes Payable of 21% and Accounts Payable of 32% since the end of</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520"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right="2099"/>
        <w:spacing w:after="0" w:line="237" w:lineRule="auto"/>
        <w:rPr>
          <w:sz w:val="20"/>
          <w:szCs w:val="20"/>
          <w:color w:val="auto"/>
        </w:rPr>
      </w:pPr>
      <w:r>
        <w:rPr>
          <w:rFonts w:ascii="Courier New" w:cs="Courier New" w:eastAsia="Courier New" w:hAnsi="Courier New"/>
          <w:sz w:val="18"/>
          <w:szCs w:val="18"/>
          <w:color w:val="auto"/>
        </w:rPr>
        <w:t>last fiscal year. These increases are a result of increased operating expenses. Furthermore, during the past several months, the Company used its credit line to finance property and equipment additions. The Company is planning on financing these long term assets with long-term debt, and expects the current ratio to improve once this change is made.</w:t>
      </w:r>
    </w:p>
    <w:p>
      <w:pPr>
        <w:spacing w:after="0" w:line="20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 has an outstanding line of credit of $2.5 million. The interest rate on the line is a variable interest rate (anywhere from three to five basis points over the London Interbank Offered Rate (LIBOR)). As of March 31, 1997 the outstanding balance was $1.1 million at an interest rate of 8.87%. The term of this line is a one year term, expiring October 24, 1997.</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continues to experience improved operating cash flows this fiscal year compared to the last fiscal year. Increasing sales and a successful inventory management plan have contributed to positive operating cash flows. As sales continue to increase, the Company expects to finance its business plan through a combination of internally generated funds and short-term or long-term borrowings, if necessary.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To the extent any statement presented herein deals with information that is not historical, such statement is necessarily forward looking. As such, it is subject to occurrence of many events outside of the Company's control. These occurrences could cause the Company's results to differ materially from those anticipated. A sample listing of such occurrences follows: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 Rapid Technological Change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Broadcast, Teleconferencing and ALS markets are highly competitive and characterized by rapid technological change. The Company's future performance will depend in large part upon its ability to remain competitive and to develop and market new products in these markets. The Company competes with businesses having substantial financial, research and development, manufacturing, marketing and other resources.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markets in which the Company competes have historically involved the introduction of new and technologically advanced products that cost less or perform better than existing products. If the Company is not competitive in its research and development efforts, its products may become obsolete or priced above competitive levels.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20"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gained experience over the last several years in marketing its products; however it is subject to all of the risks inherent in the sale and marketing of current and new products in an evolving market. The Company must effectively allocate its resources to the marketing and sale of these products through diverse channels of distribution. The Company's strategy is to establish distribution channels in markets where it believes there is a growing need for its goods and services. There can be no assurance that this strategy will prove successful.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Distribution Network</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 with such representatives and dealers is good, there can be no assurance that any of such representatives or dealers will continue to offer the Company's products.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Furthermore, there are no obligations on the part of such representatives and dealers to provide any specified level of support to the Company's products or to devote any specific time, resources or efforts to the marketing of the Company's products, nor are there any prohibitions on dealers offering products that are competitive with those of the Company. Most dealers do offer competitive products. The Company reserves the right to maintain house accounts which are sold direct, however, the loss of a majority or all representatives or dealers could have a material adverse effect on the Company's business.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Capitalization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March 31, 1997, the company had $292,952 in cash and $2,189,253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211"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the Company's revolving line of credit matures on October 24, 1997 and there can be no assurance that the Company will be able to extend the maturity date of the line of credit or obtain a replacement line of credit from another commercial institution. The Company had an outstanding balance payable of $1,112,370 on a $2.5 million line of credit as of March 31, 1997. To the extent the line of credit is not extended or replaced and cash from operations is unavailable to pay the indebtedness then outstanding under the line of credit, the Company may be required to seek additional financing.</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514"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Dependence Upon Officers and Key Employees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substantially dependent upon certain of its officers and key employees, including Russell D. Gentner, its Chairman, President and Chief Executive Officer and a principal stockholder of the Company. The loss of Mr. Gentner by the Company could have a material adverse effect on the Company. The Company currently has in place a key man life insurance policy on the life of Mr. Gentner in the amount of $2,000,000.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Supplier and Single Source of Supply</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Company does not have written agreements with any suppliers. Furthermore, certain digital microprocessor chips used in connection with the Company's products can only be obtained from a single supplier and the Company is dependent upon the ability of this supplier to deliver such chips in accordance with the Company's specifications and delivery schedules. The Company does not have a written commitment from such sole supplier to fulfill the Company's future requirements. Although the Company maintains an inventory of such chips in an amount which it believes is sufficient to cover its requirements for three months and is attempting to develop alternate sources of supply, there can be no assurance that such chips will always be readily available, or if at all available, available at reasonable prices or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Although the Company believes that most of the key components required for the production of its products are currently available in sufficient production quantities, there can be no assurance that they will remain so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Lack of Patent Protection</w:t>
      </w:r>
    </w:p>
    <w:p>
      <w:pPr>
        <w:spacing w:after="0" w:line="207"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In addition, several of the Company's employees have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514"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right="2099"/>
        <w:spacing w:after="0" w:line="237" w:lineRule="auto"/>
        <w:rPr>
          <w:sz w:val="20"/>
          <w:szCs w:val="20"/>
          <w:color w:val="auto"/>
        </w:rPr>
      </w:pPr>
      <w:r>
        <w:rPr>
          <w:rFonts w:ascii="Courier New" w:cs="Courier New" w:eastAsia="Courier New" w:hAnsi="Courier New"/>
          <w:sz w:val="18"/>
          <w:szCs w:val="18"/>
          <w:color w:val="auto"/>
        </w:rPr>
        <w:t>not signed confidentiality agreements regarding the Company's proprietary information. The Company believes that its products and other proprietary rights do not infringe any proprietary rights of third parties. There can be no assurance, however, that third parties will not assert infringement claims in the future.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Unlikely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Potential Dilutive Effect of Outstanding Options and Warrants and Possible Negative Effect of Future Financing</w:t>
      </w:r>
    </w:p>
    <w:p>
      <w:pPr>
        <w:spacing w:after="0" w:line="208"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Company has outstanding Options, Warrants and a Unit Purchase Option. The outstanding options are issued under the Company's 1990 Incentive plan which includes options to purchase up to 1,500,000 shares of Common Stock granted or available for grant. The Company issued Warrants that allow the holder to purchase one share of Common Stock at an exercise price of $1.50. There currently are 2,875,000 Warrants outstanding. They expire September 22, 1997. The Company also granted the underwriter of the warrants an option to purchase a total of 125,000 units (a unit consists of three shares of common stock and warrants to purchase two shares of common stock) at $3.60 per unit. Holders of these Options, Warrants and Unit Purchase Options are given an opportunity to profit from a rise in the market price of the Company's Common Stock with a resulting dilution in the interests of the other stockholders. Further, the terms on which the Company may obtain additional financing during such periods may be adversely affected by the existence of the Warrants, the Unit Purchase Option and such other options. The holders of the Warrants, the Unit Purchase Option and such other options may exercise them at a time when the Company might be able to obtain additional capital through a new offering of securities on terms more favorable than those provided therein. In addition, holders of the Unit Purchase option have registration rights with respect to such option and the underlying securities, the exercise of which may involve substantial expense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520" w:right="1440"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306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of 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27.0</w:t>
      </w:r>
      <w:r>
        <w:rPr>
          <w:rFonts w:ascii="Courier New" w:cs="Courier New" w:eastAsia="Courier New" w:hAnsi="Courier New"/>
          <w:sz w:val="16"/>
          <w:szCs w:val="16"/>
          <w:color w:val="auto"/>
        </w:rPr>
        <w:t>Financial Data Schedule</w:t>
      </w:r>
    </w:p>
    <w:p>
      <w:pPr>
        <w:spacing w:after="0" w:line="206" w:lineRule="exact"/>
        <w:rPr>
          <w:rFonts w:ascii="Courier New" w:cs="Courier New" w:eastAsia="Courier New" w:hAnsi="Courier New"/>
          <w:sz w:val="18"/>
          <w:szCs w:val="18"/>
          <w:color w:val="auto"/>
        </w:rPr>
      </w:pPr>
    </w:p>
    <w:p>
      <w:pPr>
        <w:ind w:left="960" w:right="7259" w:hanging="425"/>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1935, the registant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GENTNER COMMUNICATIONS CORPORTATION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[S]Susie Strohm</w:t>
      </w:r>
    </w:p>
    <w:p>
      <w:pPr>
        <w:ind w:left="3160"/>
        <w:spacing w:after="0" w:line="238" w:lineRule="auto"/>
        <w:rPr>
          <w:sz w:val="20"/>
          <w:szCs w:val="20"/>
          <w:color w:val="auto"/>
        </w:rPr>
      </w:pPr>
      <w:r>
        <w:rPr>
          <w:rFonts w:ascii="Courier New" w:cs="Courier New" w:eastAsia="Courier New" w:hAnsi="Courier New"/>
          <w:sz w:val="18"/>
          <w:szCs w:val="18"/>
          <w:color w:val="auto"/>
        </w:rPr>
        <w:t>Assistant VP - Finance</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6, 1997</w:t>
      </w:r>
    </w:p>
    <w:p>
      <w:pPr>
        <w:sectPr>
          <w:pgSz w:w="11900" w:h="16838" w:orient="portrait"/>
          <w:cols w:equalWidth="0" w:num="1">
            <w:col w:w="10219"/>
          </w:cols>
          <w:pgMar w:left="240" w:top="514"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JUN-30-1997</w:t>
      </w:r>
    </w:p>
    <w:p>
      <w:pPr>
        <w:ind w:left="3160"/>
        <w:spacing w:after="0"/>
        <w:rPr>
          <w:sz w:val="20"/>
          <w:szCs w:val="20"/>
          <w:color w:val="auto"/>
        </w:rPr>
      </w:pPr>
      <w:r>
        <w:rPr>
          <w:rFonts w:ascii="Courier New" w:cs="Courier New" w:eastAsia="Courier New" w:hAnsi="Courier New"/>
          <w:sz w:val="18"/>
          <w:szCs w:val="18"/>
          <w:color w:val="auto"/>
        </w:rPr>
        <w:t>MAR-31-1997</w:t>
      </w:r>
    </w:p>
    <w:p>
      <w:pPr>
        <w:ind w:left="4100"/>
        <w:spacing w:after="0" w:line="237" w:lineRule="auto"/>
        <w:rPr>
          <w:sz w:val="20"/>
          <w:szCs w:val="20"/>
          <w:color w:val="auto"/>
        </w:rPr>
      </w:pPr>
      <w:r>
        <w:rPr>
          <w:rFonts w:ascii="Courier New" w:cs="Courier New" w:eastAsia="Courier New" w:hAnsi="Courier New"/>
          <w:sz w:val="18"/>
          <w:szCs w:val="18"/>
          <w:color w:val="auto"/>
        </w:rPr>
        <w:t>$292,952</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$1,592,031</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$2,535,611</w:t>
      </w:r>
    </w:p>
    <w:p>
      <w:pPr>
        <w:ind w:left="2840"/>
        <w:spacing w:after="0" w:line="237" w:lineRule="auto"/>
        <w:rPr>
          <w:sz w:val="20"/>
          <w:szCs w:val="20"/>
          <w:color w:val="auto"/>
        </w:rPr>
      </w:pPr>
      <w:r>
        <w:rPr>
          <w:rFonts w:ascii="Courier New" w:cs="Courier New" w:eastAsia="Courier New" w:hAnsi="Courier New"/>
          <w:sz w:val="18"/>
          <w:szCs w:val="18"/>
          <w:color w:val="auto"/>
        </w:rPr>
        <w:t>$4,758,103</w:t>
      </w:r>
    </w:p>
    <w:p>
      <w:pPr>
        <w:ind w:left="3900"/>
        <w:spacing w:after="0"/>
        <w:rPr>
          <w:sz w:val="20"/>
          <w:szCs w:val="20"/>
          <w:color w:val="auto"/>
        </w:rPr>
      </w:pPr>
      <w:r>
        <w:rPr>
          <w:rFonts w:ascii="Courier New" w:cs="Courier New" w:eastAsia="Courier New" w:hAnsi="Courier New"/>
          <w:sz w:val="18"/>
          <w:szCs w:val="18"/>
          <w:color w:val="auto"/>
        </w:rPr>
        <w:t>$2,220,717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$7,286,011</w:t>
      </w:r>
    </w:p>
    <w:p>
      <w:pPr>
        <w:ind w:left="2320"/>
        <w:spacing w:after="0"/>
        <w:rPr>
          <w:sz w:val="20"/>
          <w:szCs w:val="20"/>
          <w:color w:val="auto"/>
        </w:rPr>
      </w:pPr>
      <w:r>
        <w:rPr>
          <w:rFonts w:ascii="Courier New" w:cs="Courier New" w:eastAsia="Courier New" w:hAnsi="Courier New"/>
          <w:sz w:val="18"/>
          <w:szCs w:val="18"/>
          <w:color w:val="auto"/>
        </w:rPr>
        <w:t>$2,568,850</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$7,662</w:t>
      </w:r>
    </w:p>
    <w:p>
      <w:pPr>
        <w:ind w:left="3460"/>
        <w:spacing w:after="0" w:line="237" w:lineRule="auto"/>
        <w:rPr>
          <w:sz w:val="20"/>
          <w:szCs w:val="20"/>
          <w:color w:val="auto"/>
        </w:rPr>
      </w:pPr>
      <w:r>
        <w:rPr>
          <w:rFonts w:ascii="Courier New" w:cs="Courier New" w:eastAsia="Courier New" w:hAnsi="Courier New"/>
          <w:sz w:val="18"/>
          <w:szCs w:val="18"/>
          <w:color w:val="auto"/>
        </w:rPr>
        <w:t>$3,673,227</w:t>
      </w:r>
    </w:p>
    <w:p>
      <w:pPr>
        <w:ind w:left="1580"/>
        <w:spacing w:after="0" w:line="238" w:lineRule="auto"/>
        <w:rPr>
          <w:sz w:val="20"/>
          <w:szCs w:val="20"/>
          <w:color w:val="auto"/>
        </w:rPr>
      </w:pPr>
      <w:r>
        <w:rPr>
          <w:rFonts w:ascii="Courier New" w:cs="Courier New" w:eastAsia="Courier New" w:hAnsi="Courier New"/>
          <w:sz w:val="18"/>
          <w:szCs w:val="18"/>
          <w:color w:val="auto"/>
        </w:rPr>
        <w:t>$7,286,011</w:t>
      </w:r>
    </w:p>
    <w:p>
      <w:pPr>
        <w:ind w:left="3780"/>
        <w:spacing w:after="0"/>
        <w:rPr>
          <w:sz w:val="20"/>
          <w:szCs w:val="20"/>
          <w:color w:val="auto"/>
        </w:rPr>
      </w:pPr>
      <w:r>
        <w:rPr>
          <w:rFonts w:ascii="Courier New" w:cs="Courier New" w:eastAsia="Courier New" w:hAnsi="Courier New"/>
          <w:sz w:val="18"/>
          <w:szCs w:val="18"/>
          <w:color w:val="auto"/>
        </w:rPr>
        <w:t>$3,340,279</w:t>
      </w:r>
    </w:p>
    <w:p>
      <w:pPr>
        <w:ind w:left="2840"/>
        <w:spacing w:after="0" w:line="237" w:lineRule="auto"/>
        <w:rPr>
          <w:sz w:val="20"/>
          <w:szCs w:val="20"/>
          <w:color w:val="auto"/>
        </w:rPr>
      </w:pPr>
      <w:r>
        <w:rPr>
          <w:rFonts w:ascii="Courier New" w:cs="Courier New" w:eastAsia="Courier New" w:hAnsi="Courier New"/>
          <w:sz w:val="18"/>
          <w:szCs w:val="18"/>
          <w:color w:val="auto"/>
        </w:rPr>
        <w:t>$3,349,064</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$1,751,973</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$3,588,463</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$49,571</w:t>
      </w:r>
    </w:p>
    <w:p>
      <w:pPr>
        <w:ind w:left="2940"/>
        <w:spacing w:after="0" w:line="238" w:lineRule="auto"/>
        <w:rPr>
          <w:sz w:val="20"/>
          <w:szCs w:val="20"/>
          <w:color w:val="auto"/>
        </w:rPr>
      </w:pPr>
      <w:r>
        <w:rPr>
          <w:rFonts w:ascii="Courier New" w:cs="Courier New" w:eastAsia="Courier New" w:hAnsi="Courier New"/>
          <w:sz w:val="18"/>
          <w:szCs w:val="18"/>
          <w:color w:val="auto"/>
        </w:rPr>
        <w:t>$(288,970)</w:t>
      </w:r>
    </w:p>
    <w:p>
      <w:pPr>
        <w:ind w:left="4200"/>
        <w:spacing w:after="0"/>
        <w:rPr>
          <w:sz w:val="20"/>
          <w:szCs w:val="20"/>
          <w:color w:val="auto"/>
        </w:rPr>
      </w:pPr>
      <w:r>
        <w:rPr>
          <w:rFonts w:ascii="Courier New" w:cs="Courier New" w:eastAsia="Courier New" w:hAnsi="Courier New"/>
          <w:sz w:val="18"/>
          <w:szCs w:val="18"/>
          <w:color w:val="auto"/>
        </w:rPr>
        <w:t>0</w:t>
      </w:r>
    </w:p>
    <w:p>
      <w:pPr>
        <w:ind w:left="2520"/>
        <w:spacing w:after="0" w:line="237" w:lineRule="auto"/>
        <w:rPr>
          <w:sz w:val="20"/>
          <w:szCs w:val="20"/>
          <w:color w:val="auto"/>
        </w:rPr>
      </w:pPr>
      <w:r>
        <w:rPr>
          <w:rFonts w:ascii="Courier New" w:cs="Courier New" w:eastAsia="Courier New" w:hAnsi="Courier New"/>
          <w:sz w:val="18"/>
          <w:szCs w:val="18"/>
          <w:color w:val="auto"/>
        </w:rPr>
        <w:t>$(288,970)</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$(288,970)</w:t>
      </w:r>
    </w:p>
    <w:p>
      <w:pPr>
        <w:ind w:left="3680"/>
        <w:spacing w:after="0" w:line="238" w:lineRule="auto"/>
        <w:rPr>
          <w:sz w:val="20"/>
          <w:szCs w:val="20"/>
          <w:color w:val="auto"/>
        </w:rPr>
      </w:pPr>
      <w:r>
        <w:rPr>
          <w:rFonts w:ascii="Courier New" w:cs="Courier New" w:eastAsia="Courier New" w:hAnsi="Courier New"/>
          <w:sz w:val="18"/>
          <w:szCs w:val="18"/>
          <w:color w:val="auto"/>
        </w:rPr>
        <w:t>(.04)</w:t>
      </w:r>
    </w:p>
    <w:p>
      <w:pPr>
        <w:ind w:left="3680"/>
        <w:spacing w:after="0"/>
        <w:rPr>
          <w:sz w:val="20"/>
          <w:szCs w:val="20"/>
          <w:color w:val="auto"/>
        </w:rPr>
      </w:pPr>
      <w:r>
        <w:rPr>
          <w:rFonts w:ascii="Courier New" w:cs="Courier New" w:eastAsia="Courier New" w:hAnsi="Courier New"/>
          <w:sz w:val="18"/>
          <w:szCs w:val="18"/>
          <w:color w:val="auto"/>
        </w:rPr>
        <w:t>(.04)</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2019-12-13T18:14:39Z</dcterms:created>
  <dcterms:modified xsi:type="dcterms:W3CDTF">2019-12-13T18:14:39Z</dcterms:modified>
</cp:coreProperties>
</file>