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3880" w:right="3860" w:hanging="3872"/>
        <w:spacing w:after="0" w:line="643" w:lineRule="auto"/>
        <w:tabs>
          <w:tab w:leader="none" w:pos="62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December 31, 2006</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36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4"/>
              </w:rPr>
              <w:t>Utah</w:t>
            </w:r>
          </w:p>
        </w:tc>
        <w:tc>
          <w:tcPr>
            <w:tcW w:w="20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3"/>
          </w:tcPr>
          <w:p>
            <w:pPr>
              <w:jc w:val="center"/>
              <w:ind w:right="1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incorporation or organization)</w:t>
            </w:r>
          </w:p>
        </w:tc>
        <w:tc>
          <w:tcPr>
            <w:tcW w:w="2080" w:type="dxa"/>
            <w:vAlign w:val="bottom"/>
            <w:gridSpan w:val="3"/>
          </w:tcPr>
          <w:p>
            <w:pPr>
              <w:jc w:val="center"/>
              <w:ind w:right="9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6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5225 Wiley Post Way, Suite 500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6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Salt Lake City, Utah</w:t>
            </w:r>
          </w:p>
        </w:tc>
        <w:tc>
          <w:tcPr>
            <w:tcW w:w="20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62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83" w:lineRule="exact"/>
        <w:rPr>
          <w:sz w:val="24"/>
          <w:szCs w:val="24"/>
          <w:color w:val="auto"/>
        </w:rPr>
      </w:pPr>
    </w:p>
    <w:p>
      <w:pPr>
        <w:jc w:val="both"/>
        <w:ind w:right="8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9960"/>
        <w:spacing w:after="0" w:line="207" w:lineRule="exact"/>
        <w:tabs>
          <w:tab w:leader="none" w:pos="109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278"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11,068,649 shares of the Company’s Common Stock, par value $0.001, outstanding on February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2007</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Page Number</w:t>
            </w:r>
          </w:p>
        </w:tc>
      </w:tr>
      <w:tr>
        <w:trPr>
          <w:trHeight w:val="210"/>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Disclosure Regarding Forward-Looking Statements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4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40" w:type="dxa"/>
            <w:vAlign w:val="bottom"/>
          </w:tcPr>
          <w:p>
            <w:pPr>
              <w:ind w:left="2220"/>
              <w:spacing w:after="0"/>
              <w:rPr>
                <w:sz w:val="20"/>
                <w:szCs w:val="20"/>
                <w:color w:val="auto"/>
              </w:rPr>
            </w:pPr>
            <w:r>
              <w:rPr>
                <w:rFonts w:ascii="Arial" w:cs="Arial" w:eastAsia="Arial" w:hAnsi="Arial"/>
                <w:sz w:val="18"/>
                <w:szCs w:val="18"/>
                <w:color w:val="auto"/>
              </w:rPr>
              <w:t>PART I - FINANCIAL INFORMATION</w:t>
            </w:r>
          </w:p>
        </w:tc>
        <w:tc>
          <w:tcPr>
            <w:tcW w:w="11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Condensed Consolidated Financial Statements</w:t>
            </w:r>
          </w:p>
        </w:tc>
        <w:tc>
          <w:tcPr>
            <w:tcW w:w="11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Condensed Consolidated Balance Sheets as of December 31, 2006 and June 30, 2006</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02"/>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1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Condensed Consolidated Statements of Income for the three months ended December 31, 2006</w:t>
            </w:r>
          </w:p>
        </w:tc>
        <w:tc>
          <w:tcPr>
            <w:tcW w:w="1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2005 and the six months ended December 31, 2006 and 2005</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40" w:type="dxa"/>
            <w:vAlign w:val="bottom"/>
          </w:tcPr>
          <w:p>
            <w:pPr>
              <w:ind w:left="120"/>
              <w:spacing w:after="0" w:line="201" w:lineRule="exact"/>
              <w:rPr>
                <w:sz w:val="20"/>
                <w:szCs w:val="20"/>
                <w:color w:val="auto"/>
              </w:rPr>
            </w:pPr>
            <w:r>
              <w:rPr>
                <w:rFonts w:ascii="Arial" w:cs="Arial" w:eastAsia="Arial" w:hAnsi="Arial"/>
                <w:sz w:val="18"/>
                <w:szCs w:val="18"/>
                <w:color w:val="auto"/>
                <w:w w:val="89"/>
              </w:rPr>
              <w:t>Condensed Consolidated Statements of Cash Flows for the six months ended December 31, 2006</w:t>
            </w:r>
          </w:p>
        </w:tc>
        <w:tc>
          <w:tcPr>
            <w:tcW w:w="1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and 2005</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43"/>
        </w:trPr>
        <w:tc>
          <w:tcPr>
            <w:tcW w:w="20" w:type="dxa"/>
            <w:vAlign w:val="bottom"/>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to Condensed Consolidated Financial Statements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7140" w:type="dxa"/>
            <w:vAlign w:val="bottom"/>
          </w:tcPr>
          <w:p>
            <w:pPr>
              <w:ind w:left="120"/>
              <w:spacing w:after="0"/>
              <w:rPr>
                <w:sz w:val="20"/>
                <w:szCs w:val="20"/>
                <w:color w:val="auto"/>
              </w:rPr>
            </w:pPr>
            <w:r>
              <w:rPr>
                <w:rFonts w:ascii="Arial" w:cs="Arial" w:eastAsia="Arial" w:hAnsi="Arial"/>
                <w:sz w:val="18"/>
                <w:szCs w:val="18"/>
                <w:color w:val="auto"/>
                <w:w w:val="98"/>
              </w:rPr>
              <w:t>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71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86"/>
        </w:trPr>
        <w:tc>
          <w:tcPr>
            <w:tcW w:w="20" w:type="dxa"/>
            <w:vAlign w:val="bottom"/>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1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PART II - OTHER INFORMATION</w:t>
            </w:r>
          </w:p>
        </w:tc>
        <w:tc>
          <w:tcPr>
            <w:tcW w:w="112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71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 Factors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714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Defaults Upon Senior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7140" w:type="dxa"/>
            <w:vAlign w:val="bottom"/>
          </w:tcPr>
          <w:p>
            <w:pPr>
              <w:ind w:left="120"/>
              <w:spacing w:after="0"/>
              <w:rPr>
                <w:sz w:val="20"/>
                <w:szCs w:val="20"/>
                <w:color w:val="auto"/>
              </w:rPr>
            </w:pPr>
            <w:r>
              <w:rPr>
                <w:rFonts w:ascii="Arial" w:cs="Arial" w:eastAsia="Arial" w:hAnsi="Arial"/>
                <w:sz w:val="18"/>
                <w:szCs w:val="18"/>
                <w:color w:val="auto"/>
              </w:rPr>
              <w:t>Submission of Matters to a Vote of Security 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714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43"/>
        </w:trPr>
        <w:tc>
          <w:tcPr>
            <w:tcW w:w="20" w:type="dxa"/>
            <w:vAlign w:val="bottom"/>
          </w:tcPr>
          <w:p>
            <w:pPr>
              <w:spacing w:after="0"/>
              <w:rPr>
                <w:sz w:val="21"/>
                <w:szCs w:val="21"/>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7"/>
              </w:rPr>
              <w:t>Signatures</w:t>
            </w:r>
          </w:p>
        </w:tc>
        <w:tc>
          <w:tcPr>
            <w:tcW w:w="714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634" w:right="1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39,743</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 long-term</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10,865</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8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11,072,349 and 12,184,727 shares issued and outstanding, respectively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(20,603)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(22,364)</w:t>
            </w:r>
          </w:p>
        </w:tc>
      </w:tr>
      <w:tr>
        <w:trPr>
          <w:trHeight w:val="244"/>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41,405</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bl>
    <w:p>
      <w:pPr>
        <w:ind w:left="31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280"/>
          </w:cols>
          <w:pgMar w:left="240" w:top="3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64" w:right="13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(Provision) benefit from income taxes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Gain (loss) on disposal of discontinued operations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13"/>
            <w:shd w:val="clear" w:color="auto" w:fill="CCEEFF"/>
          </w:tcPr>
          <w:p>
            <w:pPr>
              <w:ind w:left="196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earnings per common share from continuing</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6"/>
              </w:rPr>
              <w:t>Diluted earnings per common share from continuing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5"/>
              </w:rPr>
              <w:t>Basic earnings per common share from discontinued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per common share from discontinued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11,922,641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12,184,727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12,053,745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11,734,485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11,957,706</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12,195,466</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12,100,794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12,230,035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87"/>
              </w:rPr>
              <w:t>December</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60" w:type="dxa"/>
            <w:vAlign w:val="bottom"/>
          </w:tcPr>
          <w:p>
            <w:pPr>
              <w:spacing w:after="0"/>
              <w:rPr>
                <w:sz w:val="16"/>
                <w:szCs w:val="16"/>
                <w:color w:val="auto"/>
              </w:rPr>
            </w:pPr>
          </w:p>
        </w:tc>
      </w:tr>
      <w:tr>
        <w:trPr>
          <w:trHeight w:val="234"/>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0"/>
                <w:szCs w:val="20"/>
                <w:color w:val="auto"/>
              </w:rPr>
            </w:pPr>
          </w:p>
        </w:tc>
      </w:tr>
      <w:tr>
        <w:trPr>
          <w:trHeight w:val="270"/>
        </w:trPr>
        <w:tc>
          <w:tcPr>
            <w:tcW w:w="58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3"/>
                <w:szCs w:val="23"/>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Adjustments to reconcile net income from continuing operations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(used in) operations: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r>
      <w:tr>
        <w:trPr>
          <w:trHeight w:val="243"/>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43"/>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receivable - Ken-A-Vision</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r>
      <w:tr>
        <w:trPr>
          <w:trHeight w:val="24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(1,222)</w:t>
            </w:r>
          </w:p>
        </w:tc>
      </w:tr>
      <w:tr>
        <w:trPr>
          <w:trHeight w:val="24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5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continuing operating activities</w:t>
            </w: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20"/>
                <w:szCs w:val="20"/>
                <w:color w:val="auto"/>
              </w:rPr>
            </w:pPr>
          </w:p>
        </w:tc>
      </w:tr>
      <w:tr>
        <w:trPr>
          <w:trHeight w:val="243"/>
        </w:trPr>
        <w:tc>
          <w:tcPr>
            <w:tcW w:w="5820" w:type="dxa"/>
            <w:vAlign w:val="bottom"/>
          </w:tcPr>
          <w:p>
            <w:pPr>
              <w:ind w:left="660"/>
              <w:spacing w:after="0"/>
              <w:rPr>
                <w:sz w:val="20"/>
                <w:szCs w:val="20"/>
                <w:color w:val="auto"/>
              </w:rPr>
            </w:pPr>
            <w:r>
              <w:rPr>
                <w:rFonts w:ascii="Arial" w:cs="Arial" w:eastAsia="Arial" w:hAnsi="Arial"/>
                <w:sz w:val="18"/>
                <w:szCs w:val="18"/>
                <w:color w:val="auto"/>
              </w:rPr>
              <w:t>Net cash provided by discontinued operating activities</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1"/>
                <w:szCs w:val="21"/>
                <w:color w:val="auto"/>
              </w:rPr>
            </w:pPr>
          </w:p>
        </w:tc>
      </w:tr>
      <w:tr>
        <w:trPr>
          <w:trHeight w:val="237"/>
        </w:trPr>
        <w:tc>
          <w:tcPr>
            <w:tcW w:w="5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r>
      <w:tr>
        <w:trPr>
          <w:trHeight w:val="237"/>
        </w:trPr>
        <w:tc>
          <w:tcPr>
            <w:tcW w:w="58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(3,600)</w:t>
            </w:r>
          </w:p>
        </w:tc>
      </w:tr>
      <w:tr>
        <w:trPr>
          <w:trHeight w:val="243"/>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480"/>
              <w:spacing w:after="0"/>
              <w:rPr>
                <w:sz w:val="20"/>
                <w:szCs w:val="20"/>
                <w:color w:val="auto"/>
              </w:rPr>
            </w:pPr>
            <w:r>
              <w:rPr>
                <w:rFonts w:ascii="Arial" w:cs="Arial" w:eastAsia="Arial" w:hAnsi="Arial"/>
                <w:sz w:val="18"/>
                <w:szCs w:val="18"/>
                <w:color w:val="auto"/>
              </w:rPr>
              <w:t>Net cash provided by (used in) continuing investing activities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(1,279)</w:t>
            </w:r>
          </w:p>
        </w:tc>
      </w:tr>
      <w:tr>
        <w:trPr>
          <w:trHeight w:val="243"/>
        </w:trPr>
        <w:tc>
          <w:tcPr>
            <w:tcW w:w="5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58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Purchase and retirement of stock</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5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37"/>
        </w:trPr>
        <w:tc>
          <w:tcPr>
            <w:tcW w:w="58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60" w:type="dxa"/>
            <w:vAlign w:val="bottom"/>
          </w:tcPr>
          <w:p>
            <w:pPr>
              <w:spacing w:after="0"/>
              <w:rPr>
                <w:sz w:val="23"/>
                <w:szCs w:val="23"/>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-121920</wp:posOffset>
            </wp:positionV>
            <wp:extent cx="50685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99695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December</w:t>
            </w:r>
          </w:p>
        </w:tc>
        <w:tc>
          <w:tcPr>
            <w:tcW w:w="80" w:type="dxa"/>
            <w:vAlign w:val="bottom"/>
          </w:tcPr>
          <w:p>
            <w:pPr>
              <w:spacing w:after="0"/>
              <w:rPr>
                <w:sz w:val="16"/>
                <w:szCs w:val="16"/>
                <w:color w:val="auto"/>
              </w:rPr>
            </w:pPr>
          </w:p>
        </w:tc>
      </w:t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r>
      <w:tr>
        <w:trPr>
          <w:trHeight w:val="270"/>
        </w:trPr>
        <w:tc>
          <w:tcPr>
            <w:tcW w:w="6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2,264</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Lease incentive for Edgewater leasehold improvements</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condensed consolidated financial statements, consisting of the condensed consolidated balance sheets as of December 31, 2006 and June 30, 2006, the condensed consolidated statements of income for the three months and six months ended December 31, 2006 and 2005, and the condensed consolidated statements of cash flows for the six months ended December 31, 2006 and 2005, have been prepared in accordance with accounting principles generally accepted in the United States for interim financial information and with the instructions to Form 10-Q.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2006.</w:t>
      </w:r>
    </w:p>
    <w:p>
      <w:pPr>
        <w:spacing w:after="0" w:line="24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December 31, 2006 and June 30, 2006 (in thousands):</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6,614</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31, 2006, the Company had one active share-based compensation plan, the 1998 Stock Option Plan (the “1998 Plan”). Provisions of the 1998 Plan include the granting of 2,500,000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December 31, 2006, 22,500 and 150,335 of these options that cliff vest after 9.8 and 6.0 years, respectively, remain outstanding.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have the authority to elect that all unvested options shall vest and become exercisable immediately prior to the event or closing of the transaction. All options outstanding as of December 31, 2006 had contractual lives of ten years. Under the 1998 Plan, 2,500,000 shares were authorized for grant. The 1998 Plan expires June 10, 2008, or when all the shares available under the plan have been issued if this occurs earlier. As of December 31, 2006, there were 1,271,335 options outstanding under the 1998 Plan, which includes the cliff vesting and 3 or 4-year vesting options discussed above.</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 The program was suspended during the period the Company failed to remain current in its filing of periodic reports with the SEC and reinstated in fiscal year 2007 after the Company became current.</w:t>
      </w:r>
    </w:p>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fiscal quarter of 2007, the Company completed the sales of its document and educational camera product line to Ken-A-Vision Manufacturing. Additionally, during fiscal 2005, the Company sold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Finally, during fiscal 2001, the Company sold certain assets to Burk Technology, Inc. (“Burk”) whose sales proceeds are included with discontinued operations. Summary operating results of the discontinued operations are as follows (in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4"/>
              </w:rPr>
              <w:t>Three Months Ended</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2"/>
                <w:szCs w:val="22"/>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480"/>
        </w:trPr>
        <w:tc>
          <w:tcPr>
            <w:tcW w:w="394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6"/>
              </w:rPr>
              <w:t>Gain (loss) on disposal of discontinued operations: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Burk</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392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Total gain (loss) on disposal of discontinued</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Burk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tax benefit (provision)</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154305</wp:posOffset>
            </wp:positionV>
            <wp:extent cx="57975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income (loss) from discontinued operations, net of income taxes:</w:t>
      </w:r>
    </w:p>
    <w:p>
      <w:pPr>
        <w:spacing w:after="0" w:line="36"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410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56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0"/>
                <w:szCs w:val="20"/>
                <w:color w:val="auto"/>
              </w:rPr>
            </w:pPr>
          </w:p>
        </w:tc>
      </w:tr>
      <w:tr>
        <w:trPr>
          <w:trHeight w:val="243"/>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21"/>
                <w:szCs w:val="2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Burk</w:t>
            </w:r>
          </w:p>
        </w:tc>
        <w:tc>
          <w:tcPr>
            <w:tcW w:w="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21"/>
                <w:szCs w:val="21"/>
                <w:color w:val="auto"/>
              </w:rPr>
            </w:pPr>
          </w:p>
        </w:tc>
      </w:tr>
      <w:tr>
        <w:trPr>
          <w:trHeight w:val="237"/>
        </w:trPr>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Total income (loss) from discontinued operations,</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100" w:type="dxa"/>
            <w:vAlign w:val="bottom"/>
          </w:tcPr>
          <w:p>
            <w:pPr>
              <w:ind w:left="480"/>
              <w:spacing w:after="0"/>
              <w:rPr>
                <w:sz w:val="20"/>
                <w:szCs w:val="20"/>
                <w:color w:val="auto"/>
              </w:rPr>
            </w:pPr>
            <w:r>
              <w:rPr>
                <w:rFonts w:ascii="Arial" w:cs="Arial" w:eastAsia="Arial" w:hAnsi="Arial"/>
                <w:sz w:val="18"/>
                <w:szCs w:val="18"/>
                <w:color w:val="auto"/>
              </w:rPr>
              <w:t>net of income taxes</w:t>
            </w:r>
          </w:p>
        </w:tc>
        <w:tc>
          <w:tcPr>
            <w:tcW w:w="56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21"/>
                <w:szCs w:val="2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recently reevaluated its options and concluded that its best course of action is to enforce its security and appoint a receiver over the assets of OM Video. As of December 31, 2006 the amount of the promissory note and contingent earn-out provision was approximately $1,200. The Company expects to collect approximately $400 to $600, which is net of associated fees, over the next several periods through this receivership.</w:t>
      </w:r>
    </w:p>
    <w:p>
      <w:pPr>
        <w:sectPr>
          <w:pgSz w:w="11900" w:h="16838" w:orient="portrait"/>
          <w:cols w:equalWidth="0" w:num="1">
            <w:col w:w="11380"/>
          </w:cols>
          <w:pgMar w:left="240" w:top="364" w:right="2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Shareholders’ Equity</w:t>
      </w:r>
    </w:p>
    <w:p>
      <w:pPr>
        <w:spacing w:after="0" w:line="2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shareholders’ equity of $27.89 million at December 31, 2006 declined approximately $2.5 million from June 30, 2006. As previously announced, the Company completed a tender offer in Fiscal 2Q 2007 in which a total of approximately 1.1 million shares of its stock were repurchased for $4.6 million. The cost of the tender offer, offset by $1.8 million in net income in addition to the expensing of stock options for the six months ended December 31, 2006 explains the decline in total shareholders’ equity.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Subsequent Events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8, 2007 the Company announced that it had filed a lawsuit in the Third Judicial District Court, Salt Lake County, State of Utah against Wideband Solutions, Inc., Biamp Systems Corporation, Inc. and two individuals; one a former employee and one previously affiliated with ClearOne. The Complaint brings claims against different combinations of the defendants for, among other things, misappropriation of certain trade secrets, breach of contract, conversion, unjust enrichment and intentional interference with business and contractual relations.</w:t>
      </w: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January 22, 2007, the Company filed a form 8-K disclosing that, after exploring several collection options for its receivable in default from OM Video, elected to appoint a receiver over the assets of OM Video. Through receivership, the Company expects to collect a net of approximately $400 to $600 of the approximate $1.2 million receivable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2006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of goods sold could differ from actual amounts, we believe that our calculations are indicative of actual levels of inventory in the distribution channel. As of December 31, 2006, the Company deferred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3" w:name="page14"/>
    <w:bookmarkEnd w:id="13"/>
    <w:p>
      <w:pPr>
        <w:spacing w:after="0" w:line="264" w:lineRule="auto"/>
        <w:rPr>
          <w:sz w:val="20"/>
          <w:szCs w:val="20"/>
          <w:color w:val="auto"/>
        </w:rPr>
      </w:pPr>
      <w:r>
        <w:rPr>
          <w:rFonts w:ascii="Arial" w:cs="Arial" w:eastAsia="Arial" w:hAnsi="Arial"/>
          <w:sz w:val="18"/>
          <w:szCs w:val="18"/>
          <w:color w:val="auto"/>
        </w:rPr>
        <w:t>$4.7 million in revenue and $2.2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18-month period ended December 31, 2006 (in thousands).</w:t>
      </w:r>
    </w:p>
    <w:p>
      <w:pPr>
        <w:spacing w:after="0" w:line="23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12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Goods Sold</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8"/>
              </w:rPr>
              <w:t>Gross Profit</w:t>
            </w:r>
          </w:p>
        </w:tc>
      </w:tr>
      <w:tr>
        <w:trPr>
          <w:trHeight w:val="237"/>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September 30, 2006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March 31, 2006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2,912</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September 30, 2005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2,475</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March 31, 2005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3,135</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60" w:type="dxa"/>
            <w:vAlign w:val="bottom"/>
            <w:shd w:val="clear" w:color="auto" w:fill="CCEEFF"/>
          </w:tcPr>
          <w:p>
            <w:pPr>
              <w:spacing w:after="0"/>
              <w:rPr>
                <w:sz w:val="21"/>
                <w:szCs w:val="21"/>
                <w:color w:val="auto"/>
              </w:rPr>
            </w:pPr>
          </w:p>
        </w:tc>
      </w:tr>
      <w:tr>
        <w:trPr>
          <w:trHeight w:val="243"/>
        </w:trPr>
        <w:tc>
          <w:tcPr>
            <w:tcW w:w="2020" w:type="dxa"/>
            <w:vAlign w:val="bottom"/>
            <w:gridSpan w:val="2"/>
          </w:tcPr>
          <w:p>
            <w:pPr>
              <w:spacing w:after="0"/>
              <w:rPr>
                <w:sz w:val="20"/>
                <w:szCs w:val="20"/>
                <w:color w:val="auto"/>
              </w:rPr>
            </w:pPr>
            <w:r>
              <w:rPr>
                <w:rFonts w:ascii="Arial" w:cs="Arial" w:eastAsia="Arial" w:hAnsi="Arial"/>
                <w:sz w:val="18"/>
                <w:szCs w:val="18"/>
                <w:color w:val="auto"/>
              </w:rPr>
              <w:t>September 30, 2004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June 30, 2004</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Impairment of Long-Lived Asset</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7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Results of Operations for the three months or the second fiscal quarter (“2Q”) and six months or the first half of the fiscal year (“1H”) ended December 31, 2006 and 2005</w:t>
      </w:r>
    </w:p>
    <w:p>
      <w:pPr>
        <w:spacing w:after="0" w:line="2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six months ended December 31, 2006 and 2005, together with the percentage of total revenue which each such item represents: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CLEARONE COMMUNICATIONS, INC.</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0"/>
              </w:rPr>
              <w:t>Six Months Ended</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December</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December</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4"/>
              </w:rPr>
              <w:t>December</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line="191" w:lineRule="exact"/>
              <w:rPr>
                <w:sz w:val="20"/>
                <w:szCs w:val="20"/>
                <w:color w:val="auto"/>
              </w:rPr>
            </w:pPr>
            <w:r>
              <w:rPr>
                <w:rFonts w:ascii="Arial" w:cs="Arial" w:eastAsia="Arial" w:hAnsi="Arial"/>
                <w:sz w:val="18"/>
                <w:szCs w:val="18"/>
                <w:b w:val="1"/>
                <w:bCs w:val="1"/>
                <w:color w:val="auto"/>
                <w:w w:val="87"/>
              </w:rPr>
              <w:t>December</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 of</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 of</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 of</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5"/>
              </w:rPr>
              <w:t>Revenue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17,879</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80" w:type="dxa"/>
            <w:vAlign w:val="bottom"/>
            <w:tcBorders>
              <w:top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80" w:type="dxa"/>
            <w:vAlign w:val="bottom"/>
            <w:tcBorders>
              <w:top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80" w:type="dxa"/>
            <w:vAlign w:val="bottom"/>
            <w:tcBorders>
              <w:top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80" w:type="dxa"/>
            <w:vAlign w:val="bottom"/>
            <w:tcBorders>
              <w:top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Settlement in shareholders' class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6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Revenue for 2Q 2007 increased by 11%, or approximately $1 million, compared to 2Q 2006. The 2Q 2007 increase was due mainly to continued growth in the Company’s professional audio and tabletop conferencing products which collectively increased approximately $760,000 over 2Q 2006. The Company also realized growth in 2Q 2007 in its personal conferencing and accessories which collectively increased about $310,000 over the same period of 2006.</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1H 2007 revenue increased by 9%, or approximately $1.6 million compared to 1H 2006. The 1H 2007 revenue increase was led by growth in professional audio and table products sales which increased $1.4 million over 1H 2006. The Company also realized gains in its personal conferencing, OEM and accessories products which collectively increased about $450,000. These increases were offset by reduced premium conferencing, conferencing furniture and other product sales which together declined about $150,000 in 1H2007.</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2Q 2007 and 2006, the net change in deferred revenue based on the net movement of inventory in the channel was a net recognition (deferral) of $538,000 and ($88,000) in revenue, respectively. In the 1H 2007 and 2006, the net change in deferred revenue based on the net movement of inventory in the channel was a net recognition of $1.2 million and $119,000 in revenue, respectively.</w:t>
      </w: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revenues from sales outside of the United States accounted for 31% and 29% of total revenue for the three and six months ended December 31, 2006, respectively and 24% and 23% of total revenue for the three and six months ended December 31, 2005,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7" w:name="page18"/>
    <w:bookmarkEnd w:id="17"/>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0"/>
              </w:rPr>
              <w:t>Three Months Ended December 31,</w:t>
            </w:r>
          </w:p>
        </w:tc>
        <w:tc>
          <w:tcPr>
            <w:tcW w:w="2920" w:type="dxa"/>
            <w:vAlign w:val="bottom"/>
            <w:gridSpan w:val="8"/>
          </w:tcPr>
          <w:p>
            <w:pPr>
              <w:jc w:val="center"/>
              <w:ind w:right="70"/>
              <w:spacing w:after="0"/>
              <w:rPr>
                <w:sz w:val="20"/>
                <w:szCs w:val="20"/>
                <w:color w:val="auto"/>
              </w:rPr>
            </w:pPr>
            <w:r>
              <w:rPr>
                <w:rFonts w:ascii="Arial" w:cs="Arial" w:eastAsia="Arial" w:hAnsi="Arial"/>
                <w:sz w:val="18"/>
                <w:szCs w:val="18"/>
                <w:b w:val="1"/>
                <w:bCs w:val="1"/>
                <w:color w:val="auto"/>
                <w:w w:val="90"/>
              </w:rPr>
              <w:t>Six Months Ended December 31,</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Revenue</w:t>
            </w:r>
          </w:p>
        </w:tc>
        <w:tc>
          <w:tcPr>
            <w:tcW w:w="24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Revenue</w:t>
            </w:r>
          </w:p>
        </w:tc>
        <w:tc>
          <w:tcPr>
            <w:tcW w:w="80" w:type="dxa"/>
            <w:vAlign w:val="bottom"/>
          </w:tcPr>
          <w:p>
            <w:pPr>
              <w:spacing w:after="0"/>
              <w:rPr>
                <w:sz w:val="20"/>
                <w:szCs w:val="20"/>
                <w:color w:val="auto"/>
              </w:rPr>
            </w:pPr>
          </w:p>
        </w:tc>
      </w:tr>
      <w:tr>
        <w:trPr>
          <w:trHeight w:val="237"/>
        </w:trPr>
        <w:tc>
          <w:tcPr>
            <w:tcW w:w="284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8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4,470</w:t>
            </w:r>
          </w:p>
        </w:tc>
        <w:tc>
          <w:tcPr>
            <w:tcW w:w="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49.1%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47.0%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8,483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8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51.9%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4,632</w:t>
            </w:r>
          </w:p>
        </w:tc>
        <w:tc>
          <w:tcPr>
            <w:tcW w:w="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10,342</w:t>
            </w:r>
          </w:p>
        </w:tc>
        <w:tc>
          <w:tcPr>
            <w:tcW w:w="10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53.0%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9,396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COGS increased $390,000, or 9%, to $4.9 million during 2Q 2007 compared with $4.5 million in 2Q 2006. The 2Q 2007 increase in COGS was primarily due to the $1 million or 11% increase in total revenue. In 1H 2007, COGS increased $693,000, or 8%, to $9.2 million compared with $8.5 million for 1H 2006. The 1H 2007 increase in COGS was also primarily due to the $1.6 million or 9% increase in total revenue.</w:t>
      </w:r>
    </w:p>
    <w:p>
      <w:pPr>
        <w:spacing w:after="0" w:line="22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gross profit from continuing operations was $5.2 million, or 51.9% of revenue, for 2Q 2007 compared to $4.6 million, or 50.9% of revenue, during 2Q 2006. Despite the gross profit percentage being slightly higher, the Company’s 2Q 2007 gross profit was negatively impacted by material cost increases, rework and product write-offs which collectively totaled about $340,000. The Company is actively seeking ways to mitigate increases to the manufacturing costs of its products. 1H 2007 and 2006 gross profit was $10.3 million and $9.4 million, respectively. The gross profit percentages were nearly identical in each comparative period as a result of the net revenue increase being nearly proportional on a product mix basis in each respective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2Q 2007 operating expenses were $4.3 million, a decrease of $713,000, or 14.0%, from $5.0 million for 2Q 2006. 1H 2007 operating expenses of $9.1 million were slightly lower than the 1H 2006 total of $9.2 million. The 1H 2006 figure included a $1.2 million benefit related to the settlement in the shareholders’ class action. Without the 1H 2006 settlement benefit, 1H 2006 operating expenses were $10.4 million, or 14% higher than 1H 2007. The 2Q 2007 and 1H 2007 reductions were mainly attributable to lower general &amp; administrative costs. The following is a more detailed discussion of expenses related to marketing and selling, general and administrative, and research and product development.</w:t>
      </w:r>
    </w:p>
    <w:p>
      <w:pPr>
        <w:spacing w:after="0" w:line="23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2Q 2007 and 2006 marketing and selling expenses were about the same at $1.8 million. However, as a percentage of revenues, 2Q 2007 and 2006 marketing and selling expenses were 17.7% and 19.9%, respectively. The lower 2Q 2007 percentage can be attributed to the 11% higher revenues over 2Q 2006 without an associated increase in marketing and selling expenses. 1H 2007 and 2006 marketing and selling expenses were also about the same at $3.7 million and 3.6 million, respectively. As a percentage of revenues, 1H 2007 and 2006 marketing and selling expenses were 19.0% and 20.3%, respectively.</w:t>
      </w:r>
    </w:p>
    <w:p>
      <w:pPr>
        <w:spacing w:after="0" w:line="22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2Q 2007 G&amp;A expenses decreased $769,000, or 53%, to $688,000 compared to 2Q 2006 expenses of $1.5 million. 2Q 2007 and 2006 G&amp;A expenses were 6.8% and 16.0% of sales, respectively. The significant 2Q 2007 decrease was largely due to lower audit fees of $436,000 as higher fees were required in much of fiscal 2006 to bring the Company’s financial statements current, lower depreciation of $180,000 related to much of the Company’s computer equipment becoming fully depreciated and lower payroll and related expenses of $110,000 associated with lower G&amp;A headcount. 1H 2007 G&amp;A expenses decreased $1.7 million, or 54%, to $1.5 million compared to 1H 2006 expenses of $3.2 million. 1H 2007 and 2006 G&amp;A expenses were 7.7% and 18.1% of sales, respectively. The $1.7 million decrease in 1H 2007 was due mainly to lower audit fees of $930,000, lower payroll and related expenses of $285,000 and lower depreciation expense of $264,000, each of which decreased for the same reasons discussed in the 2Q change discussed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right="140"/>
        <w:spacing w:after="0" w:line="255" w:lineRule="auto"/>
        <w:rPr>
          <w:sz w:val="20"/>
          <w:szCs w:val="20"/>
          <w:color w:val="auto"/>
        </w:rPr>
      </w:pPr>
      <w:r>
        <w:rPr>
          <w:rFonts w:ascii="Arial" w:cs="Arial" w:eastAsia="Arial" w:hAnsi="Arial"/>
          <w:sz w:val="18"/>
          <w:szCs w:val="18"/>
          <w:b w:val="1"/>
          <w:bCs w:val="1"/>
          <w:u w:val="single" w:color="auto"/>
          <w:color w:val="auto"/>
        </w:rPr>
        <w:t>Research and product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product development expenses include research and development, product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services, and test and application expenses, including employee-related costs, outside services, expensed materials, depreciation, and an allocation of overhead expenses. 2Q 2007 research and product development expenses increased slightly to $1.9 million from $1.8 million in 2Q 2006. As a percentage of revenues, 2Q 2007 and 2006 research and product development expenses were 18.0% and 19.5%, respectively; the 2Q 2007 percentage decrease was due to the 11% increase in revenues. 1H 2007 research and product development expenses increased $357,000, or 10.0%, to $3.9 million compared with 1H 2006 expenses of $3.6 million. The 1H 2007 increase in product development expenses was due to ongoing research and product development efforts. As a percentage of revenues, 1H 2007 and 2006 research and product development expenses were about the same at 20% during each period.</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2Q 2007 operating income was $915,000 compared to an operating loss of ($413,000) in 2Q 2006. The 2Q 2007 operating profit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of $1.3 million was due mainly to the $615,000 increase in gross profit combined with the $769,000 decrease in G&amp;A expenses. 1H 2007 and 2006 operating income was $1.2 million and $174,000 respectively. As previously discussed, 1H 2006 included a $1.2 million benefit related to a settlement in the shareholders’ class action. Without the 1H 2006 settlement benefit, 1H 2007 operating income would have been $2.2 million higher than 1H 2006 reflecting the $946,000 gross profit increase and $1.7 million decrease in G&amp;A expenses slightly offset by the $357,000 increase in research and product development expenses.</w:t>
      </w:r>
    </w:p>
    <w:p>
      <w:pPr>
        <w:spacing w:after="0" w:line="24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interest income, interest expense, capital gains, gain (loss) on the disposal of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gain (loss). 2Q 2007 other income was $320,000, an increase of $129,000 from other income of $191,000 in 2Q 2006. 1H 2007 other income was $652,000, an increase of $295,000 from other income of $357,000 in 1H 2006. The increases in both 2Q and 1H 2007 were primarily due to an increase in interest income associated with our marketable securities.</w:t>
      </w:r>
    </w:p>
    <w:p>
      <w:pPr>
        <w:spacing w:after="0" w:line="234"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Income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2Q 2007 income from continuing operations was $1.1 million compared to a (loss) in 2Q</w:t>
      </w:r>
      <w:r>
        <w:rPr>
          <w:rFonts w:ascii="Arial" w:cs="Arial" w:eastAsia="Arial" w:hAnsi="Arial"/>
          <w:sz w:val="16"/>
          <w:szCs w:val="16"/>
          <w:b w:val="1"/>
          <w:bCs w:val="1"/>
          <w:color w:val="auto"/>
        </w:rPr>
        <w:t xml:space="preserve"> </w:t>
      </w:r>
      <w:r>
        <w:rPr>
          <w:rFonts w:ascii="Arial" w:cs="Arial" w:eastAsia="Arial" w:hAnsi="Arial"/>
          <w:sz w:val="16"/>
          <w:szCs w:val="16"/>
          <w:color w:val="auto"/>
        </w:rPr>
        <w:t>2006 of ($76,000). As a percentage of revenues, 2Q 2007 and 2006 income (loss) from continuing operations was 10.7% and (0.8%), respectively. 1H 2007 income from continuing operations was $1.7 million compared to $899,000 in 1H 2006. As a percentage of revenues, 1H 2007 and 2006 income from continuing operations was 8.8% and 5.0%, respectively. We attribute the fiscal 2007 improvement in income to the results of operations described above.</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Income (loss) from discontinued operations, net of tax. </w:t>
      </w:r>
      <w:r>
        <w:rPr>
          <w:rFonts w:ascii="Arial" w:cs="Arial" w:eastAsia="Arial" w:hAnsi="Arial"/>
          <w:sz w:val="17"/>
          <w:szCs w:val="17"/>
          <w:color w:val="auto"/>
        </w:rPr>
        <w:t>During 2Q 2007 and 2006 we recorded income from discontinued operations, net of tax of $4,000</w:t>
      </w:r>
      <w:r>
        <w:rPr>
          <w:rFonts w:ascii="Arial" w:cs="Arial" w:eastAsia="Arial" w:hAnsi="Arial"/>
          <w:sz w:val="17"/>
          <w:szCs w:val="17"/>
          <w:b w:val="1"/>
          <w:bCs w:val="1"/>
          <w:color w:val="auto"/>
        </w:rPr>
        <w:t xml:space="preserve"> </w:t>
      </w:r>
      <w:r>
        <w:rPr>
          <w:rFonts w:ascii="Arial" w:cs="Arial" w:eastAsia="Arial" w:hAnsi="Arial"/>
          <w:sz w:val="17"/>
          <w:szCs w:val="17"/>
          <w:color w:val="auto"/>
        </w:rPr>
        <w:t>and $157,000, respectively. The 2Q 2007 income was exclusively related to the sale of our document and educational camera product line to Ken-A-Vision. The 2Q 2006 income of $157,000 was related to receipt of payments on our OM Video promissory note in addition to income from the discontinued operations of the document and educational camera product line. For 1H 2007 and 2006 income from discontinued operations, net of tax was $41,000 and $1.2 million, respectively. The significant decrease in 1H 2007 can be attributed mainly to the 1H 2006 realized gain, net of tax, of $844,000 related to a Mutual Release and Waiver with Burk Technology, Inc. previously discussed. Additionally, we recognized $137,000 in income from discontinued operations from the document and educational camera product line and $188,000 of payments on our OM Video promissory note.</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2006, our cash and cash equivalents were approximately $1.8 million and our marketable securities were approximately $16.5 million, which represented an overall decrease of $3.5 million in our balances from June 30, 2006 which had cash and cash equivalents of approximately $1.2 million and marketable securities of approximately $20.6 million. The significant decrease in cash and cash equivalents during 1H 2007 can be attributed to the Company’s 2Q 2007 repurchase of 1.1 million shares of common stock for approximately $4.7 million offset by other net increases in cash provided by operating and investing activities.</w:t>
      </w:r>
    </w:p>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flows provided by operating activities were $1.3 million for the six months ended December 31, 2006, an increase of $427,000 from the net cash flows provided by operating activities of $864,000 for the six months ended December 31, 2005. The year-over-year increase can be attributed to an increase in net income from continuing operations of $821,000 offset by depreciation and amortization which decreased $211,000 and stock-based compensation which decreased $160,000.</w:t>
      </w: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flows provided by investing activities were $4.0 million for the six months ended December 31, 2006, an increase of $4.3 million from the net cash flows (used in) investing activities of ($247,000) for the six months ended December 31, 2005. The change was primarily attributable to the sale of $4.0 million in marketable securities used to fund the repurchase of the tendered shares of common stock.</w:t>
      </w:r>
    </w:p>
    <w:p>
      <w:pPr>
        <w:spacing w:after="0" w:line="23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cash (used in) financing activities for the six months ended December 31, 2006 totaled ($4.7 million) and was largely related to the Company’s repurchase of 1.1 million shares of common stock. We did not use nor receive cash from financing activities during the same period ending December 31, 2005.</w:t>
      </w:r>
    </w:p>
    <w:p>
      <w:pPr>
        <w:spacing w:after="0" w:line="2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Additionally, we recorded $1.1 million in non-cash financing activities related to leasehold improvements to our new headquarters, the majority of which was paid as an incentive by the lessor as part of the lease agreement. These improvements are being accounted for in accordance with FASB Technical Bulletin No. 88-1, </w:t>
      </w:r>
      <w:r>
        <w:rPr>
          <w:rFonts w:ascii="Arial" w:cs="Arial" w:eastAsia="Arial" w:hAnsi="Arial"/>
          <w:sz w:val="17"/>
          <w:szCs w:val="17"/>
          <w:i w:val="1"/>
          <w:iCs w:val="1"/>
          <w:color w:val="auto"/>
        </w:rPr>
        <w:t>Issues Relating to Accounting for Leases</w:t>
      </w:r>
      <w:r>
        <w:rPr>
          <w:rFonts w:ascii="Arial" w:cs="Arial" w:eastAsia="Arial" w:hAnsi="Arial"/>
          <w:sz w:val="17"/>
          <w:szCs w:val="17"/>
          <w:color w:val="auto"/>
        </w:rPr>
        <w:t>, which states among other things that landlord incentives which fund leasehold improvements should be recorded as deferred rent and amortized as reductions to lease expense over the term of the lease.</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Management believes that future income from operations and effective management of working capital will provide the liquidity needed to finance growth plans. In addition to capital expenditures, the Company plans to use cash during the remainder of fiscal 2007 for selective infusions of technological, marketing or product manufacturing rights to broaden the Company's product offerings; for continued share repurchases; and if available for a reasonable price, acquisitions that may strategically fit the Company’s business and are accretive to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2006.</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0" w:name="page21"/>
    <w:bookmarkEnd w:id="20"/>
    <w:p>
      <w:pPr>
        <w:spacing w:after="0" w:line="256"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December 31, 2006.</w:t>
      </w:r>
    </w:p>
    <w:p>
      <w:pPr>
        <w:ind w:right="480"/>
        <w:spacing w:after="0" w:line="261" w:lineRule="auto"/>
        <w:rPr>
          <w:sz w:val="20"/>
          <w:szCs w:val="20"/>
          <w:color w:val="auto"/>
        </w:rPr>
      </w:pPr>
      <w:r>
        <w:rPr>
          <w:rFonts w:ascii="Arial" w:cs="Arial" w:eastAsia="Arial" w:hAnsi="Arial"/>
          <w:sz w:val="18"/>
          <w:szCs w:val="18"/>
          <w:color w:val="auto"/>
        </w:rPr>
        <w:t>Based upon this evaluation, our management, including the Chief Executive Officer and the Chief Financial Officer, has concluded that our disclosure controls and procedures were effective as of December 31, 2006.</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December 31, 2006,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arise in the normal course of business. Such matters are subject to many uncertainties and outcomes that are not predictable. However, based on the information available to us as of February 8, 2007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Theft of Trade Secrets Complaint. </w:t>
      </w:r>
      <w:r>
        <w:rPr>
          <w:rFonts w:ascii="Arial" w:cs="Arial" w:eastAsia="Arial" w:hAnsi="Arial"/>
          <w:sz w:val="17"/>
          <w:szCs w:val="17"/>
          <w:color w:val="auto"/>
        </w:rPr>
        <w:t>On January 3, 2007, the Company filed a lawsuit in the Third Judicial District Court, Salt Lake County, State of Utah</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WideBand Solutions, Inc., Biamp Systems Corporation, Inc. and two individuals; one a former employee and one previously affiliated with the Company. The Complaint brings claims against different combinations of the defendants for, among other things, misappropriation of certain trade secrets, breach of contract, conversion, unjust enrichment and intentional interference with business and contractual relations. The relief being sought by the Company includes an order enjoining the defendants from further use of the Company’s trade secrets and an award consisting of, among other things, compensation and damages related the unjust enrichment of the defendants. The litigation is in the early stages, is subject to all of the risks and uncertainties of litigation and there can be no assurance as to the probable result of this litigation.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December 31, 2006 unaudited condensed consolidated financial statements and related notes.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2006,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considering similar regulations, which could require additional resources and effort from ClearOne to comply.</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3" w:name="page24"/>
    <w:bookmarkEnd w:id="23"/>
    <w:p>
      <w:pPr>
        <w:ind w:right="160"/>
        <w:spacing w:after="0" w:line="273" w:lineRule="auto"/>
        <w:rPr>
          <w:sz w:val="20"/>
          <w:szCs w:val="20"/>
          <w:color w:val="auto"/>
        </w:rPr>
      </w:pPr>
      <w:r>
        <w:rPr>
          <w:rFonts w:ascii="Arial" w:cs="Arial" w:eastAsia="Arial" w:hAnsi="Arial"/>
          <w:sz w:val="17"/>
          <w:szCs w:val="17"/>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 which will continue until the products have been updated.</w:t>
      </w:r>
    </w:p>
    <w:p>
      <w:pPr>
        <w:spacing w:after="0" w:line="23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date, we have completed the re-design of our products and begun shipping the majority to the European market. Certain of the re-designed product have yet to launch into the European market although we anticipate that most of these products will be ready for launch during fiscal 2007. Additionally, certain of our products will not be re-designed. Accordingly, sales into the European market may be negatively impacted and our results of operations could suffer. Our outsourced manufacturers may hold us responsible for the cost of purchased components that have become obsolete as a result of our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California law regarding efficient use of energy goes into effect in July 2007 and will require re-design of power supplies in order to comply. ClearOne has already begun this effort.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circuitry and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 required specifications and regulatory standards;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 market expectations for performance;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·hiring and keeping a sufficient number of skilled developers;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·obtaining prototype products at anticipated cost levels;</w:t>
      </w:r>
    </w:p>
    <w:p>
      <w:pPr>
        <w:spacing w:after="0" w:line="9" w:lineRule="exact"/>
        <w:rPr>
          <w:sz w:val="20"/>
          <w:szCs w:val="20"/>
          <w:color w:val="auto"/>
        </w:rPr>
      </w:pPr>
    </w:p>
    <w:p>
      <w:pPr>
        <w:ind w:left="660" w:right="4380"/>
        <w:spacing w:after="0" w:line="261" w:lineRule="auto"/>
        <w:rPr>
          <w:sz w:val="20"/>
          <w:szCs w:val="20"/>
          <w:color w:val="auto"/>
        </w:rPr>
      </w:pPr>
      <w:r>
        <w:rPr>
          <w:rFonts w:ascii="Arial" w:cs="Arial" w:eastAsia="Arial" w:hAnsi="Arial"/>
          <w:sz w:val="18"/>
          <w:szCs w:val="18"/>
          <w:color w:val="auto"/>
        </w:rPr>
        <w:t>·having the ability to identify problems or product defects in the development cycle; and ·achieving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24" w:name="page25"/>
    <w:bookmarkEnd w:id="24"/>
    <w:p>
      <w:pPr>
        <w:ind w:right="20"/>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We also have an agreement with offshore manufacturers for the manufacture of other product lines. Additionally, in July 2006, we outsourced the manufacturing of our furniture product lines to two manufacturers. If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substantially all of our products.</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 single source for certain components.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products have been qualified to utilize components for which we rely upon a consistent supply from a single source. Our reliance on a single source puts us at risk if, for whatever reason, we are unable to receive these single-sourced components to meet demand which could have a material adverse effect on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sales represent a significant portion of our total product sales.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·unique environmental regulations;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·fluctuating exchange rates;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·tariffs and other barriers;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 staffing and managing foreign sales operations;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·import and export restrictions;</w:t>
      </w:r>
    </w:p>
    <w:p>
      <w:pPr>
        <w:spacing w:after="0" w:line="9" w:lineRule="exact"/>
        <w:rPr>
          <w:sz w:val="20"/>
          <w:szCs w:val="20"/>
          <w:color w:val="auto"/>
        </w:rPr>
      </w:pPr>
    </w:p>
    <w:p>
      <w:pPr>
        <w:ind w:left="660" w:right="4960"/>
        <w:spacing w:after="0" w:line="250" w:lineRule="auto"/>
        <w:rPr>
          <w:sz w:val="20"/>
          <w:szCs w:val="20"/>
          <w:color w:val="auto"/>
        </w:rPr>
      </w:pPr>
      <w:r>
        <w:rPr>
          <w:rFonts w:ascii="Arial" w:cs="Arial" w:eastAsia="Arial" w:hAnsi="Arial"/>
          <w:sz w:val="18"/>
          <w:szCs w:val="18"/>
          <w:color w:val="auto"/>
        </w:rPr>
        <w:t>·greater difficulties in accounts receivable collection and longer payment cycles; ·potentially adverse tax consequences;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hostilities and changes in diplomatic and trade relationships;</w:t>
      </w:r>
    </w:p>
    <w:p>
      <w:pPr>
        <w:spacing w:after="0" w:line="9" w:lineRule="exact"/>
        <w:rPr>
          <w:sz w:val="20"/>
          <w:szCs w:val="20"/>
          <w:color w:val="auto"/>
        </w:rPr>
      </w:pPr>
    </w:p>
    <w:p>
      <w:pPr>
        <w:ind w:left="720" w:right="3040" w:hanging="58"/>
        <w:spacing w:after="0" w:line="261" w:lineRule="auto"/>
        <w:rPr>
          <w:sz w:val="20"/>
          <w:szCs w:val="20"/>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880" w:right="20" w:hanging="58"/>
        <w:spacing w:after="0" w:line="258" w:lineRule="auto"/>
        <w:rPr>
          <w:sz w:val="20"/>
          <w:szCs w:val="20"/>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·disparity between our reported results and the projections of analysts;</w:t>
      </w:r>
    </w:p>
    <w:p>
      <w:pPr>
        <w:spacing w:after="0" w:line="9" w:lineRule="exact"/>
        <w:rPr>
          <w:sz w:val="20"/>
          <w:szCs w:val="20"/>
          <w:color w:val="auto"/>
        </w:rPr>
      </w:pPr>
    </w:p>
    <w:p>
      <w:pPr>
        <w:ind w:left="820" w:right="2740"/>
        <w:spacing w:after="0" w:line="250" w:lineRule="auto"/>
        <w:rPr>
          <w:sz w:val="20"/>
          <w:szCs w:val="20"/>
          <w:color w:val="auto"/>
        </w:rPr>
      </w:pPr>
      <w:r>
        <w:rPr>
          <w:rFonts w:ascii="Arial" w:cs="Arial" w:eastAsia="Arial" w:hAnsi="Arial"/>
          <w:sz w:val="18"/>
          <w:szCs w:val="18"/>
          <w:color w:val="auto"/>
        </w:rPr>
        <w:t>·the shift in sales mix of products that we currently sell to a sales mix of lower-gross profit product offerings; ·the level and mix of inventory levels held by our distributors;</w:t>
      </w:r>
    </w:p>
    <w:p>
      <w:pPr>
        <w:spacing w:after="0" w:line="1" w:lineRule="exact"/>
        <w:rPr>
          <w:sz w:val="20"/>
          <w:szCs w:val="20"/>
          <w:color w:val="auto"/>
        </w:rPr>
      </w:pPr>
    </w:p>
    <w:p>
      <w:pPr>
        <w:ind w:left="820" w:right="4320"/>
        <w:spacing w:after="0" w:line="250" w:lineRule="auto"/>
        <w:rPr>
          <w:sz w:val="20"/>
          <w:szCs w:val="20"/>
          <w:color w:val="auto"/>
        </w:rPr>
      </w:pPr>
      <w:r>
        <w:rPr>
          <w:rFonts w:ascii="Arial" w:cs="Arial" w:eastAsia="Arial" w:hAnsi="Arial"/>
          <w:sz w:val="18"/>
          <w:szCs w:val="18"/>
          <w:color w:val="auto"/>
        </w:rPr>
        <w:t>·the announcement of new products or product enhancements by us or our competitors; ·technological innovations by us or our competitors;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·success in meeting targeted availability dates for new or redesigned products;</w:t>
      </w:r>
    </w:p>
    <w:p>
      <w:pPr>
        <w:spacing w:after="0" w:line="9" w:lineRule="exact"/>
        <w:rPr>
          <w:sz w:val="20"/>
          <w:szCs w:val="20"/>
          <w:color w:val="auto"/>
        </w:rPr>
      </w:pPr>
    </w:p>
    <w:p>
      <w:pPr>
        <w:ind w:left="820" w:right="3840"/>
        <w:spacing w:after="0" w:line="250" w:lineRule="auto"/>
        <w:rPr>
          <w:sz w:val="20"/>
          <w:szCs w:val="20"/>
          <w:color w:val="auto"/>
        </w:rPr>
      </w:pPr>
      <w:r>
        <w:rPr>
          <w:rFonts w:ascii="Arial" w:cs="Arial" w:eastAsia="Arial" w:hAnsi="Arial"/>
          <w:sz w:val="18"/>
          <w:szCs w:val="18"/>
          <w:color w:val="auto"/>
        </w:rPr>
        <w:t>·the ability to profitably and efficiently manage our supplies of products and key components; ·the ability to maintain profitable relationships with our customers; ·the ability to maintain an appropriate cost structure;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·quarterly variations in our results of operations;</w:t>
      </w:r>
    </w:p>
    <w:p>
      <w:pPr>
        <w:spacing w:after="0" w:line="9" w:lineRule="exact"/>
        <w:rPr>
          <w:sz w:val="20"/>
          <w:szCs w:val="20"/>
          <w:color w:val="auto"/>
        </w:rPr>
      </w:pPr>
    </w:p>
    <w:p>
      <w:pPr>
        <w:ind w:left="820" w:right="2360"/>
        <w:spacing w:after="0" w:line="250" w:lineRule="auto"/>
        <w:rPr>
          <w:sz w:val="20"/>
          <w:szCs w:val="20"/>
          <w:color w:val="auto"/>
        </w:rPr>
      </w:pPr>
      <w:r>
        <w:rPr>
          <w:rFonts w:ascii="Arial" w:cs="Arial" w:eastAsia="Arial" w:hAnsi="Arial"/>
          <w:sz w:val="18"/>
          <w:szCs w:val="18"/>
          <w:color w:val="auto"/>
        </w:rPr>
        <w:t>·general consumer confidence or general market conditions or market conditions specific to technology industries; ·domestic and international economic conditions;</w:t>
      </w:r>
    </w:p>
    <w:p>
      <w:pPr>
        <w:spacing w:after="0" w:line="1" w:lineRule="exact"/>
        <w:rPr>
          <w:sz w:val="20"/>
          <w:szCs w:val="20"/>
          <w:color w:val="auto"/>
        </w:rPr>
      </w:pPr>
    </w:p>
    <w:p>
      <w:pPr>
        <w:ind w:left="820" w:right="20"/>
        <w:spacing w:after="0" w:line="250" w:lineRule="auto"/>
        <w:rPr>
          <w:sz w:val="20"/>
          <w:szCs w:val="20"/>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 ·our ability to report financial information in a timely manner; and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markets in which our stock is traded.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service providers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a significant percentage of the Company, and may exert significant influence over us.</w:t>
      </w:r>
    </w:p>
    <w:p>
      <w:pPr>
        <w:spacing w:after="0" w:line="27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officers and directors together have beneficial ownership in excess of 20% percent of our common stock. With this significant holding in the aggregate, the officers and directors, acting together, could exert a significant degree of influence over us and may be able to delay or prevent a change in control.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256" w:lineRule="exact"/>
        <w:rPr>
          <w:sz w:val="20"/>
          <w:szCs w:val="20"/>
          <w:color w:val="auto"/>
        </w:rPr>
      </w:pPr>
    </w:p>
    <w:tbl>
      <w:tblPr>
        <w:tblLayout w:type="fixed"/>
        <w:tblInd w:w="1170" w:type="dxa"/>
        <w:tblCellMar>
          <w:top w:w="0" w:type="dxa"/>
          <w:left w:w="0" w:type="dxa"/>
          <w:bottom w:w="0" w:type="dxa"/>
          <w:right w:w="0" w:type="dxa"/>
        </w:tblCellMar>
      </w:tblPr>
      <w:tr>
        <w:trPr>
          <w:trHeight w:val="228"/>
        </w:trPr>
        <w:tc>
          <w:tcPr>
            <w:tcW w:w="3420" w:type="dxa"/>
            <w:vAlign w:val="bottom"/>
            <w:tcBorders>
              <w:top w:val="single" w:sz="8" w:color="auto"/>
              <w:left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May by Purchased</w:t>
            </w: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 the Plans or</w:t>
            </w:r>
          </w:p>
        </w:tc>
      </w:tr>
      <w:tr>
        <w:trPr>
          <w:trHeight w:val="245"/>
        </w:trPr>
        <w:tc>
          <w:tcPr>
            <w:tcW w:w="342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Period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(2)</w:t>
            </w:r>
          </w:p>
        </w:tc>
      </w:tr>
      <w:tr>
        <w:trPr>
          <w:trHeight w:val="223"/>
        </w:trPr>
        <w:tc>
          <w:tcPr>
            <w:tcW w:w="34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2006- October 31, 2006</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29,859</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$3.53</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29,859</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$1,857,000</w:t>
            </w:r>
          </w:p>
        </w:tc>
      </w:tr>
      <w:tr>
        <w:trPr>
          <w:trHeight w:val="223"/>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November 1, 2006 - November 30, 2006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$1,857,000</w:t>
            </w:r>
          </w:p>
        </w:tc>
      </w:tr>
      <w:tr>
        <w:trPr>
          <w:trHeight w:val="240"/>
        </w:trPr>
        <w:tc>
          <w:tcPr>
            <w:tcW w:w="34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December 1, 2006 - December 31, 2006 (1)</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1,073,552</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$4.25</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1,073,552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$1,857,000</w:t>
            </w:r>
          </w:p>
        </w:tc>
      </w:tr>
      <w:tr>
        <w:trPr>
          <w:trHeight w:val="196"/>
        </w:trPr>
        <w:tc>
          <w:tcPr>
            <w:tcW w:w="3420" w:type="dxa"/>
            <w:vAlign w:val="bottom"/>
            <w:tcBorders>
              <w:left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1,103,411</w:t>
            </w:r>
          </w:p>
        </w:tc>
        <w:tc>
          <w:tcPr>
            <w:tcW w:w="940" w:type="dxa"/>
            <w:vAlign w:val="bottom"/>
            <w:tcBorders>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1,103,411</w:t>
            </w:r>
          </w:p>
        </w:tc>
        <w:tc>
          <w:tcPr>
            <w:tcW w:w="1900" w:type="dxa"/>
            <w:vAlign w:val="bottom"/>
            <w:tcBorders>
              <w:right w:val="single" w:sz="8" w:color="auto"/>
            </w:tcBorders>
          </w:tcPr>
          <w:p>
            <w:pPr>
              <w:spacing w:after="0"/>
              <w:rPr>
                <w:sz w:val="17"/>
                <w:szCs w:val="17"/>
                <w:color w:val="auto"/>
              </w:rPr>
            </w:pPr>
          </w:p>
        </w:tc>
      </w:tr>
      <w:tr>
        <w:trPr>
          <w:trHeight w:val="20"/>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-490220</wp:posOffset>
            </wp:positionV>
            <wp:extent cx="578040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0405" cy="1543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-181610</wp:posOffset>
            </wp:positionV>
            <wp:extent cx="57804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0405" cy="171450"/>
                    </a:xfrm>
                    <a:prstGeom prst="rect">
                      <a:avLst/>
                    </a:prstGeom>
                    <a:noFill/>
                  </pic:spPr>
                </pic:pic>
              </a:graphicData>
            </a:graphic>
          </wp:anchor>
        </w:drawing>
      </w:r>
    </w:p>
    <w:p>
      <w:pPr>
        <w:spacing w:after="0" w:line="233" w:lineRule="exact"/>
        <w:rPr>
          <w:sz w:val="20"/>
          <w:szCs w:val="20"/>
          <w:color w:val="auto"/>
        </w:rPr>
      </w:pPr>
    </w:p>
    <w:p>
      <w:pPr>
        <w:jc w:val="both"/>
        <w:ind w:left="660" w:hanging="30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30, 2006 the Company announced that its Board of Directors authorized a $10 million tender offer which was completed on December 6, 2006. Under the tender offer the Company repurchased 1,073,552 shares, or approximately 9% of shares outstanding, for approximately $4.6 million at a price per share of $4.25.</w:t>
      </w:r>
    </w:p>
    <w:p>
      <w:pPr>
        <w:spacing w:after="0" w:line="235" w:lineRule="exact"/>
        <w:rPr>
          <w:rFonts w:ascii="Arial" w:cs="Arial" w:eastAsia="Arial" w:hAnsi="Arial"/>
          <w:sz w:val="18"/>
          <w:szCs w:val="18"/>
          <w:color w:val="auto"/>
        </w:rPr>
      </w:pPr>
    </w:p>
    <w:p>
      <w:pPr>
        <w:jc w:val="both"/>
        <w:ind w:left="660" w:hanging="30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31, 2006, the Company announced that its Board of Directors had approved a stock buy-back program to purchase up $2,000,000 of the Company’s common stock over the next 12 months on the open market. All repurchased shares will be immediately retired. The stock buy-back program will expire in August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On November 20, 2006 at the annual meeting, shareholders of the Company approved the following matters submitted to them for consideration: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3"/>
          </w:tcPr>
          <w:p>
            <w:pPr>
              <w:spacing w:after="0"/>
              <w:rPr>
                <w:sz w:val="20"/>
                <w:szCs w:val="20"/>
                <w:color w:val="auto"/>
              </w:rPr>
            </w:pPr>
            <w:r>
              <w:rPr>
                <w:rFonts w:ascii="Arial" w:cs="Arial" w:eastAsia="Arial" w:hAnsi="Arial"/>
                <w:sz w:val="18"/>
                <w:szCs w:val="18"/>
                <w:color w:val="auto"/>
              </w:rPr>
              <w:t>Elected the following as directors of the Company:</w:t>
            </w:r>
          </w:p>
        </w:tc>
        <w:tc>
          <w:tcPr>
            <w:tcW w:w="2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507"/>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FOR</w:t>
            </w:r>
          </w:p>
        </w:tc>
        <w:tc>
          <w:tcPr>
            <w:tcW w:w="2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WITHHELD</w:t>
            </w:r>
          </w:p>
        </w:tc>
      </w:tr>
      <w:tr>
        <w:trPr>
          <w:trHeight w:val="216"/>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Dallin Bagley</w:t>
            </w:r>
          </w:p>
        </w:tc>
        <w:tc>
          <w:tcPr>
            <w:tcW w:w="210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10,198,899</w:t>
            </w:r>
          </w:p>
        </w:tc>
        <w:tc>
          <w:tcPr>
            <w:tcW w:w="21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811,055</w:t>
            </w:r>
          </w:p>
        </w:tc>
      </w:tr>
      <w:tr>
        <w:trPr>
          <w:trHeight w:val="210"/>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Brad R. Baldwin</w:t>
            </w:r>
          </w:p>
        </w:tc>
        <w:tc>
          <w:tcPr>
            <w:tcW w:w="2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10,818,093</w:t>
            </w: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191,851</w:t>
            </w:r>
          </w:p>
        </w:tc>
      </w:tr>
      <w:tr>
        <w:trPr>
          <w:trHeight w:val="210"/>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Zeynep “Zee” Hakimoglu</w:t>
            </w:r>
          </w:p>
        </w:tc>
        <w:tc>
          <w:tcPr>
            <w:tcW w:w="210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10,849,800</w:t>
            </w:r>
          </w:p>
        </w:tc>
        <w:tc>
          <w:tcPr>
            <w:tcW w:w="21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160,144</w:t>
            </w:r>
          </w:p>
        </w:tc>
      </w:tr>
      <w:tr>
        <w:trPr>
          <w:trHeight w:val="210"/>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Larry R. Hendricks</w:t>
            </w:r>
          </w:p>
        </w:tc>
        <w:tc>
          <w:tcPr>
            <w:tcW w:w="2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10,840,096</w:t>
            </w: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169,848</w:t>
            </w:r>
          </w:p>
        </w:tc>
      </w:tr>
      <w:tr>
        <w:trPr>
          <w:trHeight w:val="210"/>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Huntsman</w:t>
            </w:r>
          </w:p>
        </w:tc>
        <w:tc>
          <w:tcPr>
            <w:tcW w:w="210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10,838,796</w:t>
            </w:r>
          </w:p>
        </w:tc>
        <w:tc>
          <w:tcPr>
            <w:tcW w:w="21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171,148</w:t>
            </w:r>
          </w:p>
        </w:tc>
      </w:tr>
      <w:tr>
        <w:trPr>
          <w:trHeight w:val="210"/>
        </w:trPr>
        <w:tc>
          <w:tcPr>
            <w:tcW w:w="2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Harry Spielberg</w:t>
            </w:r>
          </w:p>
        </w:tc>
        <w:tc>
          <w:tcPr>
            <w:tcW w:w="2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10,848,871</w:t>
            </w: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161,073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86"/>
        </w:trPr>
        <w:tc>
          <w:tcPr>
            <w:tcW w:w="8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980" w:type="dxa"/>
            <w:vAlign w:val="bottom"/>
          </w:tcPr>
          <w:p>
            <w:pPr>
              <w:ind w:left="200"/>
              <w:spacing w:after="0"/>
              <w:rPr>
                <w:sz w:val="20"/>
                <w:szCs w:val="20"/>
                <w:color w:val="auto"/>
              </w:rPr>
            </w:pPr>
            <w:r>
              <w:rPr>
                <w:rFonts w:ascii="Arial" w:cs="Arial" w:eastAsia="Arial" w:hAnsi="Arial"/>
                <w:sz w:val="18"/>
                <w:szCs w:val="18"/>
                <w:color w:val="auto"/>
              </w:rPr>
              <w:t>SEC Ref.</w:t>
            </w:r>
          </w:p>
        </w:tc>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88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No.</w:t>
            </w:r>
          </w:p>
        </w:tc>
        <w:tc>
          <w:tcPr>
            <w:tcW w:w="98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Title of Document</w:t>
            </w:r>
          </w:p>
        </w:tc>
        <w:tc>
          <w:tcPr>
            <w:tcW w:w="27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Location</w:t>
            </w:r>
          </w:p>
        </w:tc>
      </w:tr>
      <w:tr>
        <w:trPr>
          <w:trHeight w:val="210"/>
        </w:trPr>
        <w:tc>
          <w:tcPr>
            <w:tcW w:w="880" w:type="dxa"/>
            <w:vAlign w:val="bottom"/>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Section 302</w:t>
            </w:r>
          </w:p>
        </w:tc>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Certification of Chief Executive Officer</w:t>
            </w:r>
          </w:p>
        </w:tc>
        <w:tc>
          <w:tcPr>
            <w:tcW w:w="27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7"/>
              </w:rPr>
              <w:t>This filing</w:t>
            </w:r>
          </w:p>
        </w:tc>
      </w:tr>
      <w:tr>
        <w:trPr>
          <w:trHeight w:val="216"/>
        </w:trPr>
        <w:tc>
          <w:tcPr>
            <w:tcW w:w="8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80" w:type="dxa"/>
            <w:vAlign w:val="bottom"/>
          </w:tcPr>
          <w:p>
            <w:pPr>
              <w:ind w:left="460"/>
              <w:spacing w:after="0"/>
              <w:rPr>
                <w:sz w:val="20"/>
                <w:szCs w:val="20"/>
                <w:color w:val="auto"/>
              </w:rPr>
            </w:pPr>
            <w:r>
              <w:rPr>
                <w:rFonts w:ascii="Arial" w:cs="Arial" w:eastAsia="Arial" w:hAnsi="Arial"/>
                <w:sz w:val="18"/>
                <w:szCs w:val="18"/>
                <w:color w:val="auto"/>
              </w:rPr>
              <w:t>31</w:t>
            </w:r>
          </w:p>
        </w:tc>
        <w:tc>
          <w:tcPr>
            <w:tcW w:w="980" w:type="dxa"/>
            <w:vAlign w:val="bottom"/>
          </w:tcPr>
          <w:p>
            <w:pPr>
              <w:ind w:left="120"/>
              <w:spacing w:after="0"/>
              <w:rPr>
                <w:sz w:val="20"/>
                <w:szCs w:val="20"/>
                <w:color w:val="auto"/>
              </w:rPr>
            </w:pPr>
            <w:r>
              <w:rPr>
                <w:rFonts w:ascii="Arial" w:cs="Arial" w:eastAsia="Arial" w:hAnsi="Arial"/>
                <w:sz w:val="18"/>
                <w:szCs w:val="18"/>
                <w:color w:val="auto"/>
                <w:w w:val="88"/>
              </w:rPr>
              <w:t>Section 302</w:t>
            </w:r>
          </w:p>
        </w:tc>
        <w:tc>
          <w:tcPr>
            <w:tcW w:w="406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w:t>
            </w:r>
          </w:p>
        </w:tc>
        <w:tc>
          <w:tcPr>
            <w:tcW w:w="2700" w:type="dxa"/>
            <w:vAlign w:val="bottom"/>
          </w:tcPr>
          <w:p>
            <w:pPr>
              <w:jc w:val="center"/>
              <w:ind w:left="270"/>
              <w:spacing w:after="0"/>
              <w:rPr>
                <w:sz w:val="20"/>
                <w:szCs w:val="20"/>
                <w:color w:val="auto"/>
              </w:rPr>
            </w:pPr>
            <w:r>
              <w:rPr>
                <w:rFonts w:ascii="Arial" w:cs="Arial" w:eastAsia="Arial" w:hAnsi="Arial"/>
                <w:sz w:val="18"/>
                <w:szCs w:val="18"/>
                <w:color w:val="auto"/>
                <w:w w:val="97"/>
              </w:rPr>
              <w:t>This filing</w:t>
            </w:r>
          </w:p>
        </w:tc>
      </w:tr>
      <w:tr>
        <w:trPr>
          <w:trHeight w:val="216"/>
        </w:trPr>
        <w:tc>
          <w:tcPr>
            <w:tcW w:w="880" w:type="dxa"/>
            <w:vAlign w:val="bottom"/>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32.1</w:t>
            </w:r>
          </w:p>
        </w:tc>
        <w:tc>
          <w:tcPr>
            <w:tcW w:w="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Section 906</w:t>
            </w:r>
          </w:p>
        </w:tc>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Certification of Chief Executive Officer</w:t>
            </w:r>
          </w:p>
        </w:tc>
        <w:tc>
          <w:tcPr>
            <w:tcW w:w="27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7"/>
              </w:rPr>
              <w:t>This filing</w:t>
            </w:r>
          </w:p>
        </w:tc>
      </w:tr>
      <w:tr>
        <w:trPr>
          <w:trHeight w:val="230"/>
        </w:trPr>
        <w:tc>
          <w:tcPr>
            <w:tcW w:w="8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980" w:type="dxa"/>
            <w:vAlign w:val="bottom"/>
          </w:tcPr>
          <w:p>
            <w:pPr>
              <w:ind w:left="460"/>
              <w:spacing w:after="0"/>
              <w:rPr>
                <w:sz w:val="20"/>
                <w:szCs w:val="20"/>
                <w:color w:val="auto"/>
              </w:rPr>
            </w:pPr>
            <w:r>
              <w:rPr>
                <w:rFonts w:ascii="Arial" w:cs="Arial" w:eastAsia="Arial" w:hAnsi="Arial"/>
                <w:sz w:val="18"/>
                <w:szCs w:val="18"/>
                <w:color w:val="auto"/>
              </w:rPr>
              <w:t>32</w:t>
            </w:r>
          </w:p>
        </w:tc>
        <w:tc>
          <w:tcPr>
            <w:tcW w:w="980" w:type="dxa"/>
            <w:vAlign w:val="bottom"/>
          </w:tcPr>
          <w:p>
            <w:pPr>
              <w:ind w:left="120"/>
              <w:spacing w:after="0"/>
              <w:rPr>
                <w:sz w:val="20"/>
                <w:szCs w:val="20"/>
                <w:color w:val="auto"/>
              </w:rPr>
            </w:pPr>
            <w:r>
              <w:rPr>
                <w:rFonts w:ascii="Arial" w:cs="Arial" w:eastAsia="Arial" w:hAnsi="Arial"/>
                <w:sz w:val="18"/>
                <w:szCs w:val="18"/>
                <w:color w:val="auto"/>
                <w:w w:val="88"/>
              </w:rPr>
              <w:t>Section 906</w:t>
            </w:r>
          </w:p>
        </w:tc>
        <w:tc>
          <w:tcPr>
            <w:tcW w:w="406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w:t>
            </w:r>
          </w:p>
        </w:tc>
        <w:tc>
          <w:tcPr>
            <w:tcW w:w="2700" w:type="dxa"/>
            <w:vAlign w:val="bottom"/>
          </w:tcPr>
          <w:p>
            <w:pPr>
              <w:jc w:val="center"/>
              <w:ind w:left="270"/>
              <w:spacing w:after="0"/>
              <w:rPr>
                <w:sz w:val="20"/>
                <w:szCs w:val="20"/>
                <w:color w:val="auto"/>
              </w:rPr>
            </w:pPr>
            <w:r>
              <w:rPr>
                <w:rFonts w:ascii="Arial" w:cs="Arial" w:eastAsia="Arial" w:hAnsi="Arial"/>
                <w:sz w:val="18"/>
                <w:szCs w:val="18"/>
                <w:color w:val="auto"/>
                <w:w w:val="97"/>
              </w:rPr>
              <w:t>This filing</w:t>
            </w:r>
          </w:p>
        </w:tc>
      </w:tr>
    </w:tbl>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February 8, 2007</w:t>
            </w:r>
          </w:p>
        </w:tc>
        <w:tc>
          <w:tcPr>
            <w:tcW w:w="1640" w:type="dxa"/>
            <w:vAlign w:val="bottom"/>
          </w:tcPr>
          <w:p>
            <w:pPr>
              <w:ind w:left="11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972"/>
        </w:trPr>
        <w:tc>
          <w:tcPr>
            <w:tcW w:w="2440" w:type="dxa"/>
            <w:vAlign w:val="bottom"/>
          </w:tcPr>
          <w:p>
            <w:pPr>
              <w:spacing w:after="0"/>
              <w:rPr>
                <w:sz w:val="20"/>
                <w:szCs w:val="20"/>
                <w:color w:val="auto"/>
              </w:rPr>
            </w:pPr>
            <w:r>
              <w:rPr>
                <w:rFonts w:ascii="Arial" w:cs="Arial" w:eastAsia="Arial" w:hAnsi="Arial"/>
                <w:sz w:val="18"/>
                <w:szCs w:val="18"/>
                <w:color w:val="auto"/>
              </w:rPr>
              <w:t>February 8, 2007</w:t>
            </w:r>
          </w:p>
        </w:tc>
        <w:tc>
          <w:tcPr>
            <w:tcW w:w="1640" w:type="dxa"/>
            <w:vAlign w:val="bottom"/>
          </w:tcPr>
          <w:p>
            <w:pPr>
              <w:ind w:left="11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2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2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83"/>
        </w:trPr>
        <w:tc>
          <w:tcPr>
            <w:tcW w:w="2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240" w:top="364" w:right="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February 8, 2007</w:t>
            </w:r>
          </w:p>
        </w:tc>
        <w:tc>
          <w:tcPr>
            <w:tcW w:w="2000" w:type="dxa"/>
            <w:vAlign w:val="bottom"/>
          </w:tcPr>
          <w:p>
            <w:pPr>
              <w:ind w:left="14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486"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79" w:lineRule="exact"/>
        <w:rPr>
          <w:sz w:val="20"/>
          <w:szCs w:val="20"/>
          <w:color w:val="auto"/>
        </w:rPr>
      </w:pPr>
    </w:p>
    <w:p>
      <w:pPr>
        <w:ind w:left="500" w:hanging="2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February 8, 2007</w:t>
            </w:r>
          </w:p>
        </w:tc>
        <w:tc>
          <w:tcPr>
            <w:tcW w:w="2000" w:type="dxa"/>
            <w:vAlign w:val="bottom"/>
          </w:tcPr>
          <w:p>
            <w:pPr>
              <w:ind w:left="14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8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December 31, 2006,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February 8, 2007</w:t>
            </w:r>
          </w:p>
        </w:tc>
        <w:tc>
          <w:tcPr>
            <w:tcW w:w="2000" w:type="dxa"/>
            <w:vAlign w:val="bottom"/>
          </w:tcPr>
          <w:p>
            <w:pPr>
              <w:ind w:left="14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8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Quarterly Report of ClearOne Communications, Inc. on Form 10-Q for the three months ended December 31, 2006,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February 8, 2007</w:t>
            </w:r>
          </w:p>
        </w:tc>
        <w:tc>
          <w:tcPr>
            <w:tcW w:w="2000" w:type="dxa"/>
            <w:vAlign w:val="bottom"/>
          </w:tcPr>
          <w:p>
            <w:pPr>
              <w:ind w:left="14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16"/>
        </w:trPr>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2019-12-13T18:05:15Z</dcterms:created>
  <dcterms:modified xsi:type="dcterms:W3CDTF">2019-12-13T18:05:15Z</dcterms:modified>
</cp:coreProperties>
</file>