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April 10, 2018</w:t>
      </w:r>
      <w:r>
        <w:rPr>
          <w:rFonts w:ascii="Arial" w:cs="Arial" w:eastAsia="Arial" w:hAnsi="Arial"/>
          <w:sz w:val="18"/>
          <w:szCs w:val="18"/>
          <w:color w:val="auto"/>
        </w:rPr>
        <w:t xml:space="preserve"> </w:t>
      </w:r>
      <w:r>
        <w:rPr>
          <w:rFonts w:ascii="Arial" w:cs="Arial" w:eastAsia="Arial" w:hAnsi="Arial"/>
          <w:sz w:val="18"/>
          <w:szCs w:val="18"/>
          <w:b w:val="1"/>
          <w:bCs w:val="1"/>
          <w:color w:val="auto"/>
        </w:rPr>
        <w:t>(April 4, 2018)</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Utah</w:t>
            </w:r>
          </w:p>
        </w:tc>
        <w:tc>
          <w:tcPr>
            <w:tcW w:w="24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001-33660</w:t>
            </w:r>
          </w:p>
        </w:tc>
        <w:tc>
          <w:tcPr>
            <w:tcW w:w="1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Borders>
              <w:bottom w:val="single" w:sz="8" w:color="auto"/>
            </w:tcBorders>
          </w:tcPr>
          <w:p>
            <w:pPr>
              <w:jc w:val="right"/>
              <w:ind w:right="1290"/>
              <w:spacing w:after="0"/>
              <w:rPr>
                <w:sz w:val="20"/>
                <w:szCs w:val="20"/>
                <w:color w:val="auto"/>
              </w:rPr>
            </w:pPr>
            <w:r>
              <w:rPr>
                <w:rFonts w:ascii="Arial" w:cs="Arial" w:eastAsia="Arial" w:hAnsi="Arial"/>
                <w:sz w:val="18"/>
                <w:szCs w:val="18"/>
                <w:b w:val="1"/>
                <w:bCs w:val="1"/>
                <w:color w:val="auto"/>
              </w:rPr>
              <w:t>87-0398877</w:t>
            </w:r>
          </w:p>
        </w:tc>
      </w:tr>
      <w:tr>
        <w:trPr>
          <w:trHeight w:val="195"/>
        </w:trPr>
        <w:tc>
          <w:tcPr>
            <w:tcW w:w="3660" w:type="dxa"/>
            <w:vAlign w:val="bottom"/>
          </w:tcPr>
          <w:p>
            <w:pPr>
              <w:jc w:val="center"/>
              <w:spacing w:after="0" w:line="195" w:lineRule="exact"/>
              <w:rPr>
                <w:sz w:val="20"/>
                <w:szCs w:val="20"/>
                <w:color w:val="auto"/>
              </w:rPr>
            </w:pPr>
            <w:r>
              <w:rPr>
                <w:rFonts w:ascii="Arial" w:cs="Arial" w:eastAsia="Arial" w:hAnsi="Arial"/>
                <w:sz w:val="18"/>
                <w:szCs w:val="18"/>
                <w:color w:val="auto"/>
                <w:w w:val="91"/>
              </w:rPr>
              <w:t>(State or Other Jurisdiction</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3"/>
          </w:tcPr>
          <w:p>
            <w:pPr>
              <w:jc w:val="center"/>
              <w:ind w:right="1340"/>
              <w:spacing w:after="0" w:line="195" w:lineRule="exact"/>
              <w:rPr>
                <w:sz w:val="20"/>
                <w:szCs w:val="20"/>
                <w:color w:val="auto"/>
              </w:rPr>
            </w:pPr>
            <w:r>
              <w:rPr>
                <w:rFonts w:ascii="Arial" w:cs="Arial" w:eastAsia="Arial" w:hAnsi="Arial"/>
                <w:sz w:val="18"/>
                <w:szCs w:val="18"/>
                <w:color w:val="auto"/>
                <w:w w:val="93"/>
              </w:rPr>
              <w:t>(Commission</w:t>
            </w:r>
          </w:p>
        </w:tc>
        <w:tc>
          <w:tcPr>
            <w:tcW w:w="220" w:type="dxa"/>
            <w:vAlign w:val="bottom"/>
          </w:tcPr>
          <w:p>
            <w:pPr>
              <w:spacing w:after="0"/>
              <w:rPr>
                <w:sz w:val="16"/>
                <w:szCs w:val="16"/>
                <w:color w:val="auto"/>
              </w:rPr>
            </w:pPr>
          </w:p>
        </w:tc>
        <w:tc>
          <w:tcPr>
            <w:tcW w:w="3640" w:type="dxa"/>
            <w:vAlign w:val="bottom"/>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66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4"/>
          </w:tcPr>
          <w:p>
            <w:pPr>
              <w:jc w:val="center"/>
              <w:ind w:right="1560"/>
              <w:spacing w:after="0"/>
              <w:rPr>
                <w:sz w:val="20"/>
                <w:szCs w:val="20"/>
                <w:color w:val="auto"/>
              </w:rPr>
            </w:pPr>
            <w:r>
              <w:rPr>
                <w:rFonts w:ascii="Arial" w:cs="Arial" w:eastAsia="Arial" w:hAnsi="Arial"/>
                <w:sz w:val="18"/>
                <w:szCs w:val="18"/>
                <w:color w:val="auto"/>
                <w:w w:val="94"/>
              </w:rPr>
              <w:t>File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2"/>
        </w:trPr>
        <w:tc>
          <w:tcPr>
            <w:tcW w:w="7780" w:type="dxa"/>
            <w:vAlign w:val="bottom"/>
            <w:gridSpan w:val="8"/>
          </w:tcPr>
          <w:p>
            <w:pPr>
              <w:ind w:left="1760"/>
              <w:spacing w:after="0"/>
              <w:rPr>
                <w:sz w:val="20"/>
                <w:szCs w:val="20"/>
                <w:color w:val="auto"/>
              </w:rPr>
            </w:pPr>
            <w:r>
              <w:rPr>
                <w:rFonts w:ascii="Arial" w:cs="Arial" w:eastAsia="Arial" w:hAnsi="Arial"/>
                <w:sz w:val="18"/>
                <w:szCs w:val="18"/>
                <w:b w:val="1"/>
                <w:bCs w:val="1"/>
                <w:color w:val="auto"/>
              </w:rPr>
              <w:t>5225 Wiley Post Way, Suite 500, Salt Lake City, Utah</w:t>
            </w:r>
          </w:p>
        </w:tc>
        <w:tc>
          <w:tcPr>
            <w:tcW w:w="3640" w:type="dxa"/>
            <w:vAlign w:val="bottom"/>
          </w:tcPr>
          <w:p>
            <w:pPr>
              <w:jc w:val="right"/>
              <w:ind w:right="1510"/>
              <w:spacing w:after="0"/>
              <w:rPr>
                <w:sz w:val="20"/>
                <w:szCs w:val="20"/>
                <w:color w:val="auto"/>
              </w:rPr>
            </w:pPr>
            <w:r>
              <w:rPr>
                <w:rFonts w:ascii="Arial" w:cs="Arial" w:eastAsia="Arial" w:hAnsi="Arial"/>
                <w:sz w:val="18"/>
                <w:szCs w:val="18"/>
                <w:b w:val="1"/>
                <w:bCs w:val="1"/>
                <w:color w:val="auto"/>
              </w:rPr>
              <w:t>84116</w:t>
            </w:r>
          </w:p>
        </w:tc>
      </w:tr>
      <w:tr>
        <w:trPr>
          <w:trHeight w:val="224"/>
        </w:trPr>
        <w:tc>
          <w:tcPr>
            <w:tcW w:w="524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(Address of principal executive offices)</w:t>
            </w:r>
          </w:p>
        </w:tc>
        <w:tc>
          <w:tcPr>
            <w:tcW w:w="1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377"/>
        </w:trPr>
        <w:tc>
          <w:tcPr>
            <w:tcW w:w="3660" w:type="dxa"/>
            <w:vAlign w:val="bottom"/>
          </w:tcPr>
          <w:p>
            <w:pPr>
              <w:spacing w:after="0"/>
              <w:rPr>
                <w:sz w:val="24"/>
                <w:szCs w:val="24"/>
                <w:color w:val="auto"/>
              </w:rPr>
            </w:pPr>
          </w:p>
        </w:tc>
        <w:tc>
          <w:tcPr>
            <w:tcW w:w="1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w w:val="92"/>
              </w:rPr>
              <w:t>(801) 975-7200</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0"/>
        </w:trPr>
        <w:tc>
          <w:tcPr>
            <w:tcW w:w="36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237"/>
        </w:trPr>
        <w:tc>
          <w:tcPr>
            <w:tcW w:w="3660" w:type="dxa"/>
            <w:vAlign w:val="bottom"/>
          </w:tcPr>
          <w:p>
            <w:pPr>
              <w:spacing w:after="0"/>
              <w:rPr>
                <w:sz w:val="20"/>
                <w:szCs w:val="20"/>
                <w:color w:val="auto"/>
              </w:rPr>
            </w:pPr>
          </w:p>
        </w:tc>
        <w:tc>
          <w:tcPr>
            <w:tcW w:w="4120" w:type="dxa"/>
            <w:vAlign w:val="bottom"/>
            <w:gridSpan w:val="7"/>
          </w:tcPr>
          <w:p>
            <w:pPr>
              <w:jc w:val="center"/>
              <w:ind w:right="20"/>
              <w:spacing w:after="0"/>
              <w:rPr>
                <w:sz w:val="20"/>
                <w:szCs w:val="20"/>
                <w:color w:val="auto"/>
              </w:rPr>
            </w:pPr>
            <w:r>
              <w:rPr>
                <w:rFonts w:ascii="Arial" w:cs="Arial" w:eastAsia="Arial" w:hAnsi="Arial"/>
                <w:sz w:val="18"/>
                <w:szCs w:val="18"/>
                <w:color w:val="auto"/>
                <w:w w:val="90"/>
              </w:rPr>
              <w:t>(Registrant’s telephone number, including area code)</w:t>
            </w:r>
          </w:p>
        </w:tc>
        <w:tc>
          <w:tcPr>
            <w:tcW w:w="364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 pursuant to Rule 13e-4(c) under the Exchange Act (17 CFR 240.13e-4(c))</w:t>
      </w:r>
    </w:p>
    <w:p>
      <w:pPr>
        <w:spacing w:after="0" w:line="21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On April 4, 2018, ClearOne, Inc. (the “Company”) received a letter from NASDAQ Stock Market stating that the Company no longer complies with NASDAQ Listing Rule 5250(c)(1) as a result of the Company’s delay in filing its Form 10-K for the fiscal year ended December 31, 2017. The letter was issued by NASDAQ under NASDAQ Listing Rule 5810(c)(2) for the Company’s failure to comply with NASDAQ Listing Rule 5250(c)(1). The Company has 60 calendar days, or until June 4, 2018, to submit to NASDAQ a plan (the “Plan”) to regain compliance with the NASDAQ Listing Rules. The Company intends to file its Annual Report with SEC as soon as possible and before the plan has to be submitted to NASDAQ to regain compliance.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tabs>
          <w:tab w:leader="none" w:pos="1140" w:val="left"/>
        </w:tabs>
        <w:rPr>
          <w:rFonts w:ascii="Arial" w:cs="Arial" w:eastAsia="Arial" w:hAnsi="Arial"/>
          <w:sz w:val="16"/>
          <w:szCs w:val="16"/>
          <w:u w:val="single" w:color="auto"/>
          <w:color w:val="0000EE"/>
        </w:rPr>
      </w:pPr>
      <w:r>
        <w:rPr>
          <w:rFonts w:ascii="Arial" w:cs="Arial" w:eastAsia="Arial" w:hAnsi="Arial"/>
          <w:sz w:val="18"/>
          <w:szCs w:val="18"/>
          <w:color w:val="auto"/>
        </w:rPr>
        <w:t>Exhibit 99.1</w:t>
      </w:r>
      <w:r>
        <w:rPr>
          <w:sz w:val="20"/>
          <w:szCs w:val="20"/>
          <w:color w:val="auto"/>
        </w:rPr>
        <w:tab/>
      </w:r>
      <w:hyperlink w:anchor="page4">
        <w:r>
          <w:rPr>
            <w:rFonts w:ascii="Arial" w:cs="Arial" w:eastAsia="Arial" w:hAnsi="Arial"/>
            <w:sz w:val="16"/>
            <w:szCs w:val="16"/>
            <w:u w:val="single" w:color="auto"/>
            <w:color w:val="0000EE"/>
          </w:rPr>
          <w:t>Press Release dated April 10, 2018 titled “ClearOne Receives NASDAQ Deficiency Notification Letter”.</w:t>
        </w:r>
      </w:hyperlink>
    </w:p>
    <w:p>
      <w:pPr>
        <w:spacing w:after="0" w:line="200" w:lineRule="exact"/>
        <w:rPr>
          <w:sz w:val="20"/>
          <w:szCs w:val="20"/>
          <w:color w:val="auto"/>
        </w:rPr>
      </w:pPr>
    </w:p>
    <w:p>
      <w:pPr>
        <w:spacing w:after="0" w:line="24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information included in this Current Report on Form 8-K (including the exhibit hereto) is being furnished under Item 3.01, “Notice of Delisting or Failure to Satisfy a Continued Listing Rule or Standard; Transfer of Listing” and Item 9.01 “Financial Statements and Exhibits” of Form 8-K. As such, the information (including the exhibit)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 This Current Report (including the exhibit hereto) will not be deemed an admission as to the materiality of any information required to be disclosed solely to satisfy the requirements of Regulation 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ClearOne, Inc.,</w:t>
            </w:r>
          </w:p>
        </w:tc>
      </w:tr>
      <w:tr>
        <w:trPr>
          <w:trHeight w:val="230"/>
        </w:trPr>
        <w:tc>
          <w:tcPr>
            <w:tcW w:w="32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(Registrant)</w:t>
            </w:r>
          </w:p>
        </w:tc>
      </w:tr>
      <w:tr>
        <w:trPr>
          <w:trHeight w:val="432"/>
        </w:trPr>
        <w:tc>
          <w:tcPr>
            <w:tcW w:w="3260" w:type="dxa"/>
            <w:vAlign w:val="bottom"/>
          </w:tcPr>
          <w:p>
            <w:pPr>
              <w:spacing w:after="0"/>
              <w:rPr>
                <w:sz w:val="20"/>
                <w:szCs w:val="20"/>
                <w:color w:val="auto"/>
              </w:rPr>
            </w:pPr>
            <w:r>
              <w:rPr>
                <w:rFonts w:ascii="Arial" w:cs="Arial" w:eastAsia="Arial" w:hAnsi="Arial"/>
                <w:sz w:val="18"/>
                <w:szCs w:val="18"/>
                <w:color w:val="auto"/>
              </w:rPr>
              <w:t>April 10, 2018</w:t>
            </w:r>
          </w:p>
        </w:tc>
        <w:tc>
          <w:tcPr>
            <w:tcW w:w="8160" w:type="dxa"/>
            <w:vAlign w:val="bottom"/>
            <w:gridSpan w:val="2"/>
          </w:tcPr>
          <w:p>
            <w:pPr>
              <w:ind w:left="2180"/>
              <w:spacing w:after="0"/>
              <w:rPr>
                <w:sz w:val="20"/>
                <w:szCs w:val="20"/>
                <w:color w:val="auto"/>
              </w:rPr>
            </w:pPr>
            <w:r>
              <w:rPr>
                <w:rFonts w:ascii="Arial" w:cs="Arial" w:eastAsia="Arial" w:hAnsi="Arial"/>
                <w:sz w:val="18"/>
                <w:szCs w:val="18"/>
                <w:color w:val="auto"/>
              </w:rPr>
              <w:t>By:   /s/ Zeynep Hakimoglu</w:t>
            </w:r>
          </w:p>
        </w:tc>
      </w:tr>
      <w:tr>
        <w:trPr>
          <w:trHeight w:val="195"/>
        </w:trPr>
        <w:tc>
          <w:tcPr>
            <w:tcW w:w="32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2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420"/>
          </w:cols>
          <w:pgMar w:left="240" w:top="5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ClearOne Receives NASDAQ Deficiency Notification Letter</w:t>
      </w:r>
    </w:p>
    <w:p>
      <w:pPr>
        <w:spacing w:after="0" w:line="200" w:lineRule="exact"/>
        <w:rPr>
          <w:sz w:val="20"/>
          <w:szCs w:val="20"/>
          <w:color w:val="auto"/>
        </w:rPr>
      </w:pPr>
    </w:p>
    <w:p>
      <w:pPr>
        <w:spacing w:after="0" w:line="23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color w:val="auto"/>
        </w:rPr>
        <w:t>SALT LAKE CITY, Utah – April 10, 2018 /PRNewswire/ -- ClearOne (NASDAQ: CLRO</w:t>
      </w:r>
      <w:r>
        <w:rPr>
          <w:rFonts w:ascii="Arial" w:cs="Arial" w:eastAsia="Arial" w:hAnsi="Arial"/>
          <w:sz w:val="16"/>
          <w:szCs w:val="16"/>
          <w:color w:val="auto"/>
        </w:rPr>
        <w:t>), a global provider of audio and visual communications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solutions, today announced, in accordance with NASDAQ Rules and as previously disclosed on Form 8-K today, that it received a notification letter from staff of the NASDAQ Listing Qualifications Department, dated April 4, 2018, stating that ClearOne is not in compliance with NASDAQ Listing Rule 5250(c)</w:t>
      </w:r>
    </w:p>
    <w:p>
      <w:pPr>
        <w:spacing w:after="0" w:line="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(1), which requires timely filing of periodic reports with the Securities and Exchange Commission (SEC). The letter was issued in accordance with standard NASDAQ procedure under NASDAQ Listing Rules.</w:t>
      </w:r>
    </w:p>
    <w:p>
      <w:pPr>
        <w:spacing w:after="0" w:line="18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As previously announced, the filing of ClearOne’s Annual Report on Form 10-K for the fiscal year ended December 31, 2017 (the "Annual Report") was further delayed as the company and its independent auditors need additional time to complete the Annual Report and audit of the company's financial statements relating to recent changes in tax law, goodwill and intangibles impairment previously reported in the last Quarterly Report Form 10-Q and updating the capitalization of legal costs related to patent litigation, among other things. The company intends to file its Annual Report with the SEC as soon as possible and continues to work diligently to finalize its financial statements and expects the Annual Report to be filed next week.</w:t>
      </w:r>
    </w:p>
    <w:p>
      <w:pPr>
        <w:spacing w:after="0" w:line="17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ClearOne has 60 calendar days, or until June 4, 2018, to submit to NASDAQ a plan to regain compliance with the NASDAQ Listing Rules. As previously discussed, ClearOne intends to file its Annual Report with SEC as soon as possible and before the plan has to be submitted to NASDAQ to regain compliance.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7" w:lineRule="exact"/>
        <w:rPr>
          <w:sz w:val="20"/>
          <w:szCs w:val="20"/>
          <w:color w:val="auto"/>
        </w:rPr>
      </w:pPr>
    </w:p>
    <w:p>
      <w:pPr>
        <w:ind w:right="680"/>
        <w:spacing w:after="0" w:line="255" w:lineRule="auto"/>
        <w:rPr>
          <w:sz w:val="20"/>
          <w:szCs w:val="20"/>
          <w:color w:val="auto"/>
        </w:rPr>
      </w:pPr>
      <w:r>
        <w:rPr>
          <w:rFonts w:ascii="Arial" w:cs="Arial" w:eastAsia="Arial" w:hAnsi="Arial"/>
          <w:sz w:val="18"/>
          <w:szCs w:val="18"/>
          <w:color w:val="auto"/>
        </w:rPr>
        <w:t xml:space="preserve">ClearOne is a global company that designs, develops and sells conferencing, collaboration, and network streaming solutions for voice and visual communications. The performance and simplicity of its advanced comprehensive solutions offer unprecedented levels of functionality, reliability and scalability. More information about the company can be found at </w:t>
      </w:r>
      <w:r>
        <w:rPr>
          <w:rFonts w:ascii="Arial" w:cs="Arial" w:eastAsia="Arial" w:hAnsi="Arial"/>
          <w:sz w:val="18"/>
          <w:szCs w:val="18"/>
          <w:b w:val="1"/>
          <w:bCs w:val="1"/>
          <w:u w:val="single" w:color="auto"/>
          <w:color w:val="auto"/>
        </w:rPr>
        <w:t>www.clearone.com</w:t>
      </w:r>
      <w:r>
        <w:rPr>
          <w:rFonts w:ascii="Arial" w:cs="Arial" w:eastAsia="Arial" w:hAnsi="Arial"/>
          <w:sz w:val="18"/>
          <w:szCs w:val="18"/>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1-801-975-7200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Investor_relations@clearone.com</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2019-12-28T23:08:10Z</dcterms:created>
  <dcterms:modified xsi:type="dcterms:W3CDTF">2019-12-28T23:08:10Z</dcterms:modified>
</cp:coreProperties>
</file>