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Trust Company, NA</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United States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600,014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600,014</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6.56%</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BK</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right="67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Wellington Trust Company, NA</w:t>
      </w:r>
    </w:p>
    <w:p>
      <w:pPr>
        <w:spacing w:after="0" w:line="11" w:lineRule="exact"/>
        <w:rPr>
          <w:rFonts w:ascii="Arial" w:cs="Arial" w:eastAsia="Arial" w:hAnsi="Arial"/>
          <w:sz w:val="19"/>
          <w:szCs w:val="19"/>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3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United States</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600,014</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6.56%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600,014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600,014</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0"/>
              </w:rPr>
              <w:t>The securities as to which this Schedule is filed by Wellington Trust Company, NA, in its capacity as investment</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adviser, are owned of record by clients of Wellington Trust Company, NA. Those clients have the right to receive,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the power to direct the receipt of, dividends from, or the proceeds from the sale of, such securities. No such</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4"/>
              </w:rPr>
              <w:t>client is known to have such right or power with respect to more than five percent of this class of securities,</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except as follows:</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WTC-CTF Micro Cap Equity</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7"/>
              </w:rPr>
              <w:t>Wellington Trust Company, National Association Multiple Common Trust Funds Trust, Micro Cap Equity</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Portfolio</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700" w:type="dxa"/>
            <w:vAlign w:val="bottom"/>
            <w:gridSpan w:val="2"/>
          </w:tcPr>
          <w:p>
            <w:pPr>
              <w:ind w:left="14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By: Wellington Trust Company, NA</w:t>
            </w:r>
          </w:p>
        </w:tc>
      </w:tr>
      <w:tr>
        <w:trPr>
          <w:trHeight w:val="247"/>
        </w:trPr>
        <w:tc>
          <w:tcPr>
            <w:tcW w:w="940" w:type="dxa"/>
            <w:vAlign w:val="bottom"/>
          </w:tcPr>
          <w:p>
            <w:pPr>
              <w:spacing w:after="0"/>
              <w:rPr>
                <w:sz w:val="21"/>
                <w:szCs w:val="21"/>
                <w:color w:val="auto"/>
              </w:rPr>
            </w:pPr>
          </w:p>
        </w:tc>
        <w:tc>
          <w:tcPr>
            <w:tcW w:w="10280" w:type="dxa"/>
            <w:vAlign w:val="bottom"/>
            <w:gridSpan w:val="3"/>
          </w:tcPr>
          <w:p>
            <w:pPr>
              <w:ind w:left="222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Date: February 11, 2016</w:t>
            </w:r>
          </w:p>
        </w:tc>
      </w:tr>
    </w:tbl>
    <w:p>
      <w:pPr>
        <w:spacing w:after="0" w:line="1" w:lineRule="exact"/>
        <w:rPr>
          <w:sz w:val="20"/>
          <w:szCs w:val="20"/>
          <w:color w:val="auto"/>
        </w:rPr>
      </w:pP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2019-12-05T21:42:52Z</dcterms:created>
  <dcterms:modified xsi:type="dcterms:W3CDTF">2019-12-05T21:42:52Z</dcterms:modified>
</cp:coreProperties>
</file>