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12,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4"/>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Arial" w:cs="Arial" w:eastAsia="Arial" w:hAnsi="Arial"/>
                <w:sz w:val="18"/>
                <w:szCs w:val="18"/>
                <w:b w:val="1"/>
                <w:bCs w:val="1"/>
                <w:color w:val="auto"/>
                <w:w w:val="90"/>
              </w:rPr>
              <w:t>(801) 975-7200</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60" w:firstLine="4214"/>
        <w:spacing w:after="0" w:line="277" w:lineRule="auto"/>
        <w:rPr>
          <w:sz w:val="20"/>
          <w:szCs w:val="20"/>
          <w:color w:val="auto"/>
        </w:rPr>
      </w:pPr>
      <w:r>
        <w:rPr>
          <w:rFonts w:ascii="Arial" w:cs="Arial" w:eastAsia="Arial" w:hAnsi="Arial"/>
          <w:sz w:val="18"/>
          <w:szCs w:val="18"/>
          <w:color w:val="auto"/>
        </w:rPr>
        <w:t>On March 12, 2015, ClearOne, Inc. issued a press release announcing its financial results for the fourth quarter and year ended December 31, 2014.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Press Release dated March 12, 2015 titled “ClearOne Reports Record 2014 Fourth-Quarter and Full-Year Revenue and Increases Cash Dividend”.</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March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ind w:right="2080"/>
        <w:spacing w:after="0" w:line="372" w:lineRule="auto"/>
        <w:rPr>
          <w:sz w:val="20"/>
          <w:szCs w:val="20"/>
          <w:color w:val="auto"/>
        </w:rPr>
      </w:pPr>
      <w:r>
        <w:rPr>
          <w:rFonts w:ascii="Arial" w:cs="Arial" w:eastAsia="Arial" w:hAnsi="Arial"/>
          <w:sz w:val="22"/>
          <w:szCs w:val="22"/>
          <w:b w:val="1"/>
          <w:bCs w:val="1"/>
          <w:color w:val="auto"/>
        </w:rPr>
        <w:t xml:space="preserve">ClearOne Reports Record 2014 Fourth-Quarter and Full-Year Revenue and Increases Cash Dividend </w:t>
      </w:r>
      <w:r>
        <w:rPr>
          <w:rFonts w:ascii="Arial" w:cs="Arial" w:eastAsia="Arial" w:hAnsi="Arial"/>
          <w:sz w:val="22"/>
          <w:szCs w:val="22"/>
          <w:b w:val="1"/>
          <w:bCs w:val="1"/>
          <w:i w:val="1"/>
          <w:iCs w:val="1"/>
          <w:color w:val="auto"/>
        </w:rPr>
        <w:t>Q4 Non-GAAP Diluted EPS Increased 79%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March 12, 2015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Fourth Quarter 2014 vs. 2013</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up 8% to $15.4 million</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margin increased to 65%, up from 60%</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up 33%</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up 77%</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adjusted EBITDA up 31%</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Full Year 2014 vs. 2013</w:t>
      </w:r>
    </w:p>
    <w:p>
      <w:pPr>
        <w:spacing w:after="0" w:line="256"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up 17% to $57.9 million, fifth consecutive year of growth</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operating income up 23%</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up 26%</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adjusted EBITDA up 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40" w:type="dxa"/>
            <w:vAlign w:val="bottom"/>
          </w:tcPr>
          <w:p>
            <w:pPr>
              <w:spacing w:after="0"/>
              <w:rPr>
                <w:sz w:val="20"/>
                <w:szCs w:val="20"/>
                <w:color w:val="auto"/>
              </w:rPr>
            </w:pPr>
            <w:r>
              <w:rPr>
                <w:rFonts w:ascii="Arial" w:cs="Arial" w:eastAsia="Arial" w:hAnsi="Arial"/>
                <w:sz w:val="16"/>
                <w:szCs w:val="16"/>
                <w:b w:val="1"/>
                <w:bCs w:val="1"/>
                <w:color w:val="auto"/>
              </w:rPr>
              <w:t>(Dollars in thousands, except per share values)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5"/>
          </w:tcPr>
          <w:p>
            <w:pPr>
              <w:ind w:left="20"/>
              <w:spacing w:after="0"/>
              <w:rPr>
                <w:sz w:val="20"/>
                <w:szCs w:val="20"/>
                <w:color w:val="auto"/>
              </w:rPr>
            </w:pPr>
            <w:r>
              <w:rPr>
                <w:rFonts w:ascii="Arial" w:cs="Arial" w:eastAsia="Arial" w:hAnsi="Arial"/>
                <w:sz w:val="16"/>
                <w:szCs w:val="16"/>
                <w:b w:val="1"/>
                <w:bCs w:val="1"/>
                <w:color w:val="auto"/>
              </w:rPr>
              <w:t>Fourth Quarter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w:t>
            </w:r>
          </w:p>
        </w:tc>
        <w:tc>
          <w:tcPr>
            <w:tcW w:w="90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15,351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92"/>
              </w:rPr>
              <w:t>8%</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57,909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49,592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17%</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29,857</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18%</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33%</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8,404</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23%</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77%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26%</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31%</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21%</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79%</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283" w:lineRule="exact"/>
        <w:rPr>
          <w:sz w:val="20"/>
          <w:szCs w:val="20"/>
          <w:color w:val="auto"/>
        </w:rPr>
      </w:pPr>
    </w:p>
    <w:p>
      <w:pPr>
        <w:ind w:right="10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fourth quarter and year ended December 31, 2014.</w:t>
      </w:r>
    </w:p>
    <w:p>
      <w:pPr>
        <w:sectPr>
          <w:pgSz w:w="11900" w:h="16838" w:orient="portrait"/>
          <w:cols w:equalWidth="0" w:num="1">
            <w:col w:w="11420"/>
          </w:cols>
          <w:pgMar w:left="240" w:top="580" w:right="239" w:bottom="1440" w:gutter="0" w:footer="0" w:header="0"/>
        </w:sectPr>
      </w:pPr>
    </w:p>
    <w:bookmarkStart w:id="3" w:name="page4"/>
    <w:bookmarkEnd w:id="3"/>
    <w:p>
      <w:pPr>
        <w:ind w:right="200"/>
        <w:spacing w:after="0" w:line="366" w:lineRule="auto"/>
        <w:rPr>
          <w:sz w:val="20"/>
          <w:szCs w:val="20"/>
          <w:color w:val="auto"/>
        </w:rPr>
      </w:pPr>
      <w:r>
        <w:rPr>
          <w:rFonts w:ascii="Arial" w:cs="Arial" w:eastAsia="Arial" w:hAnsi="Arial"/>
          <w:sz w:val="18"/>
          <w:szCs w:val="18"/>
          <w:color w:val="auto"/>
        </w:rPr>
        <w:t>For the 2014 fourth quarter, revenue increased 8% to $15.4 million, compared with $14.2 million for the fourth quarter of 2013. Gross profit rose to $9.9 million, or 65% of revenue, compared with $8.5 million, or 60% of revenue, for the fourth quarter of 2013. Non-GAAP operating income increased 33% to $3.8 million from $2.9 million for the fourth quarter of 2013. Non-GAAP net income increased 77% to $3.2 million, or $0.34 per diluted share, from $1.8 million, or $0.19 per diluted share, for the fourth quarter of 2013. Non-GAAP adjusted EBITDA increased 31% to $4.1 million, or $0.43 per diluted share, from $3.1 million, or $0.33 per diluted share, for the fourth quarter of 2013.</w:t>
      </w:r>
    </w:p>
    <w:p>
      <w:pPr>
        <w:spacing w:after="0" w:line="285" w:lineRule="exact"/>
        <w:rPr>
          <w:sz w:val="20"/>
          <w:szCs w:val="20"/>
          <w:color w:val="auto"/>
        </w:rPr>
      </w:pPr>
    </w:p>
    <w:p>
      <w:pPr>
        <w:spacing w:after="0" w:line="420" w:lineRule="auto"/>
        <w:rPr>
          <w:sz w:val="20"/>
          <w:szCs w:val="20"/>
          <w:color w:val="auto"/>
        </w:rPr>
      </w:pPr>
      <w:r>
        <w:rPr>
          <w:rFonts w:ascii="Arial" w:cs="Arial" w:eastAsia="Arial" w:hAnsi="Arial"/>
          <w:sz w:val="16"/>
          <w:szCs w:val="16"/>
          <w:color w:val="auto"/>
        </w:rPr>
        <w:t>For the year ended December 31, 2014, revenue increased 17% to $57.9 million from $49.6 million for the prior year. Gross profit increased 18% to $35.3 million, or 61% of revenue, compared with $29.9 million, or 60% of revenue, for the twelve months ended December 31, 2013. Non-GAAP operating income increased 23% to $10.3 million from $8.4 million for the twelve months ended December 31, 2013. Non-GAAP net income increased 26% to $7.2 million, or $0.75 per diluted share, from $5.7 million, or $0.60 per diluted share, for the twelve months ended December 31, 2013. Non-GAAP adjusted EBITDA increased 21% to $11.3 million, or $1.18 per diluted share, from $9.3 million, or $0.99 per diluted share, for the twelve months ended December 31, 2013.</w:t>
      </w:r>
    </w:p>
    <w:p>
      <w:pPr>
        <w:spacing w:after="0" w:line="254" w:lineRule="exact"/>
        <w:rPr>
          <w:sz w:val="20"/>
          <w:szCs w:val="20"/>
          <w:color w:val="auto"/>
        </w:rPr>
      </w:pPr>
    </w:p>
    <w:p>
      <w:pPr>
        <w:ind w:right="200"/>
        <w:spacing w:after="0" w:line="465" w:lineRule="auto"/>
        <w:rPr>
          <w:sz w:val="20"/>
          <w:szCs w:val="20"/>
          <w:color w:val="auto"/>
        </w:rPr>
      </w:pPr>
      <w:r>
        <w:rPr>
          <w:rFonts w:ascii="Arial" w:cs="Arial" w:eastAsia="Arial" w:hAnsi="Arial"/>
          <w:sz w:val="16"/>
          <w:szCs w:val="16"/>
          <w:color w:val="auto"/>
        </w:rPr>
        <w:t>Cash, cash equivalents and investments totaled $33.6 million at December 31, 2014, down $9.1 million from $42.7 million at December 31, 2013 primarily due to the acquisitions of Sabine and Spontania, which closed in March and April of 2014, respectively. ClearOne continues to have no debt.</w:t>
      </w:r>
    </w:p>
    <w:p>
      <w:pPr>
        <w:spacing w:after="0" w:line="219" w:lineRule="exact"/>
        <w:rPr>
          <w:sz w:val="20"/>
          <w:szCs w:val="20"/>
          <w:color w:val="auto"/>
        </w:rPr>
      </w:pPr>
    </w:p>
    <w:p>
      <w:pPr>
        <w:ind w:right="260"/>
        <w:spacing w:after="0" w:line="369" w:lineRule="auto"/>
        <w:rPr>
          <w:sz w:val="20"/>
          <w:szCs w:val="20"/>
          <w:color w:val="auto"/>
        </w:rPr>
      </w:pPr>
      <w:r>
        <w:rPr>
          <w:rFonts w:ascii="Arial" w:cs="Arial" w:eastAsia="Arial" w:hAnsi="Arial"/>
          <w:sz w:val="18"/>
          <w:szCs w:val="18"/>
          <w:color w:val="auto"/>
        </w:rPr>
        <w:t>“We are very pleased to report the highest fourth-quarter and full-year revenues in our company’s history,” said Zee Hakimoglu, President and Chief Executive Officer of ClearOne. “Sales of internally developed products, combined with revenues from acquisitions completed in 2014, contributed to our strong top line performance and improved gross margin. We made solid progress enhancing efficiencies and believe our current expense structure supports our existing operations, as well as anticipated growth.</w:t>
      </w:r>
    </w:p>
    <w:p>
      <w:pPr>
        <w:spacing w:after="0" w:line="280"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“The bookings in 2014 from Spontania, a cloud-based media collaboration solution, were at the high end of our expectations, though revenues generated from wireless microphones were less than anticipated. The wireless microphones business is poised for higher growth with the recent launch of five new models for Europe that comply with European Union standards and the imminent launch of our new series of wireless microphone systems with Dante™ audio-over-Ethernet technology.”</w:t>
      </w:r>
    </w:p>
    <w:p>
      <w:pPr>
        <w:spacing w:after="0" w:line="280"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"Our investors can look forward to another year of strong revenue and profitability growth in 2015 as we remain focused on our vision for market success and execute on our strategy through operational discipline."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Cash Dividend</w:t>
      </w:r>
    </w:p>
    <w:p>
      <w:pPr>
        <w:spacing w:after="0" w:line="200" w:lineRule="exact"/>
        <w:rPr>
          <w:sz w:val="20"/>
          <w:szCs w:val="20"/>
          <w:color w:val="auto"/>
        </w:rPr>
      </w:pPr>
    </w:p>
    <w:p>
      <w:pPr>
        <w:spacing w:after="0" w:line="218" w:lineRule="exact"/>
        <w:rPr>
          <w:sz w:val="20"/>
          <w:szCs w:val="20"/>
          <w:color w:val="auto"/>
        </w:rPr>
      </w:pPr>
    </w:p>
    <w:p>
      <w:pPr>
        <w:ind w:right="100"/>
        <w:spacing w:after="0" w:line="424" w:lineRule="auto"/>
        <w:rPr>
          <w:sz w:val="20"/>
          <w:szCs w:val="20"/>
          <w:color w:val="auto"/>
        </w:rPr>
      </w:pPr>
      <w:r>
        <w:rPr>
          <w:rFonts w:ascii="Arial" w:cs="Arial" w:eastAsia="Arial" w:hAnsi="Arial"/>
          <w:sz w:val="17"/>
          <w:szCs w:val="17"/>
          <w:color w:val="auto"/>
        </w:rPr>
        <w:t>In December, the company announced its first-ever cash dividend of $0.10 per share for 2014; the dividend was paid in January 2015. For the first quarter of 2015, the Board of Directors has approved an increased quarterly cash dividend of $0.035 per share which will be distributed in April 2015.</w:t>
      </w:r>
    </w:p>
    <w:p>
      <w:pPr>
        <w:sectPr>
          <w:pgSz w:w="11900" w:h="16838" w:orient="portrait"/>
          <w:cols w:equalWidth="0" w:num="1">
            <w:col w:w="11400"/>
          </w:cols>
          <w:pgMar w:left="240" w:top="116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Spontania Robust Performance in Action</w:t>
      </w:r>
    </w:p>
    <w:p>
      <w:pPr>
        <w:spacing w:after="0" w:line="200" w:lineRule="exact"/>
        <w:rPr>
          <w:sz w:val="20"/>
          <w:szCs w:val="20"/>
          <w:color w:val="auto"/>
        </w:rPr>
      </w:pPr>
    </w:p>
    <w:p>
      <w:pPr>
        <w:spacing w:after="0" w:line="218"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During the quarter, ClearOne’s carrier-grade cloud-based video collaboration software, Spontania, was selected as the exclusive video collaboration technology provider for the 2014-2015 Barcelona World Race, the first and only two crew member per boat, non-stop, around the world regatta. The competition began on December 31, 2014, and is expected to finish near the end of March, 2015, with participants relying on the Spontania to provide reliable video connections from numerous remote high seas locations with severe connectivity challenges. Spontania automatically adapts to any environment to deliver reliable communications from anywhere.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Video Camera Launch</w:t>
      </w:r>
    </w:p>
    <w:p>
      <w:pPr>
        <w:spacing w:after="0" w:line="200" w:lineRule="exact"/>
        <w:rPr>
          <w:sz w:val="20"/>
          <w:szCs w:val="20"/>
          <w:color w:val="auto"/>
        </w:rPr>
      </w:pPr>
    </w:p>
    <w:p>
      <w:pPr>
        <w:spacing w:after="0" w:line="218" w:lineRule="exact"/>
        <w:rPr>
          <w:sz w:val="20"/>
          <w:szCs w:val="20"/>
          <w:color w:val="auto"/>
        </w:rPr>
      </w:pPr>
    </w:p>
    <w:p>
      <w:pPr>
        <w:ind w:right="160"/>
        <w:spacing w:after="0" w:line="435" w:lineRule="auto"/>
        <w:rPr>
          <w:sz w:val="20"/>
          <w:szCs w:val="20"/>
          <w:color w:val="auto"/>
        </w:rPr>
      </w:pPr>
      <w:r>
        <w:rPr>
          <w:rFonts w:ascii="Arial" w:cs="Arial" w:eastAsia="Arial" w:hAnsi="Arial"/>
          <w:sz w:val="16"/>
          <w:szCs w:val="16"/>
          <w:color w:val="auto"/>
        </w:rPr>
        <w:t>In December, the company launched UNITE™ PTZ Camera, an affordable, professional-grade, high-resolution 1080p60 camera that can connect directly to any standard PC or laptop through USB 3.0, eliminating the need for adapters or converters. It offers an outstanding, high-performance value compared to other, more expensive solutions on the market and works with all of ClearOne’s media collaboration solutions and network streaming applications.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0" w:lineRule="exact"/>
        <w:rPr>
          <w:sz w:val="20"/>
          <w:szCs w:val="20"/>
          <w:color w:val="auto"/>
        </w:rPr>
      </w:pPr>
    </w:p>
    <w:p>
      <w:pPr>
        <w:spacing w:after="0" w:line="218" w:lineRule="exact"/>
        <w:rPr>
          <w:sz w:val="20"/>
          <w:szCs w:val="20"/>
          <w:color w:val="auto"/>
        </w:rPr>
      </w:pPr>
    </w:p>
    <w:p>
      <w:pPr>
        <w:ind w:right="60"/>
        <w:spacing w:after="0" w:line="410" w:lineRule="auto"/>
        <w:rPr>
          <w:sz w:val="20"/>
          <w:szCs w:val="20"/>
          <w:color w:val="auto"/>
        </w:rPr>
      </w:pPr>
      <w:r>
        <w:rPr>
          <w:rFonts w:ascii="Arial" w:cs="Arial" w:eastAsia="Arial" w:hAnsi="Arial"/>
          <w:sz w:val="16"/>
          <w:szCs w:val="16"/>
          <w:color w:val="auto"/>
        </w:rPr>
        <w:t>ClearOne provides non-GAAP financial information in the form of non-GAAP operating income, non-GAAP net income, Adjusted Earnings Before Interest, Taxes, Depreciation, and Amortization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operating income, non-GAAP net income,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00" w:lineRule="exact"/>
        <w:rPr>
          <w:sz w:val="20"/>
          <w:szCs w:val="20"/>
          <w:color w:val="auto"/>
        </w:rPr>
      </w:pPr>
    </w:p>
    <w:p>
      <w:pPr>
        <w:spacing w:after="0" w:line="218" w:lineRule="exact"/>
        <w:rPr>
          <w:sz w:val="20"/>
          <w:szCs w:val="20"/>
          <w:color w:val="auto"/>
        </w:rPr>
      </w:pPr>
    </w:p>
    <w:p>
      <w:pPr>
        <w:jc w:val="both"/>
        <w:ind w:right="54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anticipated growth of Sabine, the company’s operating</w:t>
      </w:r>
    </w:p>
    <w:p>
      <w:pPr>
        <w:sectPr>
          <w:pgSz w:w="11900" w:h="16838" w:orient="portrait"/>
          <w:cols w:equalWidth="0" w:num="1">
            <w:col w:w="11420"/>
          </w:cols>
          <w:pgMar w:left="240" w:top="634" w:right="2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i w:val="1"/>
          <w:iCs w:val="1"/>
          <w:color w:val="auto"/>
        </w:rPr>
        <w:t>expense structure, the payment of future dividends, acquisitions or investments the company may make to fuel growth, the purchase of common stock under the company's stock repurchase program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400"/>
          </w:cols>
          <w:pgMar w:left="240" w:top="584" w:right="2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2014</w:t>
            </w:r>
          </w:p>
        </w:tc>
        <w:tc>
          <w:tcPr>
            <w:tcW w:w="1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0"/>
              </w:rPr>
              <w:t>As of December 31, 2013</w:t>
            </w:r>
          </w:p>
        </w:tc>
        <w:tc>
          <w:tcPr>
            <w:tcW w:w="0" w:type="dxa"/>
            <w:vAlign w:val="bottom"/>
          </w:tcPr>
          <w:p>
            <w:pPr>
              <w:spacing w:after="0"/>
              <w:rPr>
                <w:sz w:val="1"/>
                <w:szCs w:val="1"/>
                <w:color w:val="auto"/>
              </w:rPr>
            </w:pPr>
          </w:p>
        </w:tc>
      </w:tr>
      <w:tr>
        <w:trPr>
          <w:trHeight w:val="33"/>
        </w:trPr>
        <w:tc>
          <w:tcPr>
            <w:tcW w:w="740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7,440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$58 and $129, respectively</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9,916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9,378</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12,766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4,013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2,143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44,970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48,066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19,162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22,326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7,896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12,969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89,403</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17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3,057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5,004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10,931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13,387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10,726</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0"/>
                <w:szCs w:val="20"/>
                <w:color w:val="auto"/>
              </w:rPr>
            </w:pPr>
            <w:r>
              <w:rPr>
                <w:rFonts w:ascii="Arial" w:cs="Arial" w:eastAsia="Arial" w:hAnsi="Arial"/>
                <w:sz w:val="18"/>
                <w:szCs w:val="18"/>
                <w:color w:val="auto"/>
                <w:w w:val="94"/>
              </w:rPr>
              <w:t>Common stock, par value $0.001, 50,000,000 shares authorized, 9,097,827 and 8,986,080 shares</w:t>
            </w: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12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44,939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41,311</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31,076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28,992</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76,016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89,403</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5"/>
          </w:tcPr>
          <w:p>
            <w:pPr>
              <w:ind w:left="200"/>
              <w:spacing w:after="0"/>
              <w:rPr>
                <w:sz w:val="20"/>
                <w:szCs w:val="20"/>
                <w:color w:val="auto"/>
              </w:rPr>
            </w:pPr>
            <w:r>
              <w:rPr>
                <w:rFonts w:ascii="Arial" w:cs="Arial" w:eastAsia="Arial" w:hAnsi="Arial"/>
                <w:sz w:val="16"/>
                <w:szCs w:val="16"/>
                <w:b w:val="1"/>
                <w:bCs w:val="1"/>
                <w:color w:val="auto"/>
              </w:rPr>
              <w:t>Quarter ended December 31,</w:t>
            </w:r>
          </w:p>
        </w:tc>
        <w:tc>
          <w:tcPr>
            <w:tcW w:w="360" w:type="dxa"/>
            <w:vAlign w:val="bottom"/>
          </w:tcPr>
          <w:p>
            <w:pPr>
              <w:spacing w:after="0"/>
              <w:rPr>
                <w:sz w:val="18"/>
                <w:szCs w:val="18"/>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14,230</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57,909</w:t>
            </w:r>
          </w:p>
        </w:tc>
        <w:tc>
          <w:tcPr>
            <w:tcW w:w="100" w:type="dxa"/>
            <w:vAlign w:val="bottom"/>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35,323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Proceeds from litigation, net</w:t>
            </w:r>
          </w:p>
        </w:tc>
        <w:tc>
          <w:tcPr>
            <w:tcW w:w="3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27,348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22,235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06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0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4"/>
                <w:szCs w:val="24"/>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4"/>
                <w:szCs w:val="24"/>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540"/>
        </w:trPr>
        <w:tc>
          <w:tcPr>
            <w:tcW w:w="50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9,118,977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8,985,518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9,166,769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9,064,340</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9,510,957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9,340,741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9,581,326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9,455,518</w:t>
            </w:r>
          </w:p>
        </w:tc>
        <w:tc>
          <w:tcPr>
            <w:tcW w:w="0" w:type="dxa"/>
            <w:vAlign w:val="bottom"/>
          </w:tcPr>
          <w:p>
            <w:pPr>
              <w:spacing w:after="0"/>
              <w:rPr>
                <w:sz w:val="1"/>
                <w:szCs w:val="1"/>
                <w:color w:val="auto"/>
              </w:rPr>
            </w:pPr>
          </w:p>
        </w:tc>
      </w:tr>
      <w:tr>
        <w:trPr>
          <w:trHeight w:val="567"/>
        </w:trPr>
        <w:tc>
          <w:tcPr>
            <w:tcW w:w="506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Unrealized gain(loss) on available-for-sale securities,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of tax</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Change in foreign currency translation adjustment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40"/>
              <w:spacing w:after="0"/>
              <w:rPr>
                <w:sz w:val="20"/>
                <w:szCs w:val="20"/>
                <w:color w:val="auto"/>
              </w:rPr>
            </w:pPr>
            <w:r>
              <w:rPr>
                <w:rFonts w:ascii="Arial" w:cs="Arial" w:eastAsia="Arial" w:hAnsi="Arial"/>
                <w:sz w:val="16"/>
                <w:szCs w:val="16"/>
                <w:b w:val="1"/>
                <w:bCs w:val="1"/>
                <w:color w:val="auto"/>
              </w:rPr>
              <w:t>Quarter ended December 31,</w:t>
            </w:r>
          </w:p>
        </w:tc>
        <w:tc>
          <w:tcPr>
            <w:tcW w:w="360" w:type="dxa"/>
            <w:vAlign w:val="bottom"/>
          </w:tcPr>
          <w:p>
            <w:pPr>
              <w:spacing w:after="0"/>
              <w:rPr>
                <w:sz w:val="18"/>
                <w:szCs w:val="18"/>
                <w:color w:val="auto"/>
              </w:rPr>
            </w:pPr>
          </w:p>
        </w:tc>
        <w:tc>
          <w:tcPr>
            <w:tcW w:w="27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15,351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14,230</w:t>
            </w:r>
          </w:p>
        </w:tc>
        <w:tc>
          <w:tcPr>
            <w:tcW w:w="100" w:type="dxa"/>
            <w:vAlign w:val="bottom"/>
          </w:tcPr>
          <w:p>
            <w:pPr>
              <w:spacing w:after="0"/>
              <w:rPr>
                <w:sz w:val="18"/>
                <w:szCs w:val="18"/>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57,909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49,592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22,576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19,726</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9,921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29,866</w:t>
            </w:r>
          </w:p>
        </w:tc>
        <w:tc>
          <w:tcPr>
            <w:tcW w:w="0" w:type="dxa"/>
            <w:vAlign w:val="bottom"/>
          </w:tcPr>
          <w:p>
            <w:pPr>
              <w:spacing w:after="0"/>
              <w:rPr>
                <w:sz w:val="1"/>
                <w:szCs w:val="1"/>
                <w:color w:val="auto"/>
              </w:rPr>
            </w:pPr>
          </w:p>
        </w:tc>
      </w:tr>
      <w:tr>
        <w:trPr>
          <w:trHeight w:val="33"/>
        </w:trPr>
        <w:tc>
          <w:tcPr>
            <w:tcW w:w="512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5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8,822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21,462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512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32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2,881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8,404</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8,551</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2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3"/>
                <w:szCs w:val="23"/>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594"/>
        </w:trPr>
        <w:tc>
          <w:tcPr>
            <w:tcW w:w="51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9,118,977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8,985,518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9,166,769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9,064,340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9,510,957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9,340,741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9,581,326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9,455,518</w:t>
            </w:r>
          </w:p>
        </w:tc>
        <w:tc>
          <w:tcPr>
            <w:tcW w:w="0" w:type="dxa"/>
            <w:vAlign w:val="bottom"/>
          </w:tcPr>
          <w:p>
            <w:pPr>
              <w:spacing w:after="0"/>
              <w:rPr>
                <w:sz w:val="1"/>
                <w:szCs w:val="1"/>
                <w:color w:val="auto"/>
              </w:rPr>
            </w:pPr>
          </w:p>
        </w:tc>
      </w:tr>
      <w:tr>
        <w:trPr>
          <w:trHeight w:val="594"/>
        </w:trPr>
        <w:tc>
          <w:tcPr>
            <w:tcW w:w="512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5,596</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53"/>
        </w:trPr>
        <w:tc>
          <w:tcPr>
            <w:tcW w:w="5120" w:type="dxa"/>
            <w:vAlign w:val="bottom"/>
          </w:tcPr>
          <w:p>
            <w:pPr>
              <w:spacing w:after="0"/>
              <w:rPr>
                <w:sz w:val="20"/>
                <w:szCs w:val="20"/>
                <w:color w:val="auto"/>
              </w:rPr>
            </w:pPr>
            <w:r>
              <w:rPr>
                <w:rFonts w:ascii="Arial" w:cs="Arial" w:eastAsia="Arial" w:hAnsi="Arial"/>
                <w:sz w:val="16"/>
                <w:szCs w:val="16"/>
                <w:color w:val="auto"/>
                <w:w w:val="99"/>
              </w:rPr>
              <w:t>Legal expenses for litigation relating to indemnification of former officers,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160"/>
              <w:spacing w:after="0"/>
              <w:rPr>
                <w:sz w:val="20"/>
                <w:szCs w:val="20"/>
                <w:color w:val="auto"/>
              </w:rPr>
            </w:pPr>
            <w:r>
              <w:rPr>
                <w:rFonts w:ascii="Arial" w:cs="Arial" w:eastAsia="Arial" w:hAnsi="Arial"/>
                <w:sz w:val="16"/>
                <w:szCs w:val="16"/>
                <w:color w:val="auto"/>
              </w:rPr>
              <w:t>theft of our intellectual property claims and our claim for damages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32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December 31,</w:t>
            </w:r>
          </w:p>
        </w:tc>
        <w:tc>
          <w:tcPr>
            <w:tcW w:w="340" w:type="dxa"/>
            <w:vAlign w:val="bottom"/>
          </w:tcPr>
          <w:p>
            <w:pPr>
              <w:spacing w:after="0"/>
              <w:rPr>
                <w:sz w:val="18"/>
                <w:szCs w:val="18"/>
                <w:color w:val="auto"/>
              </w:rPr>
            </w:pPr>
          </w:p>
        </w:tc>
        <w:tc>
          <w:tcPr>
            <w:tcW w:w="26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2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2,698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5,596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5,179</w:t>
            </w:r>
          </w:p>
        </w:tc>
      </w:tr>
      <w:tr>
        <w:trPr>
          <w:trHeight w:val="263"/>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8"/>
        </w:trPr>
        <w:tc>
          <w:tcPr>
            <w:tcW w:w="51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2,590</w:t>
            </w:r>
          </w:p>
        </w:tc>
      </w:tr>
      <w:tr>
        <w:trPr>
          <w:trHeight w:val="270"/>
        </w:trPr>
        <w:tc>
          <w:tcPr>
            <w:tcW w:w="51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1,327</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9,096</w:t>
            </w:r>
          </w:p>
        </w:tc>
      </w:tr>
      <w:tr>
        <w:trPr>
          <w:trHeight w:val="249"/>
        </w:trPr>
        <w:tc>
          <w:tcPr>
            <w:tcW w:w="512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70"/>
        </w:trPr>
        <w:tc>
          <w:tcPr>
            <w:tcW w:w="512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253"/>
        </w:trPr>
        <w:tc>
          <w:tcPr>
            <w:tcW w:w="5120" w:type="dxa"/>
            <w:vAlign w:val="bottom"/>
            <w:gridSpan w:val="2"/>
          </w:tcPr>
          <w:p>
            <w:pPr>
              <w:spacing w:after="0"/>
              <w:rPr>
                <w:sz w:val="20"/>
                <w:szCs w:val="20"/>
                <w:color w:val="auto"/>
              </w:rPr>
            </w:pPr>
            <w:r>
              <w:rPr>
                <w:rFonts w:ascii="Arial" w:cs="Arial" w:eastAsia="Arial" w:hAnsi="Arial"/>
                <w:sz w:val="16"/>
                <w:szCs w:val="16"/>
                <w:color w:val="auto"/>
                <w:w w:val="99"/>
              </w:rPr>
              <w:t>Legal expenses for litigation relating to indemnification of former officers,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6"/>
        </w:trPr>
        <w:tc>
          <w:tcPr>
            <w:tcW w:w="5120" w:type="dxa"/>
            <w:vAlign w:val="bottom"/>
            <w:gridSpan w:val="2"/>
          </w:tcPr>
          <w:p>
            <w:pPr>
              <w:ind w:left="160"/>
              <w:spacing w:after="0"/>
              <w:rPr>
                <w:sz w:val="20"/>
                <w:szCs w:val="20"/>
                <w:color w:val="auto"/>
              </w:rPr>
            </w:pPr>
            <w:r>
              <w:rPr>
                <w:rFonts w:ascii="Arial" w:cs="Arial" w:eastAsia="Arial" w:hAnsi="Arial"/>
                <w:sz w:val="16"/>
                <w:szCs w:val="16"/>
                <w:color w:val="auto"/>
              </w:rPr>
              <w:t>theft of our intellectual property claims and our claim for damages</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w:t>
            </w:r>
          </w:p>
        </w:tc>
      </w:tr>
      <w:tr>
        <w:trPr>
          <w:trHeight w:val="270"/>
        </w:trPr>
        <w:tc>
          <w:tcPr>
            <w:tcW w:w="512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246</w:t>
            </w:r>
          </w:p>
        </w:tc>
      </w:tr>
      <w:tr>
        <w:trPr>
          <w:trHeight w:val="33"/>
        </w:trPr>
        <w:tc>
          <w:tcPr>
            <w:tcW w:w="8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9,331</w:t>
            </w:r>
          </w:p>
        </w:tc>
      </w:tr>
      <w:tr>
        <w:trPr>
          <w:trHeight w:val="20"/>
        </w:trPr>
        <w:tc>
          <w:tcPr>
            <w:tcW w:w="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2"/>
        </w:trPr>
        <w:tc>
          <w:tcPr>
            <w:tcW w:w="512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9,118,977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8,985,518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9,166,769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9,064,340</w:t>
            </w:r>
          </w:p>
        </w:tc>
      </w:tr>
      <w:tr>
        <w:trPr>
          <w:trHeight w:val="270"/>
        </w:trPr>
        <w:tc>
          <w:tcPr>
            <w:tcW w:w="512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9,510,957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9,340,741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9,581,326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9,455,518</w:t>
            </w:r>
          </w:p>
        </w:tc>
      </w:tr>
      <w:tr>
        <w:trPr>
          <w:trHeight w:val="594"/>
        </w:trPr>
        <w:tc>
          <w:tcPr>
            <w:tcW w:w="512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270"/>
        </w:trPr>
        <w:tc>
          <w:tcPr>
            <w:tcW w:w="512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0.99</w:t>
            </w:r>
          </w:p>
        </w:tc>
      </w:tr>
    </w:tbl>
    <w:p>
      <w:pPr>
        <w:spacing w:after="0" w:line="1" w:lineRule="exact"/>
        <w:rPr>
          <w:sz w:val="20"/>
          <w:szCs w:val="20"/>
          <w:color w:val="auto"/>
        </w:rPr>
      </w:pP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2019-12-06T04:51:31Z</dcterms:created>
  <dcterms:modified xsi:type="dcterms:W3CDTF">2019-12-06T04:51:31Z</dcterms:modified>
</cp:coreProperties>
</file>