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23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|X|</w:t>
        <w:tab/>
        <w:t>ANNUAL REPORT UNDER SECTION 13 OR 15(d) OF THE SECURITIES EXCHANGE ACT OF 1934</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the fiscal year ended June 30, 2001</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23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167"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For the transition period from ________ to ________</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0-17219</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GENTNER COMMUNICATIONS CORPORATION</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428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9"/>
              </w:rPr>
              <w:t>Utah</w:t>
            </w: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5"/>
              </w:rPr>
              <w:t>87-0398877</w:t>
            </w:r>
          </w:p>
        </w:tc>
      </w:tr>
      <w:tr>
        <w:trPr>
          <w:trHeight w:val="168"/>
        </w:trPr>
        <w:tc>
          <w:tcPr>
            <w:tcW w:w="42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w:t>
            </w:r>
          </w:p>
        </w:tc>
        <w:tc>
          <w:tcPr>
            <w:tcW w:w="2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4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280" w:type="dxa"/>
            <w:vAlign w:val="bottom"/>
          </w:tcPr>
          <w:p>
            <w:pPr>
              <w:jc w:val="center"/>
              <w:ind w:right="72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44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28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9"/>
              </w:rPr>
              <w:t>1825 Research Way, Salt Lake City, Utah</w:t>
            </w:r>
          </w:p>
        </w:tc>
        <w:tc>
          <w:tcPr>
            <w:tcW w:w="2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84119</w:t>
            </w:r>
          </w:p>
        </w:tc>
      </w:tr>
      <w:tr>
        <w:trPr>
          <w:trHeight w:val="168"/>
        </w:trPr>
        <w:tc>
          <w:tcPr>
            <w:tcW w:w="42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280" w:type="dxa"/>
            <w:vAlign w:val="bottom"/>
          </w:tcPr>
          <w:p>
            <w:pPr>
              <w:jc w:val="center"/>
              <w:ind w:right="70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5"/>
              </w:rPr>
              <w:t>(Zip Code)</w:t>
            </w:r>
          </w:p>
        </w:tc>
      </w:tr>
    </w:tbl>
    <w:p>
      <w:pPr>
        <w:spacing w:after="0" w:line="166" w:lineRule="exact"/>
        <w:rPr>
          <w:sz w:val="24"/>
          <w:szCs w:val="24"/>
          <w:color w:val="auto"/>
        </w:rPr>
      </w:pPr>
    </w:p>
    <w:p>
      <w:pPr>
        <w:jc w:val="right"/>
        <w:ind w:right="4979"/>
        <w:spacing w:after="0"/>
        <w:rPr>
          <w:sz w:val="20"/>
          <w:szCs w:val="20"/>
          <w:color w:val="auto"/>
        </w:rPr>
      </w:pPr>
      <w:r>
        <w:rPr>
          <w:rFonts w:ascii="Courier New" w:cs="Courier New" w:eastAsia="Courier New" w:hAnsi="Courier New"/>
          <w:sz w:val="15"/>
          <w:szCs w:val="15"/>
          <w:color w:val="auto"/>
        </w:rPr>
        <w:t>Issuer's telephone number (801) 975-7200</w:t>
      </w:r>
    </w:p>
    <w:p>
      <w:pPr>
        <w:jc w:val="right"/>
        <w:ind w:right="497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Securities registered under Section 12(b) of the Exchange Act:</w:t>
      </w:r>
    </w:p>
    <w:p>
      <w:pPr>
        <w:sectPr>
          <w:pgSz w:w="11900" w:h="16882" w:orient="portrait"/>
          <w:cols w:equalWidth="0" w:num="1">
            <w:col w:w="10239"/>
          </w:cols>
          <w:pgMar w:left="220" w:top="225" w:right="1440" w:bottom="0" w:gutter="0" w:footer="0" w:header="0"/>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1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sectPr>
          <w:pgSz w:w="11900" w:h="16882" w:orient="portrait"/>
          <w:cols w:equalWidth="0" w:num="2">
            <w:col w:w="2700" w:space="720"/>
            <w:col w:w="6819"/>
          </w:cols>
          <w:pgMar w:left="220" w:top="225"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Securities registered under Section 12(g) of the Exchange Act:</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Common Stock, $0.001 par value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Indicate by check mark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|_|</w:t>
      </w:r>
    </w:p>
    <w:p>
      <w:pPr>
        <w:spacing w:after="0" w:line="174" w:lineRule="exact"/>
        <w:rPr>
          <w:sz w:val="24"/>
          <w:szCs w:val="24"/>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aggregate market value of the voting common stock held by non-affiliates is approximately $66,576,342 at September 1, 2001. This value was computed at the price of $10.89 at which the stock traded on September 1, 2001 (which date is within 60 days of the filing of this Form 10-K).</w:t>
      </w:r>
    </w:p>
    <w:p>
      <w:pPr>
        <w:spacing w:after="0" w:line="175" w:lineRule="exact"/>
        <w:rPr>
          <w:sz w:val="24"/>
          <w:szCs w:val="24"/>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The number of shares outstanding of the issuer's Common Stock as of September 1, 2001 was 8,612,978.</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DESCRIPTION OF BUSINESS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Gentner Communications Corporation (the "Company") was organized under the laws of the State of Utah on July 8, 1981 as Gentner Engineering Company, Inc. On March 26, 1985, Gentner Engineering Company went public by way of a reverse purchase when Insular, Inc. (incorporated in Utah on July 8, 1983), acquired Gentner Engineering and changed its name to Gentner Electronics Corporation. On July 1, 1991, Gentner Electronics Corporation changed its name to Gentner Communications Corporation to more accurately reflect the expanding nature of its business.</w:t>
      </w:r>
    </w:p>
    <w:p>
      <w:pPr>
        <w:spacing w:after="0" w:line="177"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primarily develops, manufactures, markets and distributes products and services for the conferencing equipment, conferencing services, and broadcast markets. Until 1991, the Company's primary business was the sale of studio and transmitter-related equipment to broadcast facilities. Since then, the Company has applied its core digital audio technology to the development of products for conferencing, sound reinforcement, and assistive listening applications. In addition, the Company offers conferencing services, including conference calling, Webconferencing, document conferencing, audio and video streaming, and customer training and education.</w:t>
      </w:r>
    </w:p>
    <w:p>
      <w:pPr>
        <w:sectPr>
          <w:pgSz w:w="11900" w:h="16882" w:orient="portrait"/>
          <w:cols w:equalWidth="0" w:num="1">
            <w:col w:w="10239"/>
          </w:cols>
          <w:pgMar w:left="220" w:top="225" w:right="1440" w:bottom="0" w:gutter="0" w:footer="0" w:header="0"/>
          <w:type w:val="continuous"/>
        </w:sectPr>
      </w:pPr>
    </w:p>
    <w:bookmarkStart w:id="1" w:name="page2"/>
    <w:bookmarkEnd w:id="1"/>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initially began selling its products to the telephone interface portion of the broadcast market. These products are primarily used to put callers on the air for call-in talk shows. In 1991, using the technological expertise gained in the broadcast market, the Company commenced marketing products specifically developed for the audioconferencing market. The Company's audioconferencing products provide users with a natural, two-way method of conversation without the cut-offs, distortion, noise and echo associated with traditional speakerphones. Audioconferencing products are installed in conference rooms, courtrooms, and distance learning facilities. The Company also develops assistive listening systems that provide enhanced audio for those with hearing disabilities. Over the past two years, the Company has expanded its market opportunity by introducing products targeting the videoconferencing and sound reinforcement markets. Videoconferencing products are typically installed in the same types of venues as the Company's audioconferencing products. Sound reinforcement products target larger venues, such as stadiums, arenas, theaters, houses of worship and convention centers. Product sales from continuing operations accounted for 71% of the Company's total sales from continuing operations during fiscal 2001, compared to 79% in fiscal 2000 and 84% in fiscal 1999.</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fiscal 1993, the Company introduced Gentner Conference Call(R) (1-800 LETS MEET(R)), a comprehensive teleconferencing service. Over the past two years, the Company has expanded its service offerings to include on-demand, reservationless conference calling, Webconferencing, and audio and video streaming over the Internet. During fiscal year 2001, sales conferencing services accounted for 29% of the Company's total sales from continuing operations, compared to 21% in fiscal 2000 and 16% in fiscal 1999.</w:t>
      </w:r>
    </w:p>
    <w:p>
      <w:pPr>
        <w:spacing w:after="0" w:line="17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Company's international sales were 13%, 12%, and 12% of total sales for fiscal years 2001, 2000, and 1999,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fiscal year 2001, the Company changed its reportable operating segments to reflect how it evaluates its operating performance and allocates resources. Prior to fiscal year 2001, the Company's reportable segments included RFM/Broadcast, Conferencing Products, Conferencing Services and Other. On July 5, 2000, the Company concluded the purchase of the assets of ClearOne, Inc. Through this purchase, the Company obtained valuable technology for videoconferencing products, as well as existing audioconferencing products and related technology. As of April 12, 2001, the Company sold the assets of the remote control portion of the RFM/Broadcast division. Subsequent to the disposal, the Company now operates in two different segments - Products and Services. See Note 15 to the Consolidated Financial Statements for further information on Segment Reporting. The operating results of the remote control portion of the division have been separately reported as discontinued operations for all periods presented. See further discussion of Discontinued Operations in Item 7.</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Products segment is responsible for the following areas: room system audioconferencing and videoconferencing products, sound reinforcement products, broadcast telephone interface products, and assistive listening systems.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310" w:right="1440" w:bottom="1440" w:gutter="0" w:footer="0" w:header="0"/>
        </w:sectPr>
      </w:pPr>
    </w:p>
    <w:bookmarkStart w:id="2" w:name="page3"/>
    <w:bookmarkEnd w:id="2"/>
    <w:p>
      <w:pPr>
        <w:jc w:val="both"/>
        <w:ind w:right="3239"/>
        <w:spacing w:after="0" w:line="235" w:lineRule="auto"/>
        <w:rPr>
          <w:sz w:val="20"/>
          <w:szCs w:val="20"/>
          <w:color w:val="auto"/>
        </w:rPr>
      </w:pPr>
      <w:r>
        <w:rPr>
          <w:rFonts w:ascii="Courier New" w:cs="Courier New" w:eastAsia="Courier New" w:hAnsi="Courier New"/>
          <w:sz w:val="15"/>
          <w:szCs w:val="15"/>
          <w:color w:val="auto"/>
        </w:rPr>
        <w:t>The Services segment is responsible for all teleconferencing services, including full-service conference calling; on-demand, reservationless conference calling, Webconferencing, and audio and video streaming.</w:t>
      </w:r>
    </w:p>
    <w:p>
      <w:pPr>
        <w:spacing w:after="0" w:line="174"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Company is focused on increasing its share of target markets through new product and service introductions, and through enhanced international efforts.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Segment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Room System Conferencing Products. In 1991, the Company combined the digital technology in its broadcast telephone products with Digital Echo Cancellation(R) to develop a line of conferencing products. These products are used in such settings as conference rooms, distance learning facilities, and courtrooms. Examples of current applications include executive boardrooms for Bell South Telecommunications, The Boeing Company, and the National Geographic Society; distance learning facilities in Oklahoma, Indiana, Nebraska, North Carolina and Wisconsin; and courtroom applications for the Montreal Court System and the Federal Bankruptcy Courts in San Jose. The Company is well known for these types of quality products.</w:t>
      </w:r>
    </w:p>
    <w:p>
      <w:pPr>
        <w:spacing w:after="0" w:line="17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1998, the Company introduced and began shipping a new line of conferencing products under the brand name of Audio Perfect(R). The Audio Perfect(R) product line currently consists of the AP800, AP400, AP10, AP-Ware(TM), AP IR Remote Control and APV200-IP. Building upon its Audio Perfect(R) technology, the Company began shipping the newest generation of conferencing products, the XAP(TM) 800 and XAP(TM) TH1, in June 2001. The XAP(TM) and Audio Perfect(R) products are comprehensive room-audio control systems designed to excel in the most demanding acoustical environments and routing configurations. Typical applications include conference rooms, courtrooms, corporate boardrooms, and distance learning facilities. The XAP(TM) and AudioPerfect(R) products are also used for integrating audio with videoconferencing systems.</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XAP(TM) 800 is the Company's most powerful, feature-rich audioconferencing product to date. It builds upon the proprietary Distributed Echo Cancellation(R) technology of the Company's popular AP800 and on the proven software control and signal processing capabilities of the Company's PSR1212. It also incorporates noise cancellation technology, assignable processing blocks, advanced automatic gain control and speech leveler, an advanced matrix mixer, advanced room combining technology, and wall-panel controls.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XAP(TM) TH1 is the telephone interface portion of the XAP(TM) 800. It connects audioconferencing participants via a telephone line. The XAP(TM) TH1 provides the best available quality for single telephone line conferencing, and it enables up to 16 callers to be conferenced into a XAP(TM) 800 system using 16 XAP(TM) TH1s.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AP800 performs the combined functions of several audio devices, including an eight-channel automatic microphone mixer, a 12 X 12 matrix mixer, an audio processor, an equalizer and an audio network controller. It also functions as an echo canceller using the Company's digital Distributed Echo Cancellation(R) (D.E.C.)(R) technology. Before D.E.C., only one echo canceller was used to eliminate acoustic echo during a call. With D.E.C., an echo canceller, an equalizer and an audio processor are placed on every microphone input, yielding crystal-clear audio in a greater variety of environments.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AP10 is used with the AP800 as a telephone interface to connect audioconferencing participants via a telephone line. Each Audio Perfect(R) system can be expanded to interface with up to eight AP800's and 16 AP10's, providing a network of up to 16 phone lines, 32 line inputs, and 64 microphones, all operating as a single unit.</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AP400 combines the scaled down functions of the AP800, the AP10 and an internal power amplifier. Its four microphone inputs, compared to the AP800's eight microphone inputs, make the AP400 more practical for small to medium sized rooms.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AP-Ware(TM) is a PC-based software designed to enhance the Audio Perfect(R) family of products. AP-Ware(TM) simplifies the set-up, configuration and operation of the Audio Perfect(R) system by employing a graphical user interface. The graphic orientation provides access to the same features available via the front-panel controls of the AP800, AP400 and AP10, but does so in a more user-friendly manner. AP-Ware(TM) can control an entire Audio Perfect(R) system using only one serial connection, and can communicate with AP units both locally and remotely via modem.</w:t>
      </w:r>
    </w:p>
    <w:p>
      <w:pPr>
        <w:spacing w:after="0" w:line="177"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AP IR Remote Control uses infrared transmission to operate the AP800, AP400 and AP10. Features include connect, disconnect, dial, redial, speed dial, hook flash, volume control and micFrophone mute.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3" w:name="page4"/>
    <w:bookmarkEnd w:id="3"/>
    <w:p>
      <w:pPr>
        <w:jc w:val="both"/>
        <w:ind w:right="3239"/>
        <w:spacing w:after="0" w:line="236" w:lineRule="auto"/>
        <w:rPr>
          <w:sz w:val="20"/>
          <w:szCs w:val="20"/>
          <w:color w:val="auto"/>
        </w:rPr>
      </w:pPr>
      <w:r>
        <w:rPr>
          <w:rFonts w:ascii="Courier New" w:cs="Courier New" w:eastAsia="Courier New" w:hAnsi="Courier New"/>
          <w:sz w:val="15"/>
          <w:szCs w:val="15"/>
          <w:color w:val="auto"/>
        </w:rPr>
        <w:t>The APV200-IP is a videoconferencing system that the Company purchases from Viseon Video, Inc. The APV200-IP delivers high-quality video, is standards based, and connects directly to any size TV, LCD projector, flat screen, PC, or laptop computer. When combined with other Audio Perfect(R) products, the APV200-IP can support up to 64 microphones and multiple cameras, providing top-quality sound and video for any size room.</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2000, the Company purchased substantially all of the assets of ClearOne, Inc., a Woburn, Massachusetts-based developer of multimedia communications equipment. With the asset purchase, the Company enhanced its technology with respect to videoconferencing, which it believes enables the Company to more effectively meet customer demands for specific features and functionality in future products by bringing videoconferencing product development in-house.</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addition to the videoconferencing technology gained in the ClearOne, Inc. asset purchase, the Company acquired two audioconferencing products. The Gentner ClearOne(R) is a portable, plug-and-play conference phone. It complements the Company's product suite and expands current distribution methods because it can be sold through retail distribution channels as well as through the Company's existing network of dealers and integrators. In addition, the Company obtained the "VTC AccuMic" a microphone pad that is ideally used as high-quality, affordable audio support for any videoconferencing system. It is typically used when audio coverage from a single microphone is insufficient.</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Sound Reinforcement Products. In March 2000, the Company began shipping the PA870 power amplifier, and in December 2000, the Company began shipping the PSR1212 matrix mixer with audio processing capabilities. Both the PA870 and the PSR1212 are designed for sound reinforcement applications in large venues such as hotels, theaters, convention centers, and houses of worship.</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Broadcast Telephone Interface Products. The Company's telephone interface product line offers a full selection of products ranging from simple single-line couplers, which enable users to send and receive audio over a single telephone line, to computerized multiple-line systems used in talk-show programs. An example of the computerized multi-line system is the Company's TS612, which it began selling in fiscal 1995. Using the TS612, talk-show hosts can screen calls, bring callers on-air, conference several callers together, or monitor whether callers are on hold or talking to the show's producer. The Company believes its share of the domestic telephone interface market is currently 50% or greater, with potential for the largest growth in international markets.</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April 2001, the Company sold the remote control portion of the RFM/Broadcast product line. The purchase was made by Burk Technology of Littleton, MA. The purchase price was $3.2 million.</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Assistive Listening System Products. In March 1993, the Company began shipping its Assistive Listening System (ALS) products. These products help the Company's customers comply with the Americans with Disabilities Act (ADA) by providing enhanced audio for hearing impaired people in public places such as theaters, houses of worship, schools, courtrooms, stadiums and arenas.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February 1999, the Company introduced its Venture series of ALS products designed specifically for tour audio and language translation applications. Venture operates in the 216 MHz frequency range that has been designated by the Federal Communications Commission (FCC) for use in hearing assistance applications not specifically designed for the hearing impaired.</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Backlog. As of June 30, 2001, the Company's backlog was approximately $10.5 million. As of June 30, 2000, the Company's backlog was approximately $1.8 million. The Company anticipates 100% of the backlog at June 30, 2001 to be shipped by June 30, 2002. The increase in the Company's backlog is due to the blanket purchase order program for the Company's dealers which was implemented during the third quarter of fiscal 2001. See further discussion under Consolidated Results of Continuing Operations in Item 7.</w:t>
      </w:r>
    </w:p>
    <w:p>
      <w:pPr>
        <w:spacing w:after="0" w:line="17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Net revenues from the products segment was $28.2 million in fiscal 2001, $22.2 million in fiscal 2000 and $17.1 million in fiscal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Services Segment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Conference Calling Services. In February 1993, the Company launched its teleconferencing service to provide customers with a complete offering of conferencing solutions. Gentner Conference Call(R) (1-800 LETS MEET(R)) can connect many different telephone callers worldwide with superior service and</w:t>
      </w:r>
    </w:p>
    <w:p>
      <w:pPr>
        <w:spacing w:after="0" w:line="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excellent clarity. The Company also facilitates videoconferences, dataconferences, and satellite conferences. In November 1999, the Company enhanced its teleconferencing service with the introduction of Instant Access(TM) Conferencing, which enables customers to conduct a conference call at any time, from any location, without a reservation.</w:t>
      </w:r>
    </w:p>
    <w:p>
      <w:pPr>
        <w:spacing w:after="0" w:line="167" w:lineRule="exact"/>
        <w:rPr>
          <w:sz w:val="20"/>
          <w:szCs w:val="20"/>
          <w:color w:val="auto"/>
        </w:rPr>
      </w:pPr>
    </w:p>
    <w:p>
      <w:pPr>
        <w:spacing w:after="0"/>
        <w:tabs>
          <w:tab w:leader="none" w:pos="1660" w:val="left"/>
          <w:tab w:leader="none" w:pos="2700" w:val="left"/>
          <w:tab w:leader="none" w:pos="3140" w:val="left"/>
          <w:tab w:leader="none" w:pos="4020" w:val="left"/>
          <w:tab w:leader="none" w:pos="4720" w:val="left"/>
          <w:tab w:leader="none" w:pos="5240" w:val="left"/>
          <w:tab w:leader="none" w:pos="6120" w:val="left"/>
        </w:tabs>
        <w:rPr>
          <w:sz w:val="20"/>
          <w:szCs w:val="20"/>
          <w:color w:val="auto"/>
        </w:rPr>
      </w:pPr>
      <w:r>
        <w:rPr>
          <w:rFonts w:ascii="Courier New" w:cs="Courier New" w:eastAsia="Courier New" w:hAnsi="Courier New"/>
          <w:sz w:val="15"/>
          <w:szCs w:val="15"/>
          <w:color w:val="auto"/>
        </w:rPr>
        <w:t>Webconferencing</w:t>
      </w:r>
      <w:r>
        <w:rPr>
          <w:sz w:val="20"/>
          <w:szCs w:val="20"/>
          <w:color w:val="auto"/>
        </w:rPr>
        <w:tab/>
      </w:r>
      <w:r>
        <w:rPr>
          <w:rFonts w:ascii="Courier New" w:cs="Courier New" w:eastAsia="Courier New" w:hAnsi="Courier New"/>
          <w:sz w:val="15"/>
          <w:szCs w:val="15"/>
          <w:color w:val="auto"/>
        </w:rPr>
        <w:t>Services.</w:t>
        <w:tab/>
        <w:t>In</w:t>
        <w:tab/>
        <w:t>October</w:t>
        <w:tab/>
        <w:t>1999,</w:t>
        <w:tab/>
        <w:t>the</w:t>
        <w:tab/>
        <w:t>Company</w:t>
      </w:r>
      <w:r>
        <w:rPr>
          <w:sz w:val="20"/>
          <w:szCs w:val="20"/>
          <w:color w:val="auto"/>
        </w:rPr>
        <w:tab/>
      </w:r>
      <w:r>
        <w:rPr>
          <w:rFonts w:ascii="Courier New" w:cs="Courier New" w:eastAsia="Courier New" w:hAnsi="Courier New"/>
          <w:sz w:val="14"/>
          <w:szCs w:val="14"/>
          <w:color w:val="auto"/>
        </w:rPr>
        <w:t>introduced</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TheDataPort.com Webconferencing service to complement its existing teleconferencing service offerings. TheDataPort.com enables customers to conduct live, interactive meetings over the Internet, incorporating visual elements such as graphics, slides, and charts. Polling, Q &amp; A sessions, and audio and video transmission are also available, and the event can be saved and archived for on-demand playback. The DataPort.com runs on the WebEx(R) Webconferencing platform.</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Audio and Video Streaming Services. In July 2001, the Company added audio and video streaming to its suite of conferencing services, enabling customers to enhance conference calls with live and archived audio and video over the Internet. Gentner offers audio and data streaming through a third party provider.</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Net revenues from the services segment was $11.7 million in fiscal 2001, $5.9 million in fiscal 2000 and $3.2 million in fiscal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Equipment Market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believes that there is significant growth potential in the U.S. market for conferencing equipment. Frost &amp; Sullivan, an international marketing consulting company that publishes market research reports, projects the target market for the Company's conferencing products to grow from $940 million in 2000 to $2.5 billion in 2006.</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This market is made up of three separate components: the audioconferencing systems market, the videoconferencing systems market, and the installed portion of the professional audio market. According to Frost &amp; Sullivan, the audioconferencing systems market is projected grow from $91 million in 2000 to $320 million in 2006, or at a compound annual growth rate of 23.1%. The Company estimates that it increased its share of this market in 2000 to 17% from 15% in 1999. The videoconferencing systems market is projected to grow from $350 million in 2000 to $1.1 billion in 2006, or at a compound annual growth rate of 22.9%. The Company estimates that the market for its sound reinforcement equipment is approximately $500 million. There can be no assurance that these markets will increase as expected, if at all.</w:t>
      </w:r>
    </w:p>
    <w:p>
      <w:pPr>
        <w:spacing w:after="0" w:line="180"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Company believes that the conferencing equipment market provides significant sales growth potential for the future, and plans to continue providing solutions to businesses and other end users through the sale of conferencing products.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Services Market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also believes there is significant opportunity for its conferencing services. According to Frost &amp; Sullivan, the total market for conferencing services in 2000 was $1.4 billion and should grow to $2.5 billion by 2006. The Company grew revenue from its conferencing services segment 98% in fiscal 2001 to $11.7 million from $5.9 million in fiscal 2000. There can be no assurance that this market will grow as expected, if at all.</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This market is made up of two separate components: audioconferencing services and Webconferencing reseller services. The total audioconferencing services market is projected to grow from $1.4 billion in 2000 to $2.2 billion in 2006, or at a compound annual growth rate of 7.0%. The Webconferencing reseller services market is projected to grow from $12 million in 2000 to $354 million in 2006, or at a compound annual growth rate of 73.5%. There can be no assurance that these markets will increase as expected, if at all.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Market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Company's broadcast telephone interface products are targeted and sold to radio and television stations, broadcast networks, and other professional audio customers. The Company believes that the worldwide market for the products is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5" w:name="page6"/>
    <w:bookmarkEnd w:id="5"/>
    <w:p>
      <w:pPr>
        <w:jc w:val="both"/>
        <w:ind w:right="3239"/>
        <w:spacing w:after="0" w:line="236" w:lineRule="auto"/>
        <w:rPr>
          <w:sz w:val="20"/>
          <w:szCs w:val="20"/>
          <w:color w:val="auto"/>
        </w:rPr>
      </w:pPr>
      <w:r>
        <w:rPr>
          <w:rFonts w:ascii="Courier New" w:cs="Courier New" w:eastAsia="Courier New" w:hAnsi="Courier New"/>
          <w:sz w:val="15"/>
          <w:szCs w:val="15"/>
          <w:color w:val="auto"/>
        </w:rPr>
        <w:t>approximately $30 million. The Company estimates that it has a worldwide market share of approximately 13%. The United States is considered to be the predominant segment of the worldwide broadcast market, with over 12,000 radio and 1,200 television stations in operation. The Company's products are primarily sold to upgrade broadcast studios. The size of the domestic broadcast market is fixed, as the Federal Communications Commission limits the total number of broadcast station licenses.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traditionally concentrated its efforts on selling its products in the United States. However, while the United States is considered to be the largest single broadcast market segment in the world, it is believed to represent only 20% of the total worldwide broadcast telephone interface market. The international broadcast market is expanding as a result of government deregulation and privatization of stations and the increasing number of frequencies available for commercial use. In 1991, the Company began focusing efforts on expanding its international market share and has appointed dealers located in key areas around the world (see "Description of Business - Distribution").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conferencing products are primarily sold through professional audio/visual equipment dealers and consultants. These dealers and consultants, in turn, provide audio and video solutions to end users in applications such as corporate boardroom systems, distance learning facilities, and courtrooms. The Company reaches these end users through a sales representative and dealer network that regularly interacts with potential end users in the target market. The Company actively participates alongside this network at communication forums, trade shows, and industry promotions. The Company is reinforcing those efforts by remaining involved in the distribution network and offering dealer training and education on its products and services.</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addition to employing the dealer/consultant channel described above, the Company sells the ClearOne(R) conference phone through retail distribution channels such as office equipment and supply stores. The ClearOne(R) conference phone is a lower-priced product that does not require professional installation, making it suitable for direct purchase by the end-user. As discussed previously, the Company acquired this technology from ClearOne, Inc. in fiscal 2001.</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relies on a direct sales force and outside representative network to sell its conference calling and Webconferencing services. The Company believes that it has the potential to cross-sell its products and services by partnering with key dealers. The Company also believes it has an advantage in that it can provide higher-quality products and services as a package for organizations' conferencing needs.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Due to the large size of the conferencing equipment market and its potential for intense competition, the Company expects this segment will continue to require substantial marketing resources and research and development efforts. To this end, the Company intends to continue to seek highly trained and experienced personnel. Additionally, the Company has aggressively focused on research and development to create an expanded and, what the Company believes to be, a technologically superior line of products. The Company's strategy continues to be to sell its conferencing products through national and international dealers who focus on integrating conferencing facilities for organizations.</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Sales efforts for the Company's broadcast telephone interface products focus on the domestic and international sale of these products through a worldwide network of dealers. Such efforts have included a combination of product catalogs, trade shows, telemarketing, direct mail, trade advertising, fax on demand, an Internet Web-page, and direct selling. The Company intends to support dealers with product information, brochures and data sheets, and has been increasing its activities aimed at garnering the attention of end users. The Company intends to sponsor sales promotions to encourage dealers to feature the Company's products, and will also focus more on end-user interaction efforts. The Company also intends to exhibit its products at high-profile industry trade shows to ensure that its products remain highly visible to dealers and broadcasters.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Technical Services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Technical service, which is generally conducted over the telephone and sometimes on site, provides timely, interactive help to customers needing operational or technical assistance with the Company's products. The Company's technical services team provides application and design assistance, customer and dealer training, technical documentation, and a product rental program to reduce down time during repair of a customer's product. The Company's technical services team also regularly communicates with the Company's engineering and manufacturing groups to ensure that customer feedback can be directed toward initiating product improvements and incorporated into future products. Technical service plays a vital role in solving customer problems and building customer confidence. The Company has focused its resources on ensuring that strong technical service to its customers remains a competitive advantage.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Warranty and Service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provides a one-year warranty on its products, which covers both parts and labor. The Company, at its option, repairs or replaces products that are defective during the warranty period if the proper preventative maintenance procedures have been followed by customers. Repairs that are necessitated by misuse of such products or that are required outside the warranty period are not covered by the Company's warranty.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case of a defective product, the customer typically returns it to the Company's facility in Salt Lake City, Utah. The Company's service personnel then replace or repair the defective item and ship it back to the customer. Generally, all servicing is done at the Company's plant, and the Company charges its customers a fee for those service items that are not covered by warranty. The Company also sells extended warranties for its Audio Perfect products, which enable customers to get a replacement unit within 24 hours.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Segment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Conferencing Products. The Company sells its conferencing systems and components through independent audio/visual equipment dealers and consultants. The Company also uses a national network of independent sales representatives. Currently, 89% of the Company's conferencing system sales are in the United States. The Company's primary strategy for foreign expansion is to establish dealers and master distributors in markets where it believes there is a growing need for the type of products and services offered by the Company.</w:t>
      </w:r>
    </w:p>
    <w:p>
      <w:pPr>
        <w:spacing w:after="0" w:line="16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Sound Reinforcement Products. The Company sells its sound reinforcement products to the professional audio market via the same network of sales representatives, consultants, and dealers that sells the Company's conferencing products.</w:t>
      </w:r>
    </w:p>
    <w:p>
      <w:pPr>
        <w:spacing w:after="0" w:line="16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Broadcast Telephone Interface Products. The Company's broadcast telephone interface products are generally sold in the United States through non-exclusive, independent broadcast equipment dealers. End users generally place orders with a dealer by calling a toll free number. The market is highly competitive, and it is not unusual for a customer to call several dealers to get the best possible price. Once a customer orders equipment, a dealer orders the product from the Company to be shipped directly to the customer or, in some instances, ships the product to the customer from the dealer's inventory.</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ALS Products. The Company sells its ALS products to the professional audio market via the same network of sales representatives, consultants, and dealers that sells the Company's conferencing products.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For international product sales, the Company has established Gentner Communications EuMEA GmbH, a wholly owned subsidiary, in October 2000. Headquartered in Nuremberg, Germany, Gentner EuMEA focuses on distribution, technical support, and training in Europe, the Middle East and northern Africa. In addition, the Company has established, and continues to establish, international relationships with dealers and master distributors for its conferencing products in Africa, Asia, Australia, Europe, North America, and South America.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Segment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Conference Calling Webconferencing and Audio and Video Streaming Services. The Company primarily sells its conference calling service through telemarketing directly to end users, and continues to expand its activities and the number of employees in this area. The Company also utilizes this sales force to cross-sell certain conferencing products directly to end users. The Company also sells services through its product dealers and independent representatives, and provides wholesale conference calling services to several long distance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principal competitive factors in the Company's markets include innovative product design, product quality, established customer relationships, name recognition, distribution, and price.</w:t>
      </w:r>
    </w:p>
    <w:p>
      <w:pPr>
        <w:spacing w:after="0" w:line="17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Company believes that its ability to successfully compete in the conferencing markets is essential to the Company's growth and development. There are other companies with substantial financial, technical, manufacturing, and marketing resources currently engaged in the development and marketing of similar products and services. Some of these companies have launched products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jc w:val="both"/>
        <w:ind w:right="3239"/>
        <w:spacing w:after="0" w:line="236" w:lineRule="auto"/>
        <w:rPr>
          <w:sz w:val="20"/>
          <w:szCs w:val="20"/>
          <w:color w:val="auto"/>
        </w:rPr>
      </w:pPr>
      <w:r>
        <w:rPr>
          <w:rFonts w:ascii="Courier New" w:cs="Courier New" w:eastAsia="Courier New" w:hAnsi="Courier New"/>
          <w:sz w:val="15"/>
          <w:szCs w:val="15"/>
          <w:color w:val="auto"/>
        </w:rPr>
        <w:t>and services competitive with those being developed and manufactured by the Company. However, the Company has used its core digital technology to produce what it believes to be superior conferencing equipment and services. The Company believes it is the only provider of both high-end conferencing products and comprehensive conference calling services, and hopes it can uniquely position itself in the expanding conferencing markets.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the audioconferencing systems market, the Company's competitors include Polycom, ASPI Digital, SoundGear, and other companies that offer both tabletop and installed systems. While Gentner owns the greatest portion of the installed segment of the market, Polycom owns the largest portion of the tabletop portion of the market, as well as the majority of the overall audioconferencing systems market. In the videoconferencing systems market, the Company's primary competitors include Polycom, Tandberg, PictureTel, and Sony. In the conferencing services market, the Company's competitors include large Interexchange Carriers, including AT&amp;T, Global Crossing, Sprint, and WorldCom, as well as independent service providers. Many competitors in each market have substantial financial resources and production, marketing, engineering and other capabilities with which to develop, manufacture, market and sell their products. In addition, there is potential for new companies to enter theses markets with new products and services competitive with those of the Company.</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the broadcast market, the Company has several competitors in each of its product lines. There is not, however, any single competitor who directly competes with the Company in all such product lines. Although some of the Company's competitors are smaller in terms of annual revenues and capitalization, such competitors usually focus on a single product line. They can therefore devote their resources to products that are directly competitive with, and which may adversely impact sales of, the Company's products. However, the Company's name is well known with respect to its products. The Company believes that this advantage, coupled with the Company's size, will help it to preserve and increase its market share. However, there can be no assurance that the Company will be able to compete successfully or that competition will not have a material adverse effect on the Company's results of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highly committed to research and development. The Company views its investment in research and development as a key ingredient to long-term business success. The Company's research and development expenditures were $2,502,169 in fiscal 2001, $1,270,819 in fiscal 2000 and $1,194,686 in fiscal 1999.</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continually developing new products and services. Current research and development efforts are focused on the audioconferencing products, videoconferencing products, sound reinforcement products, broadcast telephone interface products and assistive listening system products. The Company also invests resources in refining existing products. Moreover, the Company continues to allocate resources to obtain and maintain product regulatory compliance, both domestically and internationally.</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core technological competencies include many areas of telecommunications, including telephone echo cancellation and acoustic echo cancellation. The Company's capability to use Digital Signal Processing (DSP) technology to perform audio processing operations is also a core competency. This technology is critical to the performance of the Company's products.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maintains an internal computer aided design (CAD) team. This team creates the necessary electrical schematics, printed circuit board designs, mechanical designs, and manufacturing documentation to support the research and development efforts. The Company's CAD and product design teams use networked computing systems and sophisticated software programs to facilitate all aspects of product development.</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believes that ongoing development of its core technological competencies is vitally important to future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and Proprietary Rights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Trade secrets, proprietary information, and technical know-how are important to the Company's scientific and commercial success. The Company currently relies primarily on a combination of trade secrets and nondisclosure agreements to establish and protect its proprietary rights in its products. Although the Company continues to take appropriate measures to protect the proprietary rights in its products, there can be no assurance that these measures will be successful. In addition, the laws of certain foreign countries may not protect its intellectual property to the same extent as the laws of the United States.</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holds U.S. patent number 6,173,059 B1, which deals with technology in the Gentner ClearOne(R) conference phone.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holds federal registered servicemarks for 1-800 LETS MEET(R), GENTNER CONFERENCE CALL(R), GENTNER COURT CONFERENCE(R), PERFECT COMMUNICATION THROUGH TECHNOLOGY, SERVICE AND EDUCATION(R), and WE PUT THE WORLD ON SPEAKING TERMS(R). The Company holds federal registered trademarks for GENTNER(R), "GENTNER(R)" (as both the name and logo), AUDIO PERFECT(R), CLEARONE(R), "C O(R)" (logo), DISTRIBUTED ECHO CANCELLATION(R), and DISTRIBUTED ECHO CANCELLATION (D.E.C.)(R). In addition to these registered servicemarks and trademarks, the Company has federal applications pending for the following trademarks: VTM(TM), VVD(TM), and XAP(TM). The Company also has federal applications pending for the following servicemarks: EXPRESS CONFERENCESM, and INSTANT ACCESSSM.</w:t>
      </w:r>
    </w:p>
    <w:p>
      <w:pPr>
        <w:spacing w:after="0" w:line="18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holds the following international trademarks in Europe: GENTNER(R) and "GENTNER(R)" (as both the name and logo). The Company also has applications pending for the following trademarks: PERFECT COMMUNICATION THROUGH TECHNOLOGY, SERVICE, AND EDUCATION(TM) in Europe; GENTNER(R) and CLEARONE(R) in Canada; and GENTNER(R) and CLEARONE(R) in Brazil.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designs and manufactures its equipment in accordance with the technical design standards of the Federal Communications Commission (FCC) Part 15 and Part 68. Part 15 of the FCC Rules governs the levels of electromagnetic radiation emanating from commercial computing equipment. The Company endeavors to conform all of its products covered by Part 15 of the FCC Rules based on testing performed at a FCC approved testing facility. Part 68 of the FCC Rules sets forth standards for telephone equipment that are intended to be connected to the Public Switch Telephone Network (PSTN) used within the United States. The Company's applicable telecommunications products are tested by an independent testing laboratory and are registered by the FCC.</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also designs and manufactures its equipment pursuant to industry product safety standards. The Canadian Standards Association (CSA), an approved Nationally Recognized Testing Laboratory (NRTL) under the direction of the Occupational Safety and Health Administration (OSHA), tests all products and performs quarterly audits for continuing compliance with applicable safety standards.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Several of the Company's products are currently registered for sale in various international markets. The Company must conform to design standards similar to those of the FCC and CSA in each of the foreign countries in which the products are sold.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currently manufactures and/or assembles its products using purchased or leased manufacturing equipment. It is anticipated that the equipment presently being used will continue to be utilized for several years. The Company's manufacturing facility incorporates modern, modular, assembly work stations and work accessories that are designed to enhance the efficiency and quality of the manufacturing process. In March 2000, the Company supplemented its existing manufacturing capacity by adding a second surface-mount assembly line. The new equipment is substantially faster, providing three times the equipment capacity with just one more assembly line. The Company believes that it has sufficient capacity to meet increased demand into fiscal 2002. However, the Company may experience unanticipated demand or constraints on capacity, which could adversely affect the business.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generally purchases its assembly components from distributors, but also buys a limited amount of components directly from local fabricators. Its principal suppliers include Avnet/Marshall, Arrow/Bell, Future Electronics, Precise Metal Products (all located in the United States), and Suntech Circuits (located in Taiwan).</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policy is to have a minimum of two vendor sources. Many of the components utilized are bonded by certain distributors and manufacturers. The bonding process places ordered products on the distributors' shelves until the Company requires the products. The Company is also pursuing a consignment relationship with some of its distributors. These agreements will move inventory to "on-site" vendor stock locations, which will be managed by the vendors. Inventory will be owned by the vendor until such time as needed. Only product used will be charged to the Company. Availability has been limited for certain components. These difficult-to-find components include, but are not limited to, capacitors, memory products, connectors, and microprocessors. The Company has been successful at locating an adequate supply of components to prevent production stoppage, but these scarce components are costing more, thus putting</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9" w:name="page10"/>
    <w:bookmarkEnd w:id="9"/>
    <w:p>
      <w:pPr>
        <w:jc w:val="both"/>
        <w:ind w:right="3239"/>
        <w:spacing w:after="0" w:line="235" w:lineRule="auto"/>
        <w:rPr>
          <w:sz w:val="20"/>
          <w:szCs w:val="20"/>
          <w:color w:val="auto"/>
        </w:rPr>
      </w:pPr>
      <w:r>
        <w:rPr>
          <w:rFonts w:ascii="Courier New" w:cs="Courier New" w:eastAsia="Courier New" w:hAnsi="Courier New"/>
          <w:sz w:val="15"/>
          <w:szCs w:val="15"/>
          <w:color w:val="auto"/>
        </w:rPr>
        <w:t>pressure on product margins. Disruptions in supply or significant increases in components costs from these vendors would have an adverse effect on the Company's operations.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ALS products, as well as the ClearOne(TM) conference phone product, are manufactured in Taiwan and shipped to the Company's facility for sale, ready for delivery to its customers.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During fiscal 2001, the Company's videoconferencing products were manufactured by Viseon Video, Inc., formerly known as RSI Systems, Inc., in Minneapolis, Minnesota and shipped to the Company's facility, ready for delivery to its customers.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upgraded its real-time computer system in May 2000. The new program is a graphical version of the previous program and provides a more user-friendly interface, increased capabilities, and greater access to management data. The software is covered under a maintenance contract that allows for new version upgrades. The Company has developed an extensive software back-up system that provides for daily back-ups housed in a fireproof safe as well as biweekly back-ups in an off-site storage facility.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and Information Systems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become heavily reliant on its telecommunications and information systems network in order to conduct its day-to-day operations. Failure of the network for an extended amount of time could be detrimental to the Company's ongoing business (see "Factors that May Affect Future Results"). As such, the Company is establishing, and will continue to develop, an infrastructure that can support and enhance growth, reduce down-time, and improve operational efficiencies. Network features aimed at these objectives include pre-wiring of the Company's building for ease of changes and new installations; several different back-up power sources to guard against power failure; redundant equipment and circuit cards for some equipment; alarm systems and monitoring equipment; and a temperature controlled network room. In addition, the Company backs up its electronic data daily and stores the backup information off-site in case of catastrophic failure.</w:t>
      </w:r>
    </w:p>
    <w:p>
      <w:pPr>
        <w:spacing w:after="0" w:line="33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also has redundant teleconferencing bridging equipment that will enable the Company to continue to provide bridging services in the event of equipment failure. In addition, the Company has established relationships with other teleconferencing service providers to outsource the Company's teleconferencing business in the event of equipment failure.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Especially noteworthy is that as revenues from the Services segment grow, the network structure must expand at the same rate. The Company has a fully scalable network sufficient to accommodate projected future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by Geographic Region</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See the consolidated financial statements, and footnote 13 thereto, for a discussion of financial information by geographic region.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June 30, 2001, the Company had 193 employees, 188 of which were employed on a full-time basis. None of the Company's employees are subject to a collective bargaining agreement.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All of the Company's U.S. operations, including its executive offices, conference call service, product sales, research and development, and manufacturing, and warehousing, are conducted in a 57,000 square-foot facility located south of Salt Lake City. The Company leases this facility under an agreement that expires in October 2006. The Company believes the facility will be reasonably adequate to meet its needs for the next twelve months.</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Gentner Communications EuMEA, GmbH leases an office in Nuremberg, Germany for its operations which consists of 191 square meters and is under an agreement that expires in April 2003.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is from time to time subject to claims and suits arising in the ordinary course of business. In the Company's opinion, the ultimate resolution of these matters will not have a material adverse effect on its financial position, results of operations or liquidity.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No matter was submitted to a vote of security holders of the Company during the fiscal year ended June 30, 2001.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85" w:right="1440" w:bottom="1440" w:gutter="0" w:footer="0" w:header="0"/>
        </w:sectPr>
      </w:pPr>
    </w:p>
    <w:bookmarkStart w:id="11" w:name="page12"/>
    <w:bookmarkEnd w:id="11"/>
    <w:p>
      <w:pPr>
        <w:ind w:left="324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COMMON EQUITY AND RELATED STOCKHOLDER MATTERS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Since March 31, 2000, the Company's common stock has been traded on the NASDAQ National Market under the symbol "GTNR." Prior to that date, the Company's stock traded on the NASDAQ Small Cap Market. The following table sets forth the high and low bid quotations for the common stock for the last two fiscal years.</w:t>
      </w:r>
    </w:p>
    <w:p>
      <w:pPr>
        <w:spacing w:after="0" w:line="158"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High</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16.44</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15.69</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14.30</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w:t>
            </w:r>
          </w:p>
        </w:tc>
      </w:tr>
      <w:tr>
        <w:trPr>
          <w:trHeight w:val="336"/>
        </w:trPr>
        <w:tc>
          <w:tcPr>
            <w:tcW w:w="22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spacing w:after="0"/>
              <w:rPr>
                <w:sz w:val="24"/>
                <w:szCs w:val="2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High</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17.88</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24.38</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20.25</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w:t>
            </w:r>
          </w:p>
        </w:tc>
      </w:tr>
    </w:tbl>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above inter-dealer quotations were obtained from the National Association of Securities Dealers (NASD), do not reflect markups, markdowns, or commissions, and may not represent actual transactions.</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As of September 1, 2001, there were approximately 7,000 holders of common stock of the Company.</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does not pay a cash dividend and does not anticipate doing so in the foreseeable future. Currently, the Company's line of credit arrangement prohibits the payment of dividends. The Company intends to retain earnings for future capital requirements, growth and product development.</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May 2000, the Company entered into an agreement to purchase substantially all of the assets of ClearOne, Inc. for $1.7 million in cash and 129,871 shares of unregistered Company Common Stock valued at $15.40 per share. The acquisition was consummated July 5, 2000. The issuance of Common Stock to ClearOne, Inc. was exempt from registration under the Securities Act of 1933, as amended, as a private offering made pursuant to the Section 4(2) of such act.</w:t>
      </w:r>
    </w:p>
    <w:p>
      <w:pPr>
        <w:spacing w:after="0" w:line="32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following selected financial data has been derived from the Gentner's audited Consolidated Financial Statements. The information set forth below is not necessarily indicative of results of future operations, and should be read in conjunction with "Management's Discussion and Analysis or Plan of Operation" and the consolidated financial statements and related notes thereto included elsewhere in this Form 10-K.</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presentation of 1997 and 1998 financial data has been modified from that shown in the audited financial statements for those years in order to reflect results of continuing and discontinued operations separately.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8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6040" w:type="dxa"/>
            <w:vAlign w:val="bottom"/>
            <w:gridSpan w:val="3"/>
          </w:tcPr>
          <w:p>
            <w:pPr>
              <w:ind w:left="1940"/>
              <w:spacing w:after="0"/>
              <w:rPr>
                <w:sz w:val="20"/>
                <w:szCs w:val="20"/>
                <w:color w:val="auto"/>
              </w:rPr>
            </w:pPr>
            <w:r>
              <w:rPr>
                <w:rFonts w:ascii="Courier New" w:cs="Courier New" w:eastAsia="Courier New" w:hAnsi="Courier New"/>
                <w:sz w:val="15"/>
                <w:szCs w:val="15"/>
                <w:color w:val="auto"/>
              </w:rPr>
              <w:t>SELECTED CONSOLIDATED FINANCIAL DATA</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0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Years Ended June 30,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4"/>
                <w:szCs w:val="14"/>
                <w:color w:val="auto"/>
              </w:rPr>
            </w:pPr>
          </w:p>
        </w:tc>
        <w:tc>
          <w:tcPr>
            <w:tcW w:w="126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6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$ 39,878,405</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$ 28,118,413</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$ 20,268,102</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$ 15,159,842</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$ 11,825,570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Costs of goods sold</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16,503,062</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11,008,323</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8,907,754</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7,434,240</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6,161,013</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7,753,292</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6,165,917</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4,313,639</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3,189,014</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3,131,723</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4,648,999</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3,132,125</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2,544,665</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2,470,949</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2,006,999</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2,502,169</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1,270,819</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1,194,686</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864,276</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790,082</w:t>
            </w:r>
          </w:p>
        </w:tc>
      </w:tr>
      <w:tr>
        <w:trPr>
          <w:trHeight w:val="168"/>
        </w:trPr>
        <w:tc>
          <w:tcPr>
            <w:tcW w:w="46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8,470,883</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6,541,229</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3,307,358</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1,201,361</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(264,247)</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373,147</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179,336</w:t>
            </w:r>
          </w:p>
        </w:tc>
        <w:tc>
          <w:tcPr>
            <w:tcW w:w="5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(78,112)</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(213,707)</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(206,622)</w:t>
            </w:r>
          </w:p>
        </w:tc>
      </w:tr>
      <w:tr>
        <w:trPr>
          <w:trHeight w:val="168"/>
        </w:trPr>
        <w:tc>
          <w:tcPr>
            <w:tcW w:w="46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8,844,030</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6,720,565</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3,229,246</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987,654</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(492,869)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from income taxes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3,318,845</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2,418,823</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1,208,900</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26,694</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22,091</w:t>
            </w:r>
          </w:p>
        </w:tc>
      </w:tr>
      <w:tr>
        <w:trPr>
          <w:trHeight w:val="168"/>
        </w:trPr>
        <w:tc>
          <w:tcPr>
            <w:tcW w:w="46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5,525,185</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4,301,742</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2,020,346</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960,960</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(492,960)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discontinued operations,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of applicable taxes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737,280</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426,591</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524,125</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443,489</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120,062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disposal of business segment,</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of applicable taxes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1,220,024</w:t>
            </w:r>
          </w:p>
        </w:tc>
        <w:tc>
          <w:tcPr>
            <w:tcW w:w="3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7,482,489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4,728,333</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2,544,471</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1,404,449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(372,898)</w:t>
            </w:r>
          </w:p>
        </w:tc>
      </w:tr>
      <w:tr>
        <w:trPr>
          <w:trHeight w:val="168"/>
        </w:trPr>
        <w:tc>
          <w:tcPr>
            <w:tcW w:w="46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from continuing operations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0.25</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Diluted earnings (loss) from continuing operations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0.24</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from discontinued operations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0.06</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from discontinued operations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0.06</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0.31</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0.30</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8,593,510</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8,269,941</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8,080,536</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7,679,985</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7,662,494</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9,015,644</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8,740,209</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8,468,884</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7,960,252</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7,662,494</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Financial data:</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$ 19,411,029</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$ 14,816,321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9,281,753</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5,828,365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4,551,184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3,696,615</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3,050,349</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2,125,959</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2,320,336</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2,493,287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27,597,623</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17,920,531</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11,519,414</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8,311,740</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7,335,854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 maturities</w:t>
            </w:r>
          </w:p>
        </w:tc>
        <w:tc>
          <w:tcPr>
            <w:tcW w:w="2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402,584</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687,274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leases, net of current maturities</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48,227</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205,530</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455,389</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752,728</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784,354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24,501,510</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14,753,221</w:t>
            </w:r>
          </w:p>
        </w:tc>
        <w:tc>
          <w:tcPr>
            <w:tcW w:w="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8,352,359</w:t>
            </w:r>
          </w:p>
        </w:tc>
        <w:tc>
          <w:tcPr>
            <w:tcW w:w="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5,237,006</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3,801,596</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OR PLAN OF OPERATION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4540"/>
        <w:spacing w:after="0" w:line="254" w:lineRule="auto"/>
        <w:rPr>
          <w:sz w:val="20"/>
          <w:szCs w:val="20"/>
          <w:color w:val="auto"/>
        </w:rPr>
      </w:pPr>
      <w:r>
        <w:rPr>
          <w:rFonts w:ascii="Courier New" w:cs="Courier New" w:eastAsia="Courier New" w:hAnsi="Courier New"/>
          <w:sz w:val="14"/>
          <w:szCs w:val="14"/>
          <w:color w:val="auto"/>
        </w:rPr>
        <w:t>The Company develops, manufactures, markets and distributes products and services for the conferencing equipment, conferencing services, and broadcast markets. In fiscal year 2001, the Company changed its reportable operating segments to reflect how it evaluates its operating performance and allocates resources. Prior to fiscal year 2001, the Company's reportable segments included RFM/Broadcast, Conferencing Products, Conferencing Services and Other. As of April 12, 2001, the Company sold the assets of the remote control portion of the RFM/Broadcast division. Subsequent to the disposal, the Company reports two segments - Products and Services. In the Product segment, the Company has applied its core digital technology to the development of products for conferencing, sound reinforcement, assistive listening and broadcast applications. During fiscal 2001, the Company introduced the PSR1212, the XAP(TM) 800, the ClearOne(R) conference phone, and the VRC2500, which contributed to a 27% increase in product-based revenues compared to fiscal 2000. In the Service segment, the Company focused on increasing sales by adding to its direct sales force, and by engaging new resellers and new private label accounts. These efforts resulted in a 98% increase in service-based revenues in fiscal 2001 compared to fiscal 2000. The Services segment includes revenues and expenses from the conferencing service bureau called 1-800 LETS MEET(R).</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jc w:val="both"/>
        <w:ind w:right="4540"/>
        <w:spacing w:after="0" w:line="255" w:lineRule="auto"/>
        <w:rPr>
          <w:sz w:val="20"/>
          <w:szCs w:val="20"/>
          <w:color w:val="auto"/>
        </w:rPr>
      </w:pPr>
      <w:r>
        <w:rPr>
          <w:rFonts w:ascii="Courier New" w:cs="Courier New" w:eastAsia="Courier New" w:hAnsi="Courier New"/>
          <w:sz w:val="14"/>
          <w:szCs w:val="14"/>
          <w:color w:val="auto"/>
        </w:rPr>
        <w:t>On April 12, 2001, the Company sold the assets of the remote control portion of the RFM/Broadcast division to Burk Technology, Inc. of Littleton, MA ("Burk") for $3.2 million, including $750,000 in cash at closing, and $1.75 million in the form of a seven (7) year promissory note, with interest at the rate of nine percent (9%), secured by a subordinate security interest in the personal property of Burk. The gain associated with the note receivable is recognizable for book purposes but not for tax purposes until cash is received. As such, the Company has established a deferred tax liability for $511,000 in connection with this deferred gain. In addition, up to $700,000 more is payable by Burk as a</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40"/>
          </w:cols>
          <w:pgMar w:left="220" w:top="953" w:right="139" w:bottom="12" w:gutter="0" w:footer="0" w:header="0"/>
        </w:sectPr>
      </w:pPr>
    </w:p>
    <w:bookmarkStart w:id="13" w:name="page14"/>
    <w:bookmarkEnd w:id="13"/>
    <w:p>
      <w:pPr>
        <w:jc w:val="both"/>
        <w:ind w:right="3239"/>
        <w:spacing w:after="0" w:line="236" w:lineRule="auto"/>
        <w:rPr>
          <w:sz w:val="20"/>
          <w:szCs w:val="20"/>
          <w:color w:val="auto"/>
        </w:rPr>
      </w:pPr>
      <w:r>
        <w:rPr>
          <w:rFonts w:ascii="Courier New" w:cs="Courier New" w:eastAsia="Courier New" w:hAnsi="Courier New"/>
          <w:sz w:val="15"/>
          <w:szCs w:val="15"/>
          <w:color w:val="auto"/>
        </w:rPr>
        <w:t>commission over a period of up to seven years. The commission is based upon future net sales of Burk over base sales established within the agreement. This amount will be recognized as received. The Company retained remote control related inventory in the amount of $70,000 and zero liabilities at June 30, 2001. The Company realized a gain on the sale of $1,220,024, net of applicable income taxes of $725,788.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operating results of the discontinued operations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Year Ended June 30,</w:t>
            </w:r>
          </w:p>
        </w:tc>
        <w:tc>
          <w:tcPr>
            <w:tcW w:w="8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Net sales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4"/>
              </w:rPr>
              <w:t>$ 2,369,054</w:t>
            </w:r>
          </w:p>
        </w:tc>
        <w:tc>
          <w:tcPr>
            <w:tcW w:w="11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4"/>
              </w:rPr>
              <w:t>$ 2,753,529</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$ 2,722,224</w:t>
            </w: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806,581</w:t>
            </w:r>
          </w:p>
        </w:tc>
        <w:tc>
          <w:tcPr>
            <w:tcW w:w="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924,488</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969,933</w:t>
            </w:r>
          </w:p>
        </w:tc>
      </w:tr>
      <w:tr>
        <w:trPr>
          <w:trHeight w:val="168"/>
        </w:trPr>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281,852</w:t>
            </w:r>
          </w:p>
        </w:tc>
        <w:tc>
          <w:tcPr>
            <w:tcW w:w="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597,835</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616,101</w:t>
            </w: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104,736</w:t>
            </w:r>
          </w:p>
        </w:tc>
        <w:tc>
          <w:tcPr>
            <w:tcW w:w="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550,837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300,265</w:t>
            </w:r>
          </w:p>
        </w:tc>
      </w:tr>
      <w:tr>
        <w:trPr>
          <w:trHeight w:val="168"/>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1,175,885</w:t>
            </w:r>
          </w:p>
        </w:tc>
        <w:tc>
          <w:tcPr>
            <w:tcW w:w="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680,369</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835,925</w:t>
            </w:r>
          </w:p>
        </w:tc>
      </w:tr>
      <w:tr>
        <w:trPr>
          <w:trHeight w:val="168"/>
        </w:trPr>
        <w:tc>
          <w:tcPr>
            <w:tcW w:w="25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(438,605)</w:t>
            </w:r>
          </w:p>
        </w:tc>
        <w:tc>
          <w:tcPr>
            <w:tcW w:w="18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(253,778)</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(311,800)</w:t>
            </w:r>
          </w:p>
        </w:tc>
      </w:tr>
      <w:tr>
        <w:trPr>
          <w:trHeight w:val="168"/>
        </w:trPr>
        <w:tc>
          <w:tcPr>
            <w:tcW w:w="46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Gain on disposal of business segment, net of taxes</w:t>
            </w: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1,220,024</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Net income from discontinued operations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$ 1,957,304</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426,591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524,125</w:t>
            </w:r>
          </w:p>
        </w:tc>
      </w:tr>
      <w:tr>
        <w:trPr>
          <w:trHeight w:val="168"/>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gridSpan w:val="5"/>
          </w:tcPr>
          <w:p>
            <w:pPr>
              <w:spacing w:after="0"/>
              <w:rPr>
                <w:sz w:val="20"/>
                <w:szCs w:val="20"/>
                <w:color w:val="auto"/>
              </w:rPr>
            </w:pPr>
            <w:r>
              <w:rPr>
                <w:rFonts w:ascii="Courier New" w:cs="Courier New" w:eastAsia="Courier New" w:hAnsi="Courier New"/>
                <w:sz w:val="15"/>
                <w:szCs w:val="15"/>
                <w:color w:val="auto"/>
                <w:w w:val="96"/>
              </w:rPr>
              <w:t>Basic earnings per share from</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0.23</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39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Diluted earnings per share from</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0.22</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673"/>
        </w:trPr>
        <w:tc>
          <w:tcPr>
            <w:tcW w:w="3980" w:type="dxa"/>
            <w:vAlign w:val="bottom"/>
            <w:gridSpan w:val="6"/>
          </w:tcPr>
          <w:p>
            <w:pPr>
              <w:spacing w:after="0"/>
              <w:rPr>
                <w:sz w:val="20"/>
                <w:szCs w:val="20"/>
                <w:color w:val="auto"/>
              </w:rPr>
            </w:pPr>
            <w:r>
              <w:rPr>
                <w:rFonts w:ascii="Courier New" w:cs="Courier New" w:eastAsia="Courier New" w:hAnsi="Courier New"/>
                <w:sz w:val="15"/>
                <w:szCs w:val="15"/>
                <w:color w:val="auto"/>
                <w:w w:val="97"/>
              </w:rPr>
              <w:t>Consolidated Results of Continuing Operations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520" w:type="dxa"/>
            <w:vAlign w:val="bottom"/>
            <w:gridSpan w:val="10"/>
          </w:tcPr>
          <w:p>
            <w:pPr>
              <w:spacing w:after="0"/>
              <w:rPr>
                <w:sz w:val="20"/>
                <w:szCs w:val="20"/>
                <w:color w:val="auto"/>
              </w:rPr>
            </w:pPr>
            <w:r>
              <w:rPr>
                <w:rFonts w:ascii="Courier New" w:cs="Courier New" w:eastAsia="Courier New" w:hAnsi="Courier New"/>
                <w:sz w:val="15"/>
                <w:szCs w:val="15"/>
                <w:color w:val="auto"/>
              </w:rPr>
              <w:t>Year Ended June 30, 2001 Compared to Year Ended June 30, 2000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5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020" w:type="dxa"/>
            <w:vAlign w:val="bottom"/>
            <w:gridSpan w:val="4"/>
          </w:tcPr>
          <w:p>
            <w:pPr>
              <w:spacing w:after="0"/>
              <w:rPr>
                <w:sz w:val="20"/>
                <w:szCs w:val="20"/>
                <w:color w:val="auto"/>
              </w:rPr>
            </w:pPr>
            <w:r>
              <w:rPr>
                <w:rFonts w:ascii="Courier New" w:cs="Courier New" w:eastAsia="Courier New" w:hAnsi="Courier New"/>
                <w:sz w:val="15"/>
                <w:szCs w:val="15"/>
                <w:color w:val="auto"/>
              </w:rPr>
              <w:t>Sales from continuing</w:t>
            </w:r>
          </w:p>
        </w:tc>
        <w:tc>
          <w:tcPr>
            <w:tcW w:w="5120" w:type="dxa"/>
            <w:vAlign w:val="bottom"/>
            <w:gridSpan w:val="10"/>
          </w:tcPr>
          <w:p>
            <w:pPr>
              <w:jc w:val="right"/>
              <w:ind w:right="67"/>
              <w:spacing w:after="0"/>
              <w:rPr>
                <w:sz w:val="20"/>
                <w:szCs w:val="20"/>
                <w:color w:val="auto"/>
              </w:rPr>
            </w:pPr>
            <w:r>
              <w:rPr>
                <w:rFonts w:ascii="Courier New" w:cs="Courier New" w:eastAsia="Courier New" w:hAnsi="Courier New"/>
                <w:sz w:val="15"/>
                <w:szCs w:val="15"/>
                <w:color w:val="auto"/>
                <w:w w:val="96"/>
              </w:rPr>
              <w:t>operations for the year ended June 30, 2001 increased 42%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to $39,878,405</w:t>
            </w:r>
          </w:p>
        </w:tc>
        <w:tc>
          <w:tcPr>
            <w:tcW w:w="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from</w:t>
            </w:r>
          </w:p>
        </w:tc>
        <w:tc>
          <w:tcPr>
            <w:tcW w:w="25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$28,118,413 in fiscal 2000.</w:t>
            </w:r>
          </w:p>
        </w:tc>
        <w:tc>
          <w:tcPr>
            <w:tcW w:w="284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This dollar increase is split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evenly between product sales and services sales.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3180" w:type="dxa"/>
            <w:vAlign w:val="bottom"/>
            <w:gridSpan w:val="5"/>
          </w:tcPr>
          <w:p>
            <w:pPr>
              <w:spacing w:after="0"/>
              <w:rPr>
                <w:sz w:val="20"/>
                <w:szCs w:val="20"/>
                <w:color w:val="auto"/>
              </w:rPr>
            </w:pPr>
            <w:r>
              <w:rPr>
                <w:rFonts w:ascii="Courier New" w:cs="Courier New" w:eastAsia="Courier New" w:hAnsi="Courier New"/>
                <w:sz w:val="15"/>
                <w:szCs w:val="15"/>
                <w:color w:val="auto"/>
              </w:rPr>
              <w:t>revenues grew 27% in fiscal 2001 to</w:t>
            </w:r>
          </w:p>
        </w:tc>
        <w:tc>
          <w:tcPr>
            <w:tcW w:w="1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$28,189,612</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from</w:t>
            </w:r>
          </w:p>
        </w:tc>
        <w:tc>
          <w:tcPr>
            <w:tcW w:w="12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$22,226,504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fiscal 2000.</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This</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increase</w:t>
            </w:r>
          </w:p>
        </w:tc>
        <w:tc>
          <w:tcPr>
            <w:tcW w:w="17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was mainly due to</w:t>
            </w:r>
          </w:p>
        </w:tc>
        <w:tc>
          <w:tcPr>
            <w:tcW w:w="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continued</w:t>
            </w:r>
          </w:p>
        </w:tc>
        <w:tc>
          <w:tcPr>
            <w:tcW w:w="10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success of</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the Audio</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14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8"/>
              </w:rPr>
              <w:t>Perfect(R) product line, as well as the introduction of new products,</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including</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960" w:type="dxa"/>
            <w:vAlign w:val="bottom"/>
            <w:gridSpan w:val="11"/>
          </w:tcPr>
          <w:p>
            <w:pPr>
              <w:spacing w:after="0" w:line="168" w:lineRule="exact"/>
              <w:rPr>
                <w:sz w:val="20"/>
                <w:szCs w:val="20"/>
                <w:color w:val="auto"/>
              </w:rPr>
            </w:pPr>
            <w:r>
              <w:rPr>
                <w:rFonts w:ascii="Courier New" w:cs="Courier New" w:eastAsia="Courier New" w:hAnsi="Courier New"/>
                <w:sz w:val="15"/>
                <w:szCs w:val="15"/>
                <w:color w:val="auto"/>
                <w:w w:val="97"/>
              </w:rPr>
              <w:t>the  PSR1212  and the  XAP(TM)  800.  The Audio  Perfect(R)  product</w:t>
            </w:r>
          </w:p>
        </w:tc>
        <w:tc>
          <w:tcPr>
            <w:tcW w:w="18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line began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140" w:type="dxa"/>
            <w:vAlign w:val="bottom"/>
            <w:gridSpan w:val="14"/>
          </w:tcPr>
          <w:p>
            <w:pPr>
              <w:spacing w:after="0" w:line="168" w:lineRule="exact"/>
              <w:rPr>
                <w:sz w:val="20"/>
                <w:szCs w:val="20"/>
                <w:color w:val="auto"/>
              </w:rPr>
            </w:pPr>
            <w:r>
              <w:rPr>
                <w:rFonts w:ascii="Courier New" w:cs="Courier New" w:eastAsia="Courier New" w:hAnsi="Courier New"/>
                <w:sz w:val="15"/>
                <w:szCs w:val="15"/>
                <w:color w:val="auto"/>
                <w:w w:val="98"/>
              </w:rPr>
              <w:t>shipping in April of 1998 with the AP800, and also includes the AP10, the AP400,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140" w:type="dxa"/>
            <w:vAlign w:val="bottom"/>
            <w:gridSpan w:val="14"/>
          </w:tcPr>
          <w:p>
            <w:pPr>
              <w:spacing w:after="0" w:line="168" w:lineRule="exact"/>
              <w:rPr>
                <w:sz w:val="20"/>
                <w:szCs w:val="20"/>
                <w:color w:val="auto"/>
              </w:rPr>
            </w:pPr>
            <w:r>
              <w:rPr>
                <w:rFonts w:ascii="Courier New" w:cs="Courier New" w:eastAsia="Courier New" w:hAnsi="Courier New"/>
                <w:sz w:val="15"/>
                <w:szCs w:val="15"/>
                <w:color w:val="auto"/>
                <w:w w:val="98"/>
              </w:rPr>
              <w:t>AP Tools, the AP IR Remote, and the APV200-IP.  Examples of typical applications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using the Company's products are corporate  conference rooms,</w:t>
            </w:r>
          </w:p>
        </w:tc>
        <w:tc>
          <w:tcPr>
            <w:tcW w:w="16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distance learning</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rooms, and courtrooms.</w:t>
            </w:r>
          </w:p>
        </w:tc>
        <w:tc>
          <w:tcPr>
            <w:tcW w:w="39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The Company has realized more of the revenue</w:t>
            </w:r>
          </w:p>
        </w:tc>
        <w:tc>
          <w:tcPr>
            <w:tcW w:w="18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associated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with such</w:t>
            </w:r>
          </w:p>
        </w:tc>
        <w:tc>
          <w:tcPr>
            <w:tcW w:w="12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4"/>
              </w:rPr>
              <w:t>applications</w:t>
            </w:r>
          </w:p>
        </w:tc>
        <w:tc>
          <w:tcPr>
            <w:tcW w:w="26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as a result of this expanded</w:t>
            </w:r>
          </w:p>
        </w:tc>
        <w:tc>
          <w:tcPr>
            <w:tcW w:w="1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product line.</w:t>
            </w:r>
          </w:p>
        </w:tc>
        <w:tc>
          <w:tcPr>
            <w:tcW w:w="18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During the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140" w:type="dxa"/>
            <w:vAlign w:val="bottom"/>
            <w:gridSpan w:val="14"/>
          </w:tcPr>
          <w:p>
            <w:pPr>
              <w:spacing w:after="0" w:line="168" w:lineRule="exact"/>
              <w:rPr>
                <w:sz w:val="20"/>
                <w:szCs w:val="20"/>
                <w:color w:val="auto"/>
              </w:rPr>
            </w:pPr>
            <w:r>
              <w:rPr>
                <w:rFonts w:ascii="Courier New" w:cs="Courier New" w:eastAsia="Courier New" w:hAnsi="Courier New"/>
                <w:sz w:val="15"/>
                <w:szCs w:val="15"/>
                <w:color w:val="auto"/>
                <w:w w:val="98"/>
              </w:rPr>
              <w:t>second quarter of fiscal 2001, the Company began shipping the PSR1212, a digital</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140" w:type="dxa"/>
            <w:vAlign w:val="bottom"/>
            <w:gridSpan w:val="14"/>
          </w:tcPr>
          <w:p>
            <w:pPr>
              <w:spacing w:after="0" w:line="168" w:lineRule="exact"/>
              <w:rPr>
                <w:sz w:val="20"/>
                <w:szCs w:val="20"/>
                <w:color w:val="auto"/>
              </w:rPr>
            </w:pPr>
            <w:r>
              <w:rPr>
                <w:rFonts w:ascii="Courier New" w:cs="Courier New" w:eastAsia="Courier New" w:hAnsi="Courier New"/>
                <w:sz w:val="15"/>
                <w:szCs w:val="15"/>
                <w:color w:val="auto"/>
                <w:w w:val="98"/>
              </w:rPr>
              <w:t>matrix mixer for the sound reinforcement marketplace.  During the fourth quarter</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of fiscal 2001, the company</w:t>
            </w:r>
          </w:p>
        </w:tc>
        <w:tc>
          <w:tcPr>
            <w:tcW w:w="342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introduced its next generation  audio</w:t>
            </w:r>
          </w:p>
        </w:tc>
        <w:tc>
          <w:tcPr>
            <w:tcW w:w="11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product--the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8"/>
              </w:rPr>
              <w:t>XAP(TM) 800. Product revenues also include telephone interface</w:t>
            </w:r>
          </w:p>
        </w:tc>
        <w:tc>
          <w:tcPr>
            <w:tcW w:w="16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products,  which</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are used to connect</w:t>
            </w:r>
          </w:p>
        </w:tc>
        <w:tc>
          <w:tcPr>
            <w:tcW w:w="22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telephone  line audio to</w:t>
            </w:r>
          </w:p>
        </w:tc>
        <w:tc>
          <w:tcPr>
            <w:tcW w:w="11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broadcast</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audio</w:t>
            </w:r>
          </w:p>
        </w:tc>
        <w:tc>
          <w:tcPr>
            <w:tcW w:w="12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equipment,</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and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assistive  listening  products,  which  provide</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enhanced</w:t>
            </w:r>
          </w:p>
        </w:tc>
        <w:tc>
          <w:tcPr>
            <w:tcW w:w="2060" w:type="dxa"/>
            <w:vAlign w:val="bottom"/>
            <w:gridSpan w:val="5"/>
          </w:tcPr>
          <w:p>
            <w:pPr>
              <w:jc w:val="right"/>
              <w:ind w:right="67"/>
              <w:spacing w:after="0" w:line="168" w:lineRule="exact"/>
              <w:rPr>
                <w:sz w:val="20"/>
                <w:szCs w:val="20"/>
                <w:color w:val="auto"/>
              </w:rPr>
            </w:pPr>
            <w:r>
              <w:rPr>
                <w:rFonts w:ascii="Courier New" w:cs="Courier New" w:eastAsia="Courier New" w:hAnsi="Courier New"/>
                <w:sz w:val="15"/>
                <w:szCs w:val="15"/>
                <w:color w:val="auto"/>
              </w:rPr>
              <w:t>audio for people with</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hearing difficulties.</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Services segment, which is also known as 1-800 LETS MEET(R), experienced sales growth of 98% in fiscal 2001 as compared to fiscal 2000. Service revenues were $11,688,793 in fiscal 2001 as compared to $5,891,909 in fiscal 2000. The Company offers operator-assisted conferencing; on-demand, reservationless conference calling; Webconferencing, and audio and video streaming. The Company attributed the growth in sales to an increased customer base due in part to an increase in sales staff for marketing conference calling services, an increase in resellers selling the Company's services, and an overall increase in market size during the past year. The Company's conference calling service is being marketed not only to corporate clients but also to telephone service providers for resale.</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gross profit margin from continuing operations was 58.6% for fiscal 2001 compared to 60.8% for fiscal 2000. The decrease in gross margins is the result of three factors. First, the Company implemented a blanket purchase order program for its dealers during the third quarter of the fiscal year. This program offers higher discounts off list price in exchange for larger quantity orders. The dealers then have 12 months to take delivery of the product. This program is intended to enable the Company to better predict its manufacturing schedule, expense levels and net revenues. The second factor is increased raw material component costs during the first half of the year. During the latter half of fiscal 2001, the Company began to experience lower pricing on raw material components. The third factor is that the Company's Services segment has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853" w:gutter="0" w:footer="0" w:header="0"/>
        </w:sectPr>
      </w:pPr>
    </w:p>
    <w:bookmarkStart w:id="14" w:name="page15"/>
    <w:bookmarkEnd w:id="14"/>
    <w:p>
      <w:pPr>
        <w:jc w:val="both"/>
        <w:ind w:right="3239"/>
        <w:spacing w:after="0" w:line="234" w:lineRule="auto"/>
        <w:rPr>
          <w:sz w:val="20"/>
          <w:szCs w:val="20"/>
          <w:color w:val="auto"/>
        </w:rPr>
      </w:pPr>
      <w:r>
        <w:rPr>
          <w:rFonts w:ascii="Courier New" w:cs="Courier New" w:eastAsia="Courier New" w:hAnsi="Courier New"/>
          <w:sz w:val="15"/>
          <w:szCs w:val="15"/>
          <w:color w:val="auto"/>
        </w:rPr>
        <w:t>a higher cost-of-goods rate. As this segment becomes a bigger portion of the total revenue, it will create a lower overall gross margin percentage.</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believes that most of the key components required for the production of its products are currently available in sufficient quantities to meet the Company's needs. The Company has experienced long component lead times in the past, but is starting to see moderating lead times on many components. Even though the Company has purchased more of these "longer-lead-time" parts to ensure continued delivery of products, reduction in these inventories will track the reduction of lead times with an undetermined lag time. The Company also continues to focus on locating other sources for raw materials and enhancing vendor relationships to further ensure adequate materials.</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operating expenses increased 41% comparing fiscal 2001 to fiscal 2000. Fiscal 2001 continuing operations expenses were $14,904,460, as compared to $10,568,861 for fiscal 2000.</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Marketing and selling expenses for fiscal 2001 were $7,753,292 as compared to $6,165,917 for the prior year. As a percentage of revenues, marketing and selling expenses decreased to 19.4% in fiscal 2001, compared to 21.9% in fiscal 2000. The year-over-year increase in marketing and selling expenses was primarily due to higher commission expenses resulting from increased sales. Also contributing to the increase were shelving expenses related to retail marketing.</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Product development expenses increased 97% when comparing fiscal 2001 to fiscal 2000. Fiscal 2001 product development expenses were $2,502,169, as compared to $1,270,819 in fiscal 2000. As a percentage of revenues, product development expenses increased to 6.3% in fiscal 2001 up from 4.5% in fiscal 2000. The increase in product development expenses is due to increased salaries associated with additional personnel and development costs associated with new product development.</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increased 48% during fiscal 2001 as compared to fiscal 2000. Fiscal 2001 expenses were $4,648,999 as compared to $3,132,125 in fiscal 2000. General and administrative expenses were 11.7% of revenues in fiscal 2001, compared to 11.1% in fiscal 2000. The increase in dollars was due to a one-time bad debt write off of approximately $400,000 with respect to a single customer who filed bankruptcy during the second quarter. Also associated with this increase were the costs incurred in hiring personnel to support increased sales volume and the infrastructure costs associated with the hiring of such new personnel, as well as costs associated with the Company's Woburn, Massachusetts office, and the amortization expense associated with the goodwill acquired in the ClearOne, Inc. asset purchase.</w:t>
      </w:r>
    </w:p>
    <w:p>
      <w:pPr>
        <w:spacing w:after="0" w:line="180"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Interest income increased 68% in fiscal 2001 as compared to fiscal 2000. This increase is due to the increase in cash and cash equivalents.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Interest expense decreased 35% when comparing fiscal 2001 to fiscal 2000, due to the maturing of certain of the Company's capital leases.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fiscal 2001, income tax expense for continuing operations was calculated at a combined federal and state effective tax rate of approximately 37.5%, resulting in an income tax expense of $3,318,845. This compares to fiscal 2000, where the effective tax rate was 36%, and the income tax expense for continuing operations was $2,418,823.</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Net income from continuing operations for fiscal 2001 was $5,525,185, or an increase of 28%, compared to net income from continuing operations of $4,301,742 for fiscal 2000. These results are due to increased revenues offset by increases in expenses as described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2000 Compared to Year Ended June 30, 1999</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Sales from continuing operations for the year ended June 30, 2000 increased 39% to $28,118,413 from $20,268,102 in fiscal 1999. Product revenues increased 30% by $5,169,724 and service revenues increased 83% by $2,680,587.</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Product revenues experienced a 30% increase when comparing fiscal 2000 to fiscal 1999, increasing from $17,056,780 to $22,226,504. This increase was mainly due to continued success of the Audio Perfect(R) product line, as well as the introduction of new products, including the APV200 IP and the GT1524. The Audio Perfect(R) product line began shipping in April of 1998 with the AP800, and also includes the AP10, the AP400, AP Tools, the AP IR Remote, and the APV200-IP. The Company has realized more of the revenue associated with a room installation as a result of the expanded product line. During the third quarter of fiscal 2000, the Company began shipping the PA870 power amplifier. Product revenues also include telephone interface products and assistive listening products.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jc w:val="both"/>
        <w:ind w:right="3239"/>
        <w:spacing w:after="0" w:line="255" w:lineRule="auto"/>
        <w:rPr>
          <w:sz w:val="20"/>
          <w:szCs w:val="20"/>
          <w:color w:val="auto"/>
        </w:rPr>
      </w:pPr>
      <w:r>
        <w:rPr>
          <w:rFonts w:ascii="Courier New" w:cs="Courier New" w:eastAsia="Courier New" w:hAnsi="Courier New"/>
          <w:sz w:val="14"/>
          <w:szCs w:val="14"/>
          <w:color w:val="auto"/>
        </w:rPr>
        <w:t>The Services segment, which is also known as 1-800 LETS MEET(R), experienced sales growth of 83% in fiscal 2000 as compared to fiscal 1999. Service revenues were $5,891,909 in fiscal 2000 as compared to $3,211,322 in fiscal 1999. The Company attributes this growth in sales to an increased customer base as well as the overall market growth for the year. This increase was also the result of the Company expanding its sales staff, who markets its conference calling service, and the Company's commitment to quality service. The Company's conference calling service is being marketed not only to corporate clients, but also to long distance telephone service providers for resale.</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gross profit margin percentage was 61% in fiscal 2000 and 56% in fiscal 1999. This increase was primarily due to improved margins in conferencing services, improved manufacturing processes, new products with higher gross profit margins, and a different product mix.</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During the second and third quarter of fiscal 2000, the Company conducted a physical inventory of its fixed assets. The Company wrote off gross fixed assets of $1,042,366 and wrote off accumulated depreciation of $1,038,234 during the third quarter to reconcile the books to the physical assets.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operating expenses increased 31% comparing fiscal 2000 to fiscal 1999. Fiscal 2000 continuing operations expenses were $10,568,861, as compared to $8,052,990 for fiscal 1999.</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Marketing and selling expenses increased 43% in fiscal 2000 to $6,165,917 from $4,313,639 the prior year. As a percentage of revenues, marketing and selling expenses were 21.9% in fiscal 2000 compared to 21.2% in fiscal 1999. The year-over-year increase in marketing and selling expenses was primarily due to higher commission expense resulting from increased sales. Also contributing to the increase were higher salary expenses and recruiting costs connected to the hiring of additional marketing and selling personnel.</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Product development expenses increased 6% in fiscal 2000 to $1,270,819 from $1,194,686 in fiscal 1999. As a percentage of revenues, product development expenses were 4.5% in fiscal 2000 as compared to 5.9% in fiscal 1999. The increase in absolute dollars was due to the development expenses for new products and the hiring of personnel.</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increased 23% in fiscal 2000 to $3,132,125 from $2,544,665 in fiscal 1999. General and administrative expenses were 11.1% of revenues in fiscal 2000, compared to 12.6% in fiscal 1999. The increase in absolute dollars was mainly due to hiring of personnel to support sales increases and the infrastructure costs associated with the hiring of such new personnel. Also contributing to the increase was the expense associated with the NASDAQ National Market listing fees.</w:t>
      </w:r>
    </w:p>
    <w:p>
      <w:pPr>
        <w:spacing w:after="0" w:line="17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Interest income increased 159% in fiscal 2000 as compared to fiscal 1999. This increase is due to the increase in cash and cash equivalents.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Interest expense decreased 56% when comparing fiscal 2000 to fiscal 1999, due to the maturing of certain of the Company's leases and the payoff of several notes late in fiscal 1999.</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During fiscal 2000 income tax expense was calculated at a combined federal and state effective tax rate of approximately 36.0%, resulting in a tax expense of $2,418,823 which compares to an effective tax rate of 37.4% and tax expense of $1,208,900 for fiscal 1999.</w:t>
      </w:r>
    </w:p>
    <w:p>
      <w:pPr>
        <w:sectPr>
          <w:pgSz w:w="11900" w:h="16838" w:orient="portrait"/>
          <w:cols w:equalWidth="0" w:num="1">
            <w:col w:w="10239"/>
          </w:cols>
          <w:pgMar w:left="220" w:top="624" w:right="1440" w:bottom="1440" w:gutter="0" w:footer="0" w:header="0"/>
        </w:sectPr>
      </w:pPr>
    </w:p>
    <w:p>
      <w:pPr>
        <w:spacing w:after="0" w:line="17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Net income from continuing increase of 113%, compared $2,020,346 for fiscal 1999.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3" w:lineRule="exact"/>
        <w:rPr>
          <w:sz w:val="20"/>
          <w:szCs w:val="20"/>
          <w:color w:val="auto"/>
        </w:rPr>
      </w:pPr>
    </w:p>
    <w:p>
      <w:pPr>
        <w:ind w:left="180"/>
        <w:spacing w:after="0"/>
        <w:tabs>
          <w:tab w:leader="none" w:pos="52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4"/>
          <w:szCs w:val="14"/>
          <w:color w:val="auto"/>
        </w:rPr>
        <w:t>net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39" w:firstLine="87"/>
        <w:spacing w:after="0" w:line="234" w:lineRule="auto"/>
        <w:rPr>
          <w:sz w:val="20"/>
          <w:szCs w:val="20"/>
          <w:color w:val="auto"/>
        </w:rPr>
      </w:pPr>
      <w:r>
        <w:rPr>
          <w:rFonts w:ascii="Courier New" w:cs="Courier New" w:eastAsia="Courier New" w:hAnsi="Courier New"/>
          <w:sz w:val="15"/>
          <w:szCs w:val="15"/>
          <w:color w:val="auto"/>
        </w:rPr>
        <w:t>for fiscal 2000 was $4,301,742, or an income from continuing operations of</w:t>
      </w:r>
    </w:p>
    <w:p>
      <w:pPr>
        <w:spacing w:after="0" w:line="341" w:lineRule="exact"/>
        <w:rPr>
          <w:sz w:val="20"/>
          <w:szCs w:val="20"/>
          <w:color w:val="auto"/>
        </w:rPr>
      </w:pPr>
    </w:p>
    <w:p>
      <w:pPr>
        <w:sectPr>
          <w:pgSz w:w="11900" w:h="16838" w:orient="portrait"/>
          <w:cols w:equalWidth="0" w:num="3">
            <w:col w:w="2540" w:space="0"/>
            <w:col w:w="880" w:space="80"/>
            <w:col w:w="67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Financial Condition and Liquidity</w:t>
      </w:r>
    </w:p>
    <w:p>
      <w:pPr>
        <w:sectPr>
          <w:pgSz w:w="11900" w:h="16838" w:orient="portrait"/>
          <w:cols w:equalWidth="0" w:num="1">
            <w:col w:w="10239"/>
          </w:cols>
          <w:pgMar w:left="220" w:top="624" w:right="1440" w:bottom="1440" w:gutter="0" w:footer="0" w:header="0"/>
          <w:type w:val="continuous"/>
        </w:sectPr>
      </w:pP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had cash and cash equivalents of $6.9 million on June 30, 2001, which represents an increase of $1.5 million compared to cash and cash equivalents of $5.4 million on and June 30, 2000. Based upon continuing operations, net operating activities provided cash of $3.7 million in fiscal 2001. Net investing activities used cash of $3.2 million primarily due to expenditures for property and equipment and cash paid relating to the ClearOne acquisition. Net cash used for financing activities was $0.1 million. Net cash flow from discontinued operations totaled $1.0 million.</w:t>
      </w:r>
    </w:p>
    <w:p>
      <w:pPr>
        <w:spacing w:after="0" w:line="177"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Company had cash and cash equivalents of $5.4 million and $3.9 million at June 30, 2000 and June 30, 1999, respectively, an increase of $1.5 million. Based on continuing operations, net operating activities provided cash of $2.5</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type w:val="continuous"/>
        </w:sectPr>
      </w:pPr>
    </w:p>
    <w:bookmarkStart w:id="16" w:name="page17"/>
    <w:bookmarkEnd w:id="16"/>
    <w:p>
      <w:pPr>
        <w:jc w:val="both"/>
        <w:ind w:right="3239"/>
        <w:spacing w:after="0" w:line="236" w:lineRule="auto"/>
        <w:rPr>
          <w:sz w:val="20"/>
          <w:szCs w:val="20"/>
          <w:color w:val="auto"/>
        </w:rPr>
      </w:pPr>
      <w:r>
        <w:rPr>
          <w:rFonts w:ascii="Courier New" w:cs="Courier New" w:eastAsia="Courier New" w:hAnsi="Courier New"/>
          <w:sz w:val="15"/>
          <w:szCs w:val="15"/>
          <w:color w:val="auto"/>
        </w:rPr>
        <w:t>million in fiscal 2000, a decrease of $1.3 million from 1999, primarily due to an increase in accounts receivable because of increased credit sales to new customers. Net investing activities used cash of $1.7 million primarily due to expenditures for property and equipment. Net cash provided by financing activities was $0.2 million, primarily due to proceeds from exercise of employee stock options, partially offset by payments of capital lease obligations totaling approximately $216,000. Net cash flows from discontinued operations totaled $0.5 million in 2000.</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an available revolving line of credit of $5.0 million, which is secured by the Company's accounts receivable and inventory. The interest rate on the line of credit is variable (250 basis points over the London Interbank Offered Rate (LIBOR) or prime less 0.25 percent, whichever the Company chooses). The borrowing rate was 6.44 percent on June 30, 2001. There was no outstanding balance on June 30, 2001. The line of credit was renewed as of December 22, 2000 and will expire on December 22, 2001. Borrowings under the line of credit are subject to certain financial and operating covenants. The Company was in compliance with the covenants on June 30, 2001.</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April 2001, the Company announced that its board of directors had approved a stock repurchase program to purchase up to 500,000 shares of the Company's common stock over the following six months. These purchases are discretionary on the part of management and are to be made on the open market or in private transactions. In fiscal 2001, the Company repurchased and subsequently retired 15,300 shares for $191,381.</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Management believes that the Company's working capital, bank line of credit and cash flows from operating activities will be sufficient to meet the Company's operating and capital expenditure requirements for continuing operations for the next twelve months. In the longer term, or if the Company experiences a decline in revenue, or in the event of other unforeseen events, the Company may require additional funds and may seek to raise such funds through public or private equity or debt financing, bank lines of credit, or other sources. No assurance can be given that additional financing will be available or, if available, will be on terms favorable to the Company. See "Factors that May Affect Future Results - Limited Capitalization".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This Annual Report on Form 10-K contains forward-looking statements within the meaning of Section 27A of the Securities Act of 1933, as amended. Forward-looking statements relate to the Company's future plans, objectives, expectations, and intentions. These statements may be recognized by the use of words such as "believes," "expects," "may," "will," "intends," "plans," "should," "seeks," "anticipates," and similar expressions. In particular, statements regarding the Company's markets and market share, demand for its products and services, FCC actions, manufacturing capacity and component availability, and the development and introduction of new products and services are forward-looking statements and subject to material risks. Actual results could differ markedly from those projected in the forward-looking statements as a result of the factors set forth below and the matters set forth in the report generally. The Company cautions the reader, however, that this list of factors may not be exhaustive, particularly with respect to future factors. Any forward-looking statements are made pursuant to the Private Securities Litigation Reform Act of 1995 and, as such, speak only as of the date made.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Rapid Technological Change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products and services markets are highly competitive and characterized by rapid technological change. The Company's future performance will depend in large part upon its ability to remain competitive and to develop and market new products and services in these markets in a timely fashion that responds to customers' needs and incorporates new technology and standards.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may not be able to design and manufacture products that address customer needs or achieve market acceptance. Any significant failure to design, manufacture, and successfully introduce new products or services could materially harm the Company's business.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Although management believes that, based on their performance and price, its products and services are currently attractive to customers, there can be no assurance that competitors will not introduce comparable or technologically superior products or services, which are priced more favorably than the Company's.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Competition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markets for the Company's products and services are highly competitive. These markets include the Company's traditional dealer channel, the market for its conferencing services, and the retail channel. The Company competes with businesses having substantially greater financial, research and development, manufacturing, marketing, and other resources. If the Company fails to maintain or enhance its competitive position, it could experience pricing pressures and reduced sales, margin, profits, and market share, each of which could materially harm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Economic Condition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the Company's business has grown, it has become increasingly subject to adverse changes in general economic conditions, which can result in reductions in capital expenditures by customers, longer sales cycles, deferral or delay of purchase commitments for products, and increased price competition. Although these factors have not materially impacted the Company in recent years, if the current economic slowdown continues or worsens, these factors could adversely affect the Company's business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subject to the risks inherent in the marketing and sale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For example, with the acquisition of the ClearOne assets the Company has expanded its products to include the retail market. There can be no assurance that this strategy will prove successful.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Difficulties in Managing Growth</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experiencing a period of significant expansion in personnel, facilities and infrastructure, and management anticipates that further expansion will be required to address potential growth in the Company's customer base and market opportunities. This expansion will require continued application of management, operational and financial resources.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To manage the expected growth of operations and personnel, the Company may need to improve its transaction processing, operational and financial systems, procedures and controls. The Company's current and planned personnel, systems, procedures and controls may not be adequate to support its future operations. Difficulties in managing these challenges could adversely affect the Company's financial performance.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Difficulties in Estimating Customer Demand Could Harm Our Operating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Orders from the Company's resellers are based on demand from end-users. Prospective end-user demand is difficult to measure. This means that any period could be adversely impacted by lower end-user demand, which could in turn negatively affect orders the Company receives from resellers. The Company's expectation for both short- and long-term future net revenues are based on the Company's own estimate of future demand as well as backlog based on the blanket purchase order program, as discussed above. The Company also bases expense levels on those revenue estimates. If the Company's estimates are not accurate, the financial performance of the Company could be adversely affected.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Distribution Network</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markets its products primarily through a network of dealers and master distributors. All of the Company's agreements regarding such dealers and distributors are non-exclusive and terminable at will by either party. Although the Company believes that its relationships with such dealers and distributors are good, there can be no assurance that any or all such dealers or distributors will continue to offer the Company's products.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Price discounts to the Company's distribution channel are based on performance. However, there are no obligations on the part of such dealers and distributors to provide any specified level of support to the Company's products or to devote any specific time, resources or efforts to the marketing of the Company's products. There are no prohibitions on dealers or distributors offering products that are competitive with those of the Company. Most dealers do offer</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8" w:name="page19"/>
    <w:bookmarkEnd w:id="18"/>
    <w:p>
      <w:pPr>
        <w:jc w:val="both"/>
        <w:ind w:right="3239"/>
        <w:spacing w:after="0" w:line="258" w:lineRule="auto"/>
        <w:rPr>
          <w:sz w:val="20"/>
          <w:szCs w:val="20"/>
          <w:color w:val="auto"/>
        </w:rPr>
      </w:pPr>
      <w:r>
        <w:rPr>
          <w:rFonts w:ascii="Courier New" w:cs="Courier New" w:eastAsia="Courier New" w:hAnsi="Courier New"/>
          <w:sz w:val="14"/>
          <w:szCs w:val="14"/>
          <w:color w:val="auto"/>
        </w:rPr>
        <w:t>competitive products. The Company reserves the right to maintain house accounts, which are for products sold directly to customers. The loss of dealers or distributors could have a material adverse effect on the Company's business.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Capitalization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June 30, 2001, the Company had $6.9 million in cash and $17.0 million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would be available on acceptable terms, or at all.</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addition, the Company's $5 million revolving line of credit matures in December of 2001 and there can be no assurance that the Company will be able to extend the maturity date of the line of credit or obtain a replacement line of credit from another commercial institution. The Company had no outstanding balance payable on the line of credit as of June 30, 2001. To the extent the line of credit is not extended or replaced and cash from operations is insufficient to fund operations, the Company may be required to seek additional financing.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and Information Systems Network</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is highly reliant on its network equipment, telecommunications providers, data, and software, to support all functions of the Company. The Company's conference calling service relies 100 percent on the network for its revenues. While the Company endeavors to provide for failures in the network by providing back-up systems and procedures, there is no guarantee that these back-up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or telecommunication providers, its ongoing customers may choose a different provider, and its reputation may be damaged, reducing its attractiveness to new customers.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Supplier and Singlw</w:t>
      </w:r>
    </w:p>
    <w:p>
      <w:pPr>
        <w:spacing w:after="0" w:line="237" w:lineRule="auto"/>
        <w:rPr>
          <w:sz w:val="20"/>
          <w:szCs w:val="20"/>
          <w:color w:val="auto"/>
        </w:rPr>
      </w:pPr>
      <w:r>
        <w:rPr>
          <w:rFonts w:ascii="Courier New" w:cs="Courier New" w:eastAsia="Courier New" w:hAnsi="Courier New"/>
          <w:sz w:val="15"/>
          <w:szCs w:val="15"/>
          <w:color w:val="auto"/>
        </w:rPr>
        <w:t>e Source of Supply</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believes that most of the key components required for the production of its products are currently available in sufficient quantities. The Company has experienced long component lead times in the past, but is experiencing improved lead times on many products. Even though the Company has purchased more of these "longer-lead-time" parts to ensure continued delivery of products, reduction in these inventories have tracked with the reduction of lead times.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may be adversely affected.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Risks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developed custom software for its products and has licensed additional software from third parties. This software may contain undetected errors, defects or bugs. Although the Company has not suffered significant harm from any errors or defects to date, the Company may discover significant errors or defects in the future that the Company may or may not be able to fix or fix in a timely or cost effective manner. The Company's inability to do so could harm its business.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021"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Manufacturing Process Risks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While the Company has substantial experience in designing and manufacturing its products, the Company may still experience technical difficulties and delays with the manufacturing of the Company's products. Potential difficulties in the design and manufacturing process that could be experienced by the Company include difficulty in meeting required specifications, difficulty in achieving necessary manufacturing efficiencies, and difficulties in obtaining materials on a timely basis.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Efficiency of Distribution and Third Parties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financial performance is dependent in part on its ability to provide prompt, accurate, and complete services to customers on a timely and competitive basis. Delays in distribution in the Company's day-to-day operations or material increases in the Company's costs of procuring and delivering products could have an adverse effect on the Company's results of operations. Any failure of either the Company's computer operating systems, the Internet or the Company's telephone system could adversely affect the Company's ability to receive and process customers' orders and ship products on a timely basis. Strikes or other service interruptions affecting Federal Express Corporation, United Parcel Service of America, Inc., or other common carriers used by the Company to receive necessary components or other materials or to ship the Company's products also could impair its ability to deliver products on a timely and cost-effective basis.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Lack of Patent Protection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currently relies primarily on a combination of trade secret, copyright, trademark,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 Such claims could divert management's attention and be expensive, regardless of their merit. In the event of a claim, the Company might be required to license third party technology or redesign its products, which may not be possible or economically feasible.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Funding and Regulation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the conferencing market, the Company is dependent on government funding to place its distance learning sales and courtroom equipment sales. In the event government funding was stopped, these sales would be negatively impacted. Additionally, many of the Company's products are subject to governmental regulations. New regulations could significantly adversely impact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Unlikely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 Dilutive Effect of Outstanding Options and Possible Negative Effect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Financing</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outstanding options issued under the Company's 1990 Incentive Plan and the 1998 Stock Option Plan, which include options to purchase up to 3,200,000 shares of Common Stock granted or available for grant. As of June 30, 2001, the Plans have 1,750,798 options outstanding.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Upon Key Employees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substantially dependent upon certain of its employees, including Frances M. Flood, President and Chief Executive Officer and a director and shareholder of the Company. The loss of Ms. Flood by the Company could have a material adverse effect on the Company. The Company currently has in place a key person life insurance policy on the life of Ms. Flood in the amount of $5,000,000.</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853"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Possible Control by Officers and Directors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officers and directors of the Company together had beneficial ownership of approximately 29.0 percent of the Company's Common Stock (including options that are currently exercisable or exercisable within sixty (60) days) as of September 1, 2001. This significant holding in the aggregate places the officers and directors in a position, when acting together, to effectively control the Company and could delay or prevent a change in control.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Collectability of Outstanding Receivables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grants credit without requiring collateral to substantially all of its customers. Although the possibility of a large percentage of customers defaulting exists, the Company believes this scenario to be highly unlikely.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Sales and Related Risks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International sales represent a significant portion of the Company's total revenue. For example, international sales represented 13 percent of the Company's total sales for fiscal 2001 and 12 percent for fiscal 2000. If the Company is unable to maintain international market demand, its results of operations could be materially harmed. The Company's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During October 2000, the Company established Gentner Communications EuMEA GmbH, a wholly owned subsidiary headquartered in Nuremberg, Germany. The subsidiary began operations during December 2000. Gentner EuMEA focuses on distribution, technical support, and training in Europe, the Middle East and Africa.</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sales in the international market are denominated in U.S. Dollars and, Gentner EuMEA transacts business in U.S. Dollars, however, its financial statements are prepared in German Deutsche Marks according to German accounting principles. Consolidation of Gentner EuMEA's financial statements with those of the Company, under United States generally accepted accounting principles, requires remeasurement to U.S. Dollars which is subject to exchange rate risks.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Conversion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January 1, 1999, eleven member countries of the European Union established fixed conversion rates between their existing currencies ("legal currencies") and one common currency, the Euro. The Euro is now trading on currency exchanges and may be used in certain transactions such as electronic payments. Beginning in January 2002, new Euro-denominated notes and coins will be used, and legacy currencies will be withdrawn from circulation. The conversion to the Euro has eliminated currency exchange rate risk for transactions between the member countries, which for the Company primarily consists of sales to certain customers and payments to certain suppliers. The Company is currently addressing the issues involved with the new currency, which include converting information technology systems, recalculating currency risk, and revising processes for preparing accounting and taxation records. Based on the work completed so far, the Company does not believe the Euro conversion will have a significant impact on the results of its operations or cash flows.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Integration of Acquired Business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dedicated and will continue to dedicate, substantial management resources in order to achieve the anticipated operating efficiencies from integrating ClearOne. Difficulties encountered in integrating ClearOne's operations could adversely impact the business, results of operations or financial condition of the Company. Also, the Company intends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the Company or that the benefits expected from any such integration will be fully realized.</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(SAB) 101, "Revenue Recognition in Financial Statements." SAB 101B, which was issued in June 2000, delayed the implementation date of SAB 101 until no later than the fourth fiscal quarter of fiscal years beginning after December 15, 1999. This SAB clarifies proper methods of revenue recognition given certain circumstances surrounding sales transactions. The Company adopted SAB 101 in its fourth fiscal quarter of 2001. As expected, the adoption of SAB 101 did not have a material impact on the Company's financial statements.</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1998, the Financial Accounting Standards Board (FASB)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years beginning after June 15, 2000. The Company adopted SFAS No. 133 in fiscal 2001. Because the Company currently does not hold any derivative instruments, as expected, the adoption of SFAS No. 133 did not have a material impact on the Company's financial condition or results of operations.</w:t>
      </w:r>
    </w:p>
    <w:p>
      <w:pPr>
        <w:spacing w:after="0" w:line="16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The Company does not expect this statement to have a material impact on its financial statements.</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The Company is continuing to evaluate the impact of this statement on its financial statements.</w:t>
      </w:r>
    </w:p>
    <w:p>
      <w:pPr>
        <w:spacing w:after="0" w:line="200" w:lineRule="exact"/>
        <w:rPr>
          <w:sz w:val="20"/>
          <w:szCs w:val="20"/>
          <w:color w:val="auto"/>
        </w:rPr>
      </w:pPr>
    </w:p>
    <w:p>
      <w:pPr>
        <w:spacing w:after="0" w:line="29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Market risk represents the risk of changes in value of a financial instrument, derivative or non-derivative, caused by fluctuations in interest rates, foreign exchange rates and equity prices. Changes in these factors could cause fluctuations in the results of the Company's operations and cash flows. In the ordinary course of business, the Company is exposed to foreign currency and interest rate risks. These risks primarily relate to the sale of products and services to foreign customers and changes in interest rates on the Company's capital leases.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currently has limited market risk sensitive instruments related to interest rates. The Company's capital leases obligations total $230,000 at June 30, 2001. The Company does not have significant exposure to changing interest rates on these capital leases because interest rates for the majority of the capital leases are fixed. The Company has not undertaken any additional actions to cover interest rate market risk and is not a party to any other interest rate market risk management activities. A hypothetical 10 percent change in market interest rates over the next year would not impact the Company's earnings or cash flows as the interest rates on the majority of the capital leases are fixed.</w:t>
      </w:r>
    </w:p>
    <w:p>
      <w:pPr>
        <w:spacing w:after="0" w:line="179"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does not purchase or hold any derivative financial instruments for trading purposes.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85" w:right="1440" w:bottom="1440" w:gutter="0" w:footer="0" w:header="0"/>
        </w:sectPr>
      </w:pPr>
    </w:p>
    <w:bookmarkStart w:id="22" w:name="page23"/>
    <w:bookmarkEnd w:id="22"/>
    <w:p>
      <w:pPr>
        <w:jc w:val="both"/>
        <w:ind w:right="3239"/>
        <w:spacing w:after="0" w:line="255" w:lineRule="auto"/>
        <w:rPr>
          <w:sz w:val="20"/>
          <w:szCs w:val="20"/>
          <w:color w:val="auto"/>
        </w:rPr>
      </w:pPr>
      <w:r>
        <w:rPr>
          <w:rFonts w:ascii="Courier New" w:cs="Courier New" w:eastAsia="Courier New" w:hAnsi="Courier New"/>
          <w:sz w:val="14"/>
          <w:szCs w:val="14"/>
          <w:color w:val="auto"/>
        </w:rPr>
        <w:t>Although the Company's subsidiary enters into transactions in currencies other than its functional currency, foreign currency exposures arising from these transactions are not material to the Company. The primary foreign currency exposure arises from the remeasurement of the Company's net equity investment in its foreign subsidiary to U.S. dollars. The primary currency to which the Company is exposed is the German Deutsche Mark. The fair value of the Company's net foreign investments would not be materially affected by a 10 percent adverse change in foreign currency exchange rates from June 30, 2001 levels.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ITEM 8.  FINANCIAL STATEMENTS</w:t>
            </w:r>
          </w:p>
        </w:tc>
        <w:tc>
          <w:tcPr>
            <w:tcW w:w="660" w:type="dxa"/>
            <w:vAlign w:val="bottom"/>
          </w:tcPr>
          <w:p>
            <w:pPr>
              <w:spacing w:after="0"/>
              <w:rPr>
                <w:sz w:val="14"/>
                <w:szCs w:val="14"/>
                <w:color w:val="auto"/>
              </w:rPr>
            </w:pPr>
          </w:p>
        </w:tc>
      </w:tr>
      <w:tr>
        <w:trPr>
          <w:trHeight w:val="336"/>
        </w:trPr>
        <w:tc>
          <w:tcPr>
            <w:tcW w:w="6260" w:type="dxa"/>
            <w:vAlign w:val="bottom"/>
          </w:tcPr>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660" w:type="dxa"/>
            <w:vAlign w:val="bottom"/>
          </w:tcPr>
          <w:p>
            <w:pPr>
              <w:spacing w:after="0"/>
              <w:rPr>
                <w:sz w:val="24"/>
                <w:szCs w:val="24"/>
                <w:color w:val="auto"/>
              </w:rPr>
            </w:pPr>
          </w:p>
        </w:tc>
      </w:tr>
      <w:tr>
        <w:trPr>
          <w:trHeight w:val="168"/>
        </w:trPr>
        <w:tc>
          <w:tcPr>
            <w:tcW w:w="62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336"/>
        </w:trPr>
        <w:tc>
          <w:tcPr>
            <w:tcW w:w="626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6260" w:type="dxa"/>
            <w:vAlign w:val="bottom"/>
          </w:tcPr>
          <w:p>
            <w:pPr>
              <w:spacing w:after="0"/>
              <w:rPr>
                <w:sz w:val="14"/>
                <w:szCs w:val="14"/>
                <w:color w:val="auto"/>
              </w:rPr>
            </w:pPr>
          </w:p>
        </w:tc>
        <w:tc>
          <w:tcPr>
            <w:tcW w:w="6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66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25</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June 30, 2001 and 2000............</w:t>
            </w:r>
          </w:p>
        </w:tc>
        <w:tc>
          <w:tcPr>
            <w:tcW w:w="66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26</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for fiscal years</w:t>
            </w:r>
          </w:p>
        </w:tc>
        <w:tc>
          <w:tcPr>
            <w:tcW w:w="660" w:type="dxa"/>
            <w:vAlign w:val="bottom"/>
          </w:tcPr>
          <w:p>
            <w:pPr>
              <w:spacing w:after="0"/>
              <w:rPr>
                <w:sz w:val="24"/>
                <w:szCs w:val="24"/>
                <w:color w:val="auto"/>
              </w:rPr>
            </w:pP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ended June 30, 2001, 2000, and 1999................................</w:t>
            </w:r>
          </w:p>
        </w:tc>
        <w:tc>
          <w:tcPr>
            <w:tcW w:w="66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fiscal years</w:t>
            </w:r>
          </w:p>
        </w:tc>
        <w:tc>
          <w:tcPr>
            <w:tcW w:w="660" w:type="dxa"/>
            <w:vAlign w:val="bottom"/>
          </w:tcPr>
          <w:p>
            <w:pPr>
              <w:spacing w:after="0"/>
              <w:rPr>
                <w:sz w:val="24"/>
                <w:szCs w:val="24"/>
                <w:color w:val="auto"/>
              </w:rPr>
            </w:pP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ended June 30, 2001, 2000, and 1999................................</w:t>
            </w:r>
          </w:p>
        </w:tc>
        <w:tc>
          <w:tcPr>
            <w:tcW w:w="66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Consolidated Statements of Shareholders' Equity for fiscal years</w:t>
            </w:r>
          </w:p>
        </w:tc>
        <w:tc>
          <w:tcPr>
            <w:tcW w:w="660" w:type="dxa"/>
            <w:vAlign w:val="bottom"/>
          </w:tcPr>
          <w:p>
            <w:pPr>
              <w:spacing w:after="0"/>
              <w:rPr>
                <w:sz w:val="24"/>
                <w:szCs w:val="24"/>
                <w:color w:val="auto"/>
              </w:rPr>
            </w:pP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ended June 30, 2001, 2000, and 1999................................</w:t>
            </w:r>
          </w:p>
        </w:tc>
        <w:tc>
          <w:tcPr>
            <w:tcW w:w="66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9"/>
              </w:rPr>
              <w:t>29</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6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30</w:t>
            </w:r>
          </w:p>
        </w:tc>
      </w:tr>
      <w:tr>
        <w:trPr>
          <w:trHeight w:val="673"/>
        </w:trPr>
        <w:tc>
          <w:tcPr>
            <w:tcW w:w="6260" w:type="dxa"/>
            <w:vAlign w:val="bottom"/>
          </w:tcPr>
          <w:p>
            <w:pPr>
              <w:jc w:val="right"/>
              <w:ind w:right="2587"/>
              <w:spacing w:after="0"/>
              <w:rPr>
                <w:sz w:val="20"/>
                <w:szCs w:val="20"/>
                <w:color w:val="auto"/>
              </w:rPr>
            </w:pPr>
            <w:r>
              <w:rPr>
                <w:rFonts w:ascii="Courier New" w:cs="Courier New" w:eastAsia="Courier New" w:hAnsi="Courier New"/>
                <w:sz w:val="15"/>
                <w:szCs w:val="15"/>
                <w:color w:val="auto"/>
              </w:rPr>
              <w:t>24</w:t>
            </w:r>
          </w:p>
        </w:tc>
        <w:tc>
          <w:tcPr>
            <w:tcW w:w="6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4" w:name="page25"/>
    <w:bookmarkEnd w:id="24"/>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GENTNER COMMUNICATIONS CORPORATION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Gentner Communications Corporation as of June 30, 2001 and 2000, and the related consolidated statements of income, shareholders' equity, and cash flows for each of the three years in the period ended June 30, 2001.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Gentner Communications Corporation at June 30, 2001 and 2000, and the consolidated results of its operations and its cash flows for each of the three years in the period ended June 30, 2001, in conformity with accounting principles generally accepted in the United States.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237" w:lineRule="auto"/>
        <w:rPr>
          <w:sz w:val="20"/>
          <w:szCs w:val="20"/>
          <w:color w:val="auto"/>
        </w:rPr>
      </w:pPr>
      <w:r>
        <w:rPr>
          <w:rFonts w:ascii="Courier New" w:cs="Courier New" w:eastAsia="Courier New" w:hAnsi="Courier New"/>
          <w:sz w:val="15"/>
          <w:szCs w:val="15"/>
          <w:color w:val="auto"/>
        </w:rPr>
        <w:t>July 27,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1290" w:right="1440" w:bottom="1440" w:gutter="0" w:footer="0" w:header="0"/>
        </w:sectPr>
      </w:pPr>
    </w:p>
    <w:bookmarkStart w:id="25" w:name="page26"/>
    <w:bookmarkEnd w:id="25"/>
    <w:p>
      <w:pPr>
        <w:ind w:left="202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CONSOLIDATED BALANCE SHEETS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5"/>
        </w:trPr>
        <w:tc>
          <w:tcPr>
            <w:tcW w:w="5380" w:type="dxa"/>
            <w:vAlign w:val="bottom"/>
          </w:tcPr>
          <w:p>
            <w:pPr>
              <w:spacing w:after="0"/>
              <w:rPr>
                <w:sz w:val="24"/>
                <w:szCs w:val="24"/>
                <w:color w:val="auto"/>
              </w:rPr>
            </w:pPr>
          </w:p>
        </w:tc>
        <w:tc>
          <w:tcPr>
            <w:tcW w:w="23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8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1967"/>
              <w:spacing w:after="0" w:line="168" w:lineRule="exact"/>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5"/>
        </w:trPr>
        <w:tc>
          <w:tcPr>
            <w:tcW w:w="5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$ 6,852,243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$ 5,374,996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 less allowances of $436,000 in 2001</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$302,000 in 2000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7,212,970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4,153,677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Note receivable - current portion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71,423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Inventory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4,132,034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3,484,992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 receivable ..................................</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987,912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tax assets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247,402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Prepaid expenses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779,648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678,744</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19,295,720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14,816,321</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Property and equipment, net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3,696,615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3,050,349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Goodwill, net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2,633,732</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Note receivable - long term portion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1,716,477</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Related party note receivable ..............................</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52,488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intangible assets, net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181,722</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Deposits and other assets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73,357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assets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$27,597,623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$17,920,531</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LIABILITIES AND SHAREHOLDERS' EQUITY</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568,782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767,095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compensation and other benefits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410,416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694,219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 payable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421,749</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accrued expenses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719,112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1,045,607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portion of capital lease obligations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181,827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249,859</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2,301,886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2,756,780</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Capital lease obligations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48,227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205,530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tax liabilities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205,000</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3,096,113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3,167,310</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53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Common stock, 50,000,000 shares authorized, par value</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53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$.001, 8,617,978 and 8,427,145 shares issued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outstanding at June 30, 2001 and 2000, respectively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8,618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8,962,699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6,697,090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15,530,193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8,047,704</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24,501,510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14,753,221</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liabilities and shareholders' equity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$27,597,623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$17,920,531</w:t>
            </w:r>
          </w:p>
        </w:tc>
      </w:tr>
      <w:tr>
        <w:trPr>
          <w:trHeight w:val="168"/>
        </w:trPr>
        <w:tc>
          <w:tcPr>
            <w:tcW w:w="53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95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5380" w:type="dxa"/>
            <w:vAlign w:val="bottom"/>
            <w:gridSpan w:val="4"/>
          </w:tcPr>
          <w:p>
            <w:pPr>
              <w:jc w:val="right"/>
              <w:ind w:right="307"/>
              <w:spacing w:after="0"/>
              <w:rPr>
                <w:sz w:val="20"/>
                <w:szCs w:val="20"/>
                <w:color w:val="auto"/>
              </w:rPr>
            </w:pPr>
            <w:r>
              <w:rPr>
                <w:rFonts w:ascii="Courier New" w:cs="Courier New" w:eastAsia="Courier New" w:hAnsi="Courier New"/>
                <w:sz w:val="15"/>
                <w:szCs w:val="15"/>
                <w:color w:val="auto"/>
              </w:rPr>
              <w:t>GENTNER COMMUNICATIONS CORPORATION</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380" w:type="dxa"/>
            <w:vAlign w:val="bottom"/>
            <w:gridSpan w:val="4"/>
          </w:tcPr>
          <w:p>
            <w:pPr>
              <w:jc w:val="right"/>
              <w:ind w:right="307"/>
              <w:spacing w:after="0"/>
              <w:rPr>
                <w:sz w:val="20"/>
                <w:szCs w:val="20"/>
                <w:color w:val="auto"/>
              </w:rPr>
            </w:pPr>
            <w:r>
              <w:rPr>
                <w:rFonts w:ascii="Courier New" w:cs="Courier New" w:eastAsia="Courier New" w:hAnsi="Courier New"/>
                <w:sz w:val="15"/>
                <w:szCs w:val="15"/>
                <w:color w:val="auto"/>
              </w:rPr>
              <w:t>CONSOLIDATED STATEMENTS OF INCOME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05"/>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Years ended June 30,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5520" w:type="dxa"/>
            <w:vAlign w:val="bottom"/>
            <w:gridSpan w:val="9"/>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Product sales..........................</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$28,189,612</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70.7%</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$22,226,504</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79.0%</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$17,056,780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Service sales..........................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11,688,793</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29.3%</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5,891,909</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3,211,322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net sales....................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39,878,405</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100.0%</w:t>
            </w:r>
          </w:p>
        </w:tc>
        <w:tc>
          <w:tcPr>
            <w:tcW w:w="22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28,118,413100.0%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20,268,102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100.0%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 products..........</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10,633,956</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37.7%</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8,033,867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6,670,149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 services..........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5,869,106</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50.2%</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2,974,456</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2,237,605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cost of goods sold...........</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16,503,062</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11,008,323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8,907,754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23,375,343</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58.6%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17,110,090</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11,360,348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Marketing and selling..............</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7,753,292</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6,165,917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4,313,639</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General and administrative.........</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4,648,999</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3,132,125</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2,544,665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Product development................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2,502,169</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1,270,819</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1,194,686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14,904,460</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37.4%</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10,568,861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8,052,990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8,470,883</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21.2%</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6,541,229</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3,307,358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397,438</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236,387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91,411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(42,517)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16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(65,554)(0.2)%</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Other, net.........................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53,768</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foreign currency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transactions......................</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(35,542)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income (expense)...</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373,147</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0.9%</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179,336</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before income taxes................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8,844,030</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22.1%</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6,720,565</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3,229,246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3,318,845</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8.3%</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2,418,823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1,208,900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5,525,185</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13.8%</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4,301,742</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2,020,346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applicable taxes ($438,605</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2001, $253,778 in 2000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$311,800 in 1999)..................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737,280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426,591</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524,125</w:t>
            </w:r>
          </w:p>
        </w:tc>
        <w:tc>
          <w:tcPr>
            <w:tcW w:w="6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disposal of business segment,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applicable taxes ($725,788</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 2001)...........................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1,220,024</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$ 7,482,489</w:t>
            </w:r>
          </w:p>
        </w:tc>
        <w:tc>
          <w:tcPr>
            <w:tcW w:w="7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$ 4,728,333</w:t>
            </w:r>
          </w:p>
        </w:tc>
        <w:tc>
          <w:tcPr>
            <w:tcW w:w="7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$ 2,544,471</w:t>
            </w:r>
          </w:p>
        </w:tc>
        <w:tc>
          <w:tcPr>
            <w:tcW w:w="62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from 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6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from 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0.61</w:t>
            </w: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c>
          <w:tcPr>
            <w:tcW w:w="62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from discontinued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0.23</w:t>
            </w: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c>
          <w:tcPr>
            <w:tcW w:w="6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from discontinued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0.22</w:t>
            </w: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c>
          <w:tcPr>
            <w:tcW w:w="62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0.87</w:t>
            </w:r>
          </w:p>
        </w:tc>
        <w:tc>
          <w:tcPr>
            <w:tcW w:w="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c>
          <w:tcPr>
            <w:tcW w:w="7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0.31</w:t>
            </w:r>
          </w:p>
        </w:tc>
        <w:tc>
          <w:tcPr>
            <w:tcW w:w="62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0.83</w:t>
            </w: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0.30</w:t>
            </w: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953" w:right="1440" w:bottom="1440" w:gutter="0" w:footer="0" w:header="0"/>
        </w:sectPr>
      </w:pPr>
    </w:p>
    <w:bookmarkStart w:id="27" w:name="page28"/>
    <w:bookmarkEnd w:id="27"/>
    <w:p>
      <w:pPr>
        <w:ind w:left="202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 STATEMENTS OF CASH FLOWS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June 30,</w:t>
            </w:r>
          </w:p>
        </w:tc>
        <w:tc>
          <w:tcPr>
            <w:tcW w:w="92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38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164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from continuing operations ..............</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$ 5,525,185</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$ 4,301,742</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$ 2,020,346</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from</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continuing operations to net cash provided by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1647"/>
              <w:spacing w:after="0" w:line="168" w:lineRule="exact"/>
              <w:rPr>
                <w:sz w:val="20"/>
                <w:szCs w:val="20"/>
                <w:color w:val="auto"/>
              </w:rPr>
            </w:pPr>
            <w:r>
              <w:rPr>
                <w:rFonts w:ascii="Courier New" w:cs="Courier New" w:eastAsia="Courier New" w:hAnsi="Courier New"/>
                <w:sz w:val="15"/>
                <w:szCs w:val="15"/>
                <w:color w:val="auto"/>
              </w:rPr>
              <w:t>continuing operating activities: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of property and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equipment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1,044,878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751,202</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659,074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other assets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269,068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19,467</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27,495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(81,402)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(33,000)</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142,000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Provision for bad debts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575,909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74,863</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17,733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investments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(4,442)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(7,771)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(5,783)</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Tax benefits from stock option exercises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allocated to contributed capital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117,084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1,287,000</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239,000</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(3,635,202)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(1,986,246)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(516,637)</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Inventory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(354,001)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(623,781)</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248,233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1,194,873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(1,216,999)</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182,305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(100,904)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(535,303)</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31,226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other accrued expenses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(833,324)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448,011</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707,810</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continuing operating</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3,717,722</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2,479,185</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3,752,802</w:t>
            </w:r>
          </w:p>
        </w:tc>
      </w:tr>
      <w:tr>
        <w:trPr>
          <w:trHeight w:val="336"/>
        </w:trPr>
        <w:tc>
          <w:tcPr>
            <w:tcW w:w="4960" w:type="dxa"/>
            <w:vAlign w:val="bottom"/>
          </w:tcPr>
          <w:p>
            <w:pPr>
              <w:jc w:val="right"/>
              <w:ind w:right="1647"/>
              <w:spacing w:after="0"/>
              <w:rPr>
                <w:sz w:val="20"/>
                <w:szCs w:val="20"/>
                <w:color w:val="auto"/>
              </w:rPr>
            </w:pPr>
            <w:r>
              <w:rPr>
                <w:rFonts w:ascii="Courier New" w:cs="Courier New" w:eastAsia="Courier New" w:hAnsi="Courier New"/>
                <w:sz w:val="15"/>
                <w:szCs w:val="15"/>
                <w:color w:val="auto"/>
                <w:w w:val="96"/>
              </w:rPr>
              <w:t>Cash flows from investing activities: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property and equipment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(1,356,275)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(1,684,200)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(466,451)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business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(1,758,085)</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Decrease (increase) in deposits and other assets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(9,335)</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1,753</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24"/>
                <w:szCs w:val="24"/>
                <w:color w:val="auto"/>
              </w:rPr>
            </w:pP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(3,123,695)</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(1,684,200)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(464,698)</w:t>
            </w:r>
          </w:p>
        </w:tc>
      </w:tr>
      <w:tr>
        <w:trPr>
          <w:trHeight w:val="336"/>
        </w:trPr>
        <w:tc>
          <w:tcPr>
            <w:tcW w:w="4960" w:type="dxa"/>
            <w:vAlign w:val="bottom"/>
          </w:tcPr>
          <w:p>
            <w:pPr>
              <w:jc w:val="right"/>
              <w:ind w:right="1647"/>
              <w:spacing w:after="0"/>
              <w:rPr>
                <w:sz w:val="20"/>
                <w:szCs w:val="20"/>
                <w:color w:val="auto"/>
              </w:rPr>
            </w:pPr>
            <w:r>
              <w:rPr>
                <w:rFonts w:ascii="Courier New" w:cs="Courier New" w:eastAsia="Courier New" w:hAnsi="Courier New"/>
                <w:sz w:val="15"/>
                <w:szCs w:val="15"/>
                <w:color w:val="auto"/>
                <w:w w:val="96"/>
              </w:rPr>
              <w:t>Cash flows from financing activities: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issuance of common stock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15,095</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30,274</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3,912</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 of employee stock options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324,989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355,255</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327,970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of common stock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(191,381)</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 payments on capital lease obligations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(252,841)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(215,854)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(318,594)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 payments on long-term debt ...............</w:t>
            </w:r>
          </w:p>
        </w:tc>
        <w:tc>
          <w:tcPr>
            <w:tcW w:w="220" w:type="dxa"/>
            <w:vAlign w:val="bottom"/>
          </w:tcPr>
          <w:p>
            <w:pPr>
              <w:spacing w:after="0"/>
              <w:rPr>
                <w:sz w:val="14"/>
                <w:szCs w:val="14"/>
                <w:color w:val="auto"/>
              </w:rPr>
            </w:pP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(688,214)</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ind w:left="980"/>
              <w:spacing w:after="0"/>
              <w:rPr>
                <w:sz w:val="20"/>
                <w:szCs w:val="20"/>
                <w:color w:val="auto"/>
              </w:rPr>
            </w:pPr>
            <w:r>
              <w:rPr>
                <w:rFonts w:ascii="Courier New" w:cs="Courier New" w:eastAsia="Courier New" w:hAnsi="Courier New"/>
                <w:sz w:val="15"/>
                <w:szCs w:val="15"/>
                <w:color w:val="auto"/>
              </w:rPr>
              <w:t>Net cash provided by (used in) financing</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(104,138)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169,675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(674,926)</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increase in cash from continuing operations .......</w:t>
            </w:r>
          </w:p>
        </w:tc>
        <w:tc>
          <w:tcPr>
            <w:tcW w:w="2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489,889</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964,660</w:t>
            </w:r>
          </w:p>
        </w:tc>
        <w:tc>
          <w:tcPr>
            <w:tcW w:w="26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2,613,178</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flow from 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987,358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488,153</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593,680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at the beginning of the year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5,374,996</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3,922,183</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715,325</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at the end of the year ...........................</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$ 6,852,243</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$ 5,374,996</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$ 3,922,183</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7"/>
              </w:rPr>
              <w:t>Supplemental disclosure of cash flow information:</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Property and equipment financed by capital leases...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taxes paid, net .............................</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$(2,575,481)</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$(2,635,601)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(956,827)</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paid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(65,554)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(150,072)</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Consideration paid in stock for purchase of</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business .........................................</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$(2,000,013)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953" w:right="1440" w:bottom="1440" w:gutter="0" w:footer="0" w:header="0"/>
        </w:sectPr>
      </w:pPr>
    </w:p>
    <w:bookmarkStart w:id="28" w:name="page29"/>
    <w:bookmarkEnd w:id="28"/>
    <w:p>
      <w:pPr>
        <w:ind w:left="202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CONSOLDIATED STATEMENTS OF SHAREHOLDERS'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5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2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100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Paid-In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Balances at June 30, 1998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7,698,523</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7,699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$ 4,454,407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774,900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$ 5,237,006</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Exercise of employee stock</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options .....................</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429,702</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327,540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327,970</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Issuance of common stock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1,466</w:t>
            </w:r>
          </w:p>
        </w:tc>
        <w:tc>
          <w:tcPr>
            <w:tcW w:w="1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3,912</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Tax benefits from stock option</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exercises allocated to</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contributed capital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239,000</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Net income ....................</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2,544,471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2,544,471</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Balances at June 30, 1999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8,129,691</w:t>
            </w:r>
          </w:p>
        </w:tc>
        <w:tc>
          <w:tcPr>
            <w:tcW w:w="1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8,130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5,024,858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3,319,371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8,352,359</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Exercise of employee stock</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options .....................</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296,000</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354,959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355,255</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Issuance of common stock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1,454</w:t>
            </w:r>
          </w:p>
        </w:tc>
        <w:tc>
          <w:tcPr>
            <w:tcW w:w="1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30,273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30,274</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Tax benefits from stock option</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exercises allocated to</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contributed capital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1,287,000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1,287,000</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Net income ....................</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4,728,333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4,728,333</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Balances at June 30, 2000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8,427,145</w:t>
            </w:r>
          </w:p>
        </w:tc>
        <w:tc>
          <w:tcPr>
            <w:tcW w:w="1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8,427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6,697,090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8,047,704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14,753,221</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Exercise of employee stock</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options .....................</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75,125</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324,914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324,989</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Issuance of common stock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1,137</w:t>
            </w:r>
          </w:p>
        </w:tc>
        <w:tc>
          <w:tcPr>
            <w:tcW w:w="1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15,094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15,095</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Tax benefits from stock option</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exercises allocated to</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contributed capital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117,084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117,084</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Consideration paid in stock for</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the purchase of business ....</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129,871</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1,999,883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2,000,013</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Repurchase and retirement of</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2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common stock by the Company .</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(15,300)</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(191,366)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(191,381)</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Net income ....................</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7,482,489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7,482,489</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Balances at June 30, 2001 .........</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8,617,978</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$ 8,962,699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$15,530,193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$24,501,510</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85" w:right="1440" w:bottom="1440" w:gutter="0" w:footer="0" w:header="0"/>
        </w:sectPr>
      </w:pPr>
    </w:p>
    <w:bookmarkStart w:id="29" w:name="page30"/>
    <w:bookmarkEnd w:id="29"/>
    <w:p>
      <w:pPr>
        <w:jc w:val="center"/>
        <w:ind w:right="3239"/>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1" w:lineRule="exact"/>
        <w:rPr>
          <w:sz w:val="20"/>
          <w:szCs w:val="20"/>
          <w:color w:val="auto"/>
        </w:rPr>
      </w:pPr>
    </w:p>
    <w:p>
      <w:pPr>
        <w:ind w:right="4379" w:firstLine="10"/>
        <w:spacing w:after="0" w:line="465" w:lineRule="auto"/>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Organization</w:t>
      </w:r>
    </w:p>
    <w:p>
      <w:pPr>
        <w:spacing w:after="0" w:line="1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Gentner Communications Corporation (the "Company"), designs and manufactures high-technology electronic equipment for the conferencing and broadcast markets and provides conference calling services. The Company provides products and services domestically and internationally. The Company generally grants credit without requiring collateral to its customers within these markets.</w:t>
      </w:r>
    </w:p>
    <w:p>
      <w:pPr>
        <w:spacing w:after="0" w:line="16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During October 2000, the Company established Gentner Communications EuMEA GmbH, a wholly owned subsidiary headquartered in Nuremberg, Germany. The subsidiary began operations during December 2000. Gentner EuMEA focuses on distribution, technical support, and training in Europe, the Middle East and northern Africa.</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is now providing consolidated financial statements that include Gentner EuMEA. This practice commenced in the second quarter of fiscal 2001. All intercompany transactions have been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Cash Equivalents - The Company considers all highly liquid investments with a maturity of three months or less when purchased to be cash equivalents.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Inventory - Inventories are stated at the lower of cost (first-in, first-out) or market.</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Shipping and Handling Costs - Shipping and handling costs are expensed as incurred and included in cost of sales.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Revenue Recognition - Revenue from product sales is recognized at the time product is shipped. Revenue from service sales is recognized at the time the service is rendered. The Company records reserves for sales returns and uncollectible accounts, at the time the product is shipped or service is rendered. Historically, the Company's estimate of sales returns and uncollectible accounts has not materially varied from actual results.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Foreign Currency Translation - The functional currency of the Company's foreign subsidiary is the U.S. dollar. Accordingly, the results of operations of the Company's foreign subsidiary, which are recorded by the subsidiary in German Deutsche Marks, are remeasured into the U.S. dollar using average exchange rates during the year, while the assets, liabilities and equity accounts are remeasured using period end exchange rates and historical rates, as appropriate. The impact of this remeasurement is recorded in earnings.</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Property and Equipment - Property and equipment are stated at cost. Depreciation and amortization are provided over the estimated useful lives of the respective assets using the straight-line method. Repairs and maintenance costs are expensed as incurred.</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Long-Lived Assets - The Company regularly evaluates the carrying amounts of long-lived assets, including goodwill and other intangible assets, as well as the related amortization periods, to determine whether adjustments to these amounts or to the useful lives are required based on current circumstances or events. The evaluation, which involves significant management judgment, is based on various analyses including cash flow and profitability projections. To the extent such projections indicate that future undiscounted cash flows are not sufficient to recover the carrying amounts of the related long-lived assets, the carrying amount of the underlying assets will be reduced, with the reduction charged to expense, so that the carrying amount is equal to fair value, primarily determined based upon future discounted cash flows. No impairment of the Company's long-lived assets has been indicated to date.</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Goodwill and Other Intangible Assets - Other intangible assets consist principally of purchased technology, value assigned to a non-compete agreement and certain other intangible assets. The Company amortizes goodwill, purchased technology and other intangible assets on a straight-line basis over periods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0" w:name="page31"/>
    <w:bookmarkEnd w:id="30"/>
    <w:p>
      <w:pPr>
        <w:jc w:val="both"/>
        <w:ind w:right="3239"/>
        <w:spacing w:after="0" w:line="235" w:lineRule="auto"/>
        <w:rPr>
          <w:sz w:val="20"/>
          <w:szCs w:val="20"/>
          <w:color w:val="auto"/>
        </w:rPr>
      </w:pPr>
      <w:r>
        <w:rPr>
          <w:rFonts w:ascii="Courier New" w:cs="Courier New" w:eastAsia="Courier New" w:hAnsi="Courier New"/>
          <w:sz w:val="15"/>
          <w:szCs w:val="15"/>
          <w:color w:val="auto"/>
        </w:rPr>
        <w:t>ranging from three to fifteen years. Accumulated amortization was $515,285 and $246,217 at June 30, 2001 and 2000, respectively. The Company performs an evaluation of other assets on a periodic basis to determine that the recorded costs are not in excess of their net realizable value.</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Earnings per Share - The following table sets forth the computation of basic and diluted net income per share: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w w:val="95"/>
              </w:rPr>
              <w:t>Year Ended June 30,</w:t>
            </w:r>
          </w:p>
        </w:tc>
      </w:tr>
      <w:tr>
        <w:trPr>
          <w:trHeight w:val="168"/>
        </w:trPr>
        <w:tc>
          <w:tcPr>
            <w:tcW w:w="4420" w:type="dxa"/>
            <w:vAlign w:val="bottom"/>
          </w:tcPr>
          <w:p>
            <w:pPr>
              <w:spacing w:after="0"/>
              <w:rPr>
                <w:sz w:val="14"/>
                <w:szCs w:val="14"/>
                <w:color w:val="auto"/>
              </w:rPr>
            </w:pPr>
          </w:p>
        </w:tc>
        <w:tc>
          <w:tcPr>
            <w:tcW w:w="3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$5,525,185</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$4,301,742</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$2,020,346</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737,280</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426,591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524,125</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Gain on disposal of business segment.......</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1,220,024</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$7,482,489</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$4,728,333</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$2,544,471</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Denominator for basic net income per</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 - weighted average shares:.............</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8,593,510</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8,269,941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8,080,536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common stock equivalents using treasury</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method:................................</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422,134</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470,268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388,348</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diluted net income per share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9,015,644</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8,740,209</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8,468,884</w:t>
            </w:r>
          </w:p>
        </w:tc>
      </w:tr>
      <w:tr>
        <w:trPr>
          <w:trHeight w:val="168"/>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0.23</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Basic net income per share.....................</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Diluted net income per share...................</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44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Options to purchase 663,250, 523,500 and 45,000 shares of common stock were outstanding as of June 30, 2001, 2000 and 1999, respectively, but were not included in the computation of diluted earnings per share as the effect would be antidilutive.</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Research and Product Development Costs - Research and product development costs are expensed as incurred.</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Income Taxes - The Company provides for income taxes based on the asset and liability method required by SFAS No. 109, "Accounting for Income Taxes." Under the asset and liability method, deferred tax assets and deferred tax liabilities are recognized for the future tax consequences attributable to differences between the financial statement carrying amounts of existing assets and liabilities and their respective tax bases and operating loss and tax credit carryforwards. Deferred tax assets and deferred tax liabilities are measured using enacted tax rates expected to apply to taxable income in the years in which those temporary differences are expected to be recovered or settled. The effect on deferred tax assets and deferred tax liabilities of a change in tax rates is recognized in operations in the period that includes the enactment date.</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Stock-Based Compensation - Statement of Financial Accounting Standards No. 123, "Accounting for Stock-Based Compensation," (SFAS 123) defines a fair value-based method of accounting for and measuring compensation expense related to stock-based compensation plans and encourages adoption of the standard. However, the Statement allows entities to continue to measure compensation expense for stock-based plans using the intrinsic value-based method prescribed by Accounting Principles Board (APB) Opinion No. 25, "Accounting for Stock Issued to Employees". The Company has elected to continue to account for stock-based compensation plans using the provisions of APB Opinion No. 25. Pro forma footnote disclosure of net income has been made as if the fair value based method of accounting defined in the Statement had been applied.</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Advertising Expenses - Advertising expenses are expensed as incurred. Advertising expense for fiscal years 2001, 2000 and 1999 totaled $357,700, $186,400 and $475,800, respectively.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517" w:gutter="0" w:footer="0" w:header="0"/>
        </w:sectPr>
      </w:pPr>
    </w:p>
    <w:bookmarkStart w:id="31" w:name="page32"/>
    <w:bookmarkEnd w:id="31"/>
    <w:p>
      <w:pPr>
        <w:jc w:val="both"/>
        <w:ind w:right="3239"/>
        <w:spacing w:after="0" w:line="236" w:lineRule="auto"/>
        <w:rPr>
          <w:sz w:val="20"/>
          <w:szCs w:val="20"/>
          <w:color w:val="auto"/>
        </w:rPr>
      </w:pPr>
      <w:r>
        <w:rPr>
          <w:rFonts w:ascii="Courier New" w:cs="Courier New" w:eastAsia="Courier New" w:hAnsi="Courier New"/>
          <w:sz w:val="15"/>
          <w:szCs w:val="15"/>
          <w:color w:val="auto"/>
        </w:rPr>
        <w:t>New Accounting Pronouncements - In December 1999, the Securities and Exchange Commission issued Staff Accounting Bulletin (SAB) 101, "Revenue Recognition in Financial Statements." SAB 101B, which was issued in June 2000, delayed the implementation date of SAB 101 until no later than the fourth fiscal quarter of fiscal years beginning after December 15, 1999. This SAB clarifies proper methods of revenue recognition given certain circumstances surrounding sales transactions. The Company adopted SAB 101 in its fourth fiscal quarter of 2001. As expected, the adoption of SAB 101 did not have a material impact on the Company's financial statements.</w:t>
      </w:r>
    </w:p>
    <w:p>
      <w:pPr>
        <w:spacing w:after="0" w:line="178"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1998, the Financial Accounting Standards Board (FASB)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years beginning after June 15, 2000. The Company adopted SFAS No. 133 in fiscal 2001. Because the Company currently does not hold any derivative instruments, as expected, the adoption of SFAS No. 133 did not have a material impact on the Company's financial condition or results of operations.</w:t>
      </w:r>
    </w:p>
    <w:p>
      <w:pPr>
        <w:spacing w:after="0" w:line="16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The Company does not expect this statement to have a material impact on its financial statements.</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The Company is continuing to evaluate the impact of this statement on its financial statements.</w:t>
      </w:r>
    </w:p>
    <w:p>
      <w:pPr>
        <w:spacing w:after="0" w:line="332"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Reclassification - Certain amounts reported in prior year financial statements have been reclassified to conform with current year presentations.</w:t>
      </w:r>
    </w:p>
    <w:p>
      <w:pPr>
        <w:spacing w:after="0" w:line="167" w:lineRule="exact"/>
        <w:rPr>
          <w:sz w:val="20"/>
          <w:szCs w:val="20"/>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April 12, 2001, the Company sold the assets of the remote control portion of the RFM/Broadcast division to Burk Technology, Inc. of Littleton, MA ("Burk"). Burk is a privately-held developer and manufacturer of broadcast facility control systems products. The Company retained the accounts payable of the remote control portion of the RFM/Broadcast division. Burk assumed obligations for (i) unfilled customer orders, and (ii) satisfying warranty obligations to both existing customers of the Company, and for inventory sold to Burk.</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assets of the remote control portion of the RFM/Broadcast division were sold to Burk for $3.2 million, including $750,000 in cash at closing, and $1.75 million in the form of a seven (7) year promissory note, with interest at the rate of nine percent (9%), secured by a subordinate security interest in the personal property of Burk. The gain associated with the note receivable is recognizable for book purposes but not for tax purposes until cash is received. As such, the Company has established a deferred tax liability for $511,000 in connection with this deferred gain. In addition, up to $700,000 more is payable by Burk as a commission over a period of up to seven years. The commission is based upon future net sales of Burk over base sales established within the agreement. This amount will be recognized as received. The Company retained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2" w:name="page33"/>
    <w:bookmarkEnd w:id="32"/>
    <w:p>
      <w:pPr>
        <w:jc w:val="both"/>
        <w:ind w:right="3239"/>
        <w:spacing w:after="0" w:line="235" w:lineRule="auto"/>
        <w:rPr>
          <w:sz w:val="20"/>
          <w:szCs w:val="20"/>
          <w:color w:val="auto"/>
        </w:rPr>
      </w:pPr>
      <w:r>
        <w:rPr>
          <w:rFonts w:ascii="Courier New" w:cs="Courier New" w:eastAsia="Courier New" w:hAnsi="Courier New"/>
          <w:sz w:val="15"/>
          <w:szCs w:val="15"/>
          <w:color w:val="auto"/>
        </w:rPr>
        <w:t>remote control related inventory in the amount of $70,000 and zero liabilities at June 30, 2001. The Company realized a gain on the sale of $1,220,024, net of applicable income taxes of $725,788.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operating results of the discontinued operations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w w:val="95"/>
              </w:rPr>
              <w:t>Year Ended June 30,</w:t>
            </w:r>
          </w:p>
        </w:tc>
      </w:tr>
      <w:tr>
        <w:trPr>
          <w:trHeight w:val="168"/>
        </w:trPr>
        <w:tc>
          <w:tcPr>
            <w:tcW w:w="4020" w:type="dxa"/>
            <w:vAlign w:val="bottom"/>
          </w:tcPr>
          <w:p>
            <w:pPr>
              <w:spacing w:after="0"/>
              <w:rPr>
                <w:sz w:val="14"/>
                <w:szCs w:val="14"/>
                <w:color w:val="auto"/>
              </w:rPr>
            </w:pPr>
          </w:p>
        </w:tc>
        <w:tc>
          <w:tcPr>
            <w:tcW w:w="34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2000</w:t>
            </w:r>
          </w:p>
        </w:tc>
        <w:tc>
          <w:tcPr>
            <w:tcW w:w="220" w:type="dxa"/>
            <w:vAlign w:val="bottom"/>
          </w:tcPr>
          <w:p>
            <w:pPr>
              <w:spacing w:after="0"/>
              <w:rPr>
                <w:sz w:val="14"/>
                <w:szCs w:val="14"/>
                <w:color w:val="auto"/>
              </w:rPr>
            </w:pP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1999</w:t>
            </w:r>
          </w:p>
        </w:tc>
      </w:tr>
      <w:tr>
        <w:trPr>
          <w:trHeight w:val="168"/>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$2,369,054</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$2,753,529</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$2,722,224</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806,581</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924,488</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969,933</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281,852</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597,835</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616,101</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104,736</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550,837</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300,265</w:t>
            </w:r>
          </w:p>
        </w:tc>
      </w:tr>
      <w:tr>
        <w:trPr>
          <w:trHeight w:val="168"/>
        </w:trPr>
        <w:tc>
          <w:tcPr>
            <w:tcW w:w="40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1,175,885</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680,369</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835,925</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(438,605)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(253,778)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(311,800)</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disposal of business segment,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taxes.............................</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1,220,024</w:t>
            </w:r>
          </w:p>
        </w:tc>
        <w:tc>
          <w:tcPr>
            <w:tcW w:w="30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from discontinued operations....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$1,957,304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426,591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524,125</w:t>
            </w:r>
          </w:p>
        </w:tc>
      </w:tr>
      <w:tr>
        <w:trPr>
          <w:trHeight w:val="168"/>
        </w:trPr>
        <w:tc>
          <w:tcPr>
            <w:tcW w:w="40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Basic earnings per share from</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 from</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bl>
    <w:p>
      <w:pPr>
        <w:spacing w:after="0" w:line="200" w:lineRule="exact"/>
        <w:rPr>
          <w:sz w:val="20"/>
          <w:szCs w:val="20"/>
          <w:color w:val="auto"/>
        </w:rPr>
      </w:pPr>
    </w:p>
    <w:p>
      <w:pPr>
        <w:spacing w:after="0" w:line="303" w:lineRule="exact"/>
        <w:rPr>
          <w:sz w:val="20"/>
          <w:szCs w:val="20"/>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July 1, 1998, the Company adopted Statement of Financial Accounting Standards No. 130, "Reporting Comprehensive Income." Comprehensive income for the years ended June 30, 2001, 2000, and 1999 was equal to net income.</w:t>
      </w:r>
    </w:p>
    <w:p>
      <w:pPr>
        <w:spacing w:after="0" w:line="167" w:lineRule="exact"/>
        <w:rPr>
          <w:sz w:val="20"/>
          <w:szCs w:val="20"/>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Customer</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For the periods ended June 30, 2001, 2000, and 1999, the Company did not have sales to any customer that equaled or exceeded ten percent of net revenue.</w:t>
      </w:r>
    </w:p>
    <w:p>
      <w:pPr>
        <w:spacing w:after="0" w:line="167" w:lineRule="exact"/>
        <w:rPr>
          <w:sz w:val="20"/>
          <w:szCs w:val="20"/>
          <w:color w:val="auto"/>
        </w:rPr>
      </w:pPr>
    </w:p>
    <w:p>
      <w:pPr>
        <w:ind w:left="700" w:hanging="69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carrying values of cash and cash equivalents, accounts receivable and payable, the Company's line of credit and accrued liabilities all approximate fair value due to the short-term maturities of these assets and liabilities. The carrying values of virtually all long-term notes payable and capital leases also approximate fair value because applicable interest rates either fluctuate based on market conditions or approximate the Company's current borrowing rate.</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carrying value of the note receivable approximates fair value because the fixed rate on the note receivable approximates a market rate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120" w:type="dxa"/>
            <w:vAlign w:val="bottom"/>
          </w:tcPr>
          <w:p>
            <w:pPr>
              <w:ind w:left="480"/>
              <w:spacing w:after="0"/>
              <w:rPr>
                <w:sz w:val="20"/>
                <w:szCs w:val="20"/>
                <w:color w:val="auto"/>
              </w:rPr>
            </w:pPr>
            <w:r>
              <w:rPr>
                <w:rFonts w:ascii="Courier New" w:cs="Courier New" w:eastAsia="Courier New" w:hAnsi="Courier New"/>
                <w:sz w:val="15"/>
                <w:szCs w:val="15"/>
                <w:color w:val="auto"/>
              </w:rPr>
              <w:t>Inventory</w:t>
            </w: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Inventory is summarized as follows:</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w:t>
            </w: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$ 2,500,098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$ 1,559,210</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 in progress</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195,149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437,112</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1,436,787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1,488,670</w:t>
            </w:r>
          </w:p>
        </w:tc>
      </w:tr>
      <w:tr>
        <w:trPr>
          <w:trHeight w:val="168"/>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31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Total inventory</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$ 4,132,034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$ 3,484,992</w:t>
            </w:r>
          </w:p>
        </w:tc>
      </w:tr>
      <w:tr>
        <w:trPr>
          <w:trHeight w:val="168"/>
        </w:trPr>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Total inventory is net of a reserve for obsolete and slow-moving inventory of $226,000 and $94,000 at June 30, 2001 and 2000, respectively.</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3" w:name="page34"/>
    <w:bookmarkEnd w:id="33"/>
    <w:p>
      <w:pPr>
        <w:ind w:left="700" w:hanging="69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Major classifications of property and equipment and estimated useful lives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2001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7"/>
              </w:rPr>
              <w:t>Office furniture and equipment - 5 to 10 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4,541,371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$ 3,476,023</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Manufacturing and test equipment - 5 to 10 years....</w:t>
            </w:r>
          </w:p>
        </w:tc>
        <w:tc>
          <w:tcPr>
            <w:tcW w:w="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2,304,680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1,959,630</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Telephone bridging equipment - 10 years.............</w:t>
            </w:r>
          </w:p>
        </w:tc>
        <w:tc>
          <w:tcPr>
            <w:tcW w:w="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857,450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678,490</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Vehicles - 3 to 5 years.............................</w:t>
            </w:r>
          </w:p>
        </w:tc>
        <w:tc>
          <w:tcPr>
            <w:tcW w:w="140" w:type="dxa"/>
            <w:vAlign w:val="bottom"/>
          </w:tcPr>
          <w:p>
            <w:pPr>
              <w:spacing w:after="0"/>
              <w:rPr>
                <w:sz w:val="14"/>
                <w:szCs w:val="14"/>
                <w:color w:val="auto"/>
              </w:rPr>
            </w:pP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22,318</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7,703,501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6,136,461</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Accumulated depreciation and amortization...........</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(4,006,886)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(3,086,112)</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43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Net property and equipment.......................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3,696,615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$ 3,050,349</w:t>
            </w:r>
          </w:p>
        </w:tc>
      </w:tr>
      <w:tr>
        <w:trPr>
          <w:trHeight w:val="168"/>
        </w:trPr>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4380" w:type="dxa"/>
            <w:vAlign w:val="bottom"/>
          </w:tcPr>
          <w:p>
            <w:pPr>
              <w:ind w:left="480"/>
              <w:spacing w:after="0"/>
              <w:rPr>
                <w:sz w:val="20"/>
                <w:szCs w:val="20"/>
                <w:color w:val="auto"/>
              </w:rPr>
            </w:pPr>
            <w:r>
              <w:rPr>
                <w:rFonts w:ascii="Courier New" w:cs="Courier New" w:eastAsia="Courier New" w:hAnsi="Courier New"/>
                <w:sz w:val="15"/>
                <w:szCs w:val="15"/>
                <w:color w:val="auto"/>
              </w:rPr>
              <w:t>Line of Credit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maintains a revolving line of credit (no outstanding balance on $5.0 million available at June 30, 2001 and 2000) with a commercial bank that expires December 22, 2001 and which the Company anticipates renewing beyond that date. The line of credit is secured by the Company's accounts receivable and inventory. The interest rate on the line of credit is a variable interest rate (250 basis points over the London Interbank Offered Rate (LIBOR) or prime less 0.25%, whichever the Company chooses). The borrowing rate was 6.44% as of June 30, 2001. The weighted average interest rate for the years ended June 30, 2001, 2000 and 1999, respectively, was 8.14%, 7.58% and 8.1%. The terms of the line of credit prohibit the payment of dividends and require the Company to maintain other defined financial ratios and restrictive covenants. The Company was in compliance with all such covenants at June 30, 2001 and 2000. No compensating balance arrangements are required.</w:t>
      </w:r>
    </w:p>
    <w:p>
      <w:pPr>
        <w:spacing w:after="0" w:line="167" w:lineRule="exact"/>
        <w:rPr>
          <w:sz w:val="20"/>
          <w:szCs w:val="20"/>
          <w:color w:val="auto"/>
        </w:rPr>
      </w:pPr>
    </w:p>
    <w:p>
      <w:pPr>
        <w:ind w:left="700" w:hanging="690"/>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has entered into capital leases with finance companies to finance the purchase of certain furniture and equipment. Property and equipment under capital leases are as follows:</w:t>
      </w:r>
    </w:p>
    <w:tbl>
      <w:tblPr>
        <w:tblLayout w:type="fixed"/>
        <w:tblInd w:w="0" w:type="dxa"/>
        <w:tblCellMar>
          <w:top w:w="0" w:type="dxa"/>
          <w:left w:w="0" w:type="dxa"/>
          <w:bottom w:w="0" w:type="dxa"/>
          <w:right w:w="0" w:type="dxa"/>
        </w:tblCellMar>
      </w:tblPr>
      <w:tr>
        <w:trPr>
          <w:trHeight w:val="169"/>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right"/>
              <w:ind w:right="707"/>
              <w:spacing w:after="0" w:line="169"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600" w:type="dxa"/>
            <w:vAlign w:val="bottom"/>
          </w:tcPr>
          <w:p>
            <w:pPr>
              <w:spacing w:after="0"/>
              <w:rPr>
                <w:sz w:val="14"/>
                <w:szCs w:val="14"/>
                <w:color w:val="auto"/>
              </w:rPr>
            </w:pPr>
          </w:p>
        </w:tc>
        <w:tc>
          <w:tcPr>
            <w:tcW w:w="23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w w:val="97"/>
              </w:rPr>
              <w:t>Office furniture and equipment......................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936,819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495,528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Manufacturing and test equipment....................</w:t>
            </w:r>
          </w:p>
        </w:tc>
        <w:tc>
          <w:tcPr>
            <w:tcW w:w="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478,598</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478,599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Telephone bridging equipment........................</w:t>
            </w:r>
          </w:p>
        </w:tc>
        <w:tc>
          <w:tcPr>
            <w:tcW w:w="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284,296</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296,117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Vehicles............................................</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22,318</w:t>
            </w:r>
          </w:p>
        </w:tc>
      </w:tr>
      <w:tr>
        <w:trPr>
          <w:trHeight w:val="168"/>
        </w:trPr>
        <w:tc>
          <w:tcPr>
            <w:tcW w:w="46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1,699,713</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1,292,562</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Accumulated depreciation and amortization...........</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(1,018,919)</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(956,811)</w:t>
            </w:r>
          </w:p>
        </w:tc>
      </w:tr>
      <w:tr>
        <w:trPr>
          <w:trHeight w:val="168"/>
        </w:trPr>
        <w:tc>
          <w:tcPr>
            <w:tcW w:w="46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Net property and equipment under capital leases..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680,794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335,751</w:t>
            </w:r>
          </w:p>
        </w:tc>
      </w:tr>
      <w:tr>
        <w:trPr>
          <w:trHeight w:val="168"/>
        </w:trPr>
        <w:tc>
          <w:tcPr>
            <w:tcW w:w="46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Amortization expense for assets recorded under capital leases is included with depreciation expense.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4" w:name="page35"/>
    <w:bookmarkEnd w:id="34"/>
    <w:p>
      <w:pPr>
        <w:ind w:right="3399"/>
        <w:spacing w:after="0" w:line="234" w:lineRule="auto"/>
        <w:rPr>
          <w:sz w:val="20"/>
          <w:szCs w:val="20"/>
          <w:color w:val="auto"/>
        </w:rPr>
      </w:pPr>
      <w:r>
        <w:rPr>
          <w:rFonts w:ascii="Courier New" w:cs="Courier New" w:eastAsia="Courier New" w:hAnsi="Courier New"/>
          <w:sz w:val="15"/>
          <w:szCs w:val="15"/>
          <w:color w:val="auto"/>
        </w:rPr>
        <w:t>Future minimum lease payments under capital leases and noncancelable operating leases with initial terms of one year or more are as follows:</w:t>
      </w:r>
    </w:p>
    <w:tbl>
      <w:tblPr>
        <w:tblLayout w:type="fixed"/>
        <w:tblInd w:w="0" w:type="dxa"/>
        <w:tblCellMar>
          <w:top w:w="0" w:type="dxa"/>
          <w:left w:w="0" w:type="dxa"/>
          <w:bottom w:w="0" w:type="dxa"/>
          <w:right w:w="0" w:type="dxa"/>
        </w:tblCellMar>
      </w:tblP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Operating</w:t>
            </w:r>
          </w:p>
        </w:tc>
      </w:t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6"/>
              </w:rPr>
              <w:t>For years ending June 30:</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3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208,763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$ 1,243,759</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1,036,557</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590,425</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410,058</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2006.............................................</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418,604</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Thereafter.......................................</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139,535</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262,475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$ 3,838,938</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use taxes......................................</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(15,672)</w:t>
            </w:r>
          </w:p>
        </w:tc>
        <w:tc>
          <w:tcPr>
            <w:tcW w:w="10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minimum lease payments....................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246,803</w:t>
            </w:r>
          </w:p>
        </w:tc>
        <w:tc>
          <w:tcPr>
            <w:tcW w:w="106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amount representing interest...................</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(16,749)</w:t>
            </w:r>
          </w:p>
        </w:tc>
        <w:tc>
          <w:tcPr>
            <w:tcW w:w="10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Present value of net minimum lease payments...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230,054</w:t>
            </w:r>
          </w:p>
        </w:tc>
        <w:tc>
          <w:tcPr>
            <w:tcW w:w="106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(181,827)</w:t>
            </w:r>
          </w:p>
        </w:tc>
        <w:tc>
          <w:tcPr>
            <w:tcW w:w="10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 lease obligation......................</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48,227</w:t>
            </w:r>
          </w:p>
        </w:tc>
        <w:tc>
          <w:tcPr>
            <w:tcW w:w="10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Certain operating leases contain escalation clauses based on the consumer price index. Rental expense, which was composed of minimum rentals under operating lease obligations, was $1,052,293, $664,026 and $511,836 for the years ended June 30, 2001, 2000 and 1999, respectively. The Company's operating lease on its facility, which expires 2006, provides for renewal options extending the terms an additional ten years. Rates charged would be at prevailing market rates at the time of renewal.</w:t>
      </w:r>
    </w:p>
    <w:p>
      <w:pPr>
        <w:spacing w:after="0" w:line="169" w:lineRule="exact"/>
        <w:rPr>
          <w:sz w:val="20"/>
          <w:szCs w:val="20"/>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Agreements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was a general partner in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2001, 2000 and 1999, was $3,600, $16,000 and $39,900, respectively. GRL was dissolved on February 20, 2001 after consent to dissolution and liquidation was received by a majority of the partners of GRL. The product line, which incorporated the proprietary interest, was deemed no longer integral to the product segment of the Company's business.</w:t>
      </w:r>
    </w:p>
    <w:p>
      <w:pPr>
        <w:spacing w:after="0" w:line="17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fiscal 1997, GR2L sold the proprietary interest in a new remote control product to the Company in exchange for a royalty agreement. Royalty expense for sales of remote control product under this agreement with GR2L for the years ended June 30, 2001, 2000 and 1999 was $90,793, $106,084 and $82,989, respectively. As of June 30, 2001, 2000 and 1999, GR2L owed the Company $0, $52,488 and $98,633, respectively, which was in the form of a note receivable from the partnership to the Company. The terms of the note were such that 50% of all the royalty proceeds were applied to the payment of the note's principal and interest first. The note was payable in full on April 30, 2001, and the interest rate on the note was equal to the Company's cost of short term funds. The note was repaid and GR2L was dissolved on May 21, 2001 after the completion of the sale of the remote control portion of the RFM/Broadcast division to Burk Technology. The Company paid $178,516 to GR2L in 2001, representing its royalty on the gain on the sale of the remote control product line. This amount is included in the determination of gain on sale in the statement of income.</w:t>
      </w:r>
    </w:p>
    <w:p>
      <w:pPr>
        <w:spacing w:after="0" w:line="157" w:lineRule="exact"/>
        <w:rPr>
          <w:sz w:val="20"/>
          <w:szCs w:val="20"/>
          <w:color w:val="auto"/>
        </w:rPr>
      </w:pPr>
    </w:p>
    <w:p>
      <w:pPr>
        <w:ind w:left="700" w:hanging="690"/>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tax gain on disposal of discontinued operations.....</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511,000</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over book depreciation of fixed assets...................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278,000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225,000</w:t>
            </w:r>
          </w:p>
        </w:tc>
      </w:tr>
      <w:tr>
        <w:trPr>
          <w:trHeight w:val="168"/>
        </w:trPr>
        <w:tc>
          <w:tcPr>
            <w:tcW w:w="56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Total deferred tax liabilities..................................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789,000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225,000</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Book over tax amortization of intangibles....................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receivable and other related reserves...............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110,000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87,000</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Inventory reserves...........................................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35,000</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accruals...............................................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88,402</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14,000</w:t>
            </w:r>
          </w:p>
        </w:tc>
      </w:tr>
      <w:tr>
        <w:trPr>
          <w:trHeight w:val="168"/>
        </w:trPr>
        <w:tc>
          <w:tcPr>
            <w:tcW w:w="56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Total deferred tax assets.......................................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290,402</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156,000</w:t>
            </w:r>
          </w:p>
        </w:tc>
      </w:tr>
      <w:tr>
        <w:trPr>
          <w:trHeight w:val="168"/>
        </w:trPr>
        <w:tc>
          <w:tcPr>
            <w:tcW w:w="56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deferred tax liabilities..............................</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(498,598)</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(69,000)</w:t>
            </w:r>
          </w:p>
        </w:tc>
      </w:tr>
      <w:tr>
        <w:trPr>
          <w:trHeight w:val="168"/>
        </w:trPr>
        <w:tc>
          <w:tcPr>
            <w:tcW w:w="56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classification of these deferred tax assets and liabilities on the balance sheets as of June 30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w w:val="97"/>
              </w:rPr>
              <w:t>Net current deferred tax assets.................................</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247,402</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136,000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non-current deferred tax liabilities........................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746,000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205,000</w:t>
            </w:r>
          </w:p>
        </w:tc>
      </w:tr>
      <w:tr>
        <w:trPr>
          <w:trHeight w:val="168"/>
        </w:trPr>
        <w:tc>
          <w:tcPr>
            <w:tcW w:w="56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deferred tax liabilities....................................</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(498,598)</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(69,000)</w:t>
            </w:r>
          </w:p>
        </w:tc>
      </w:tr>
      <w:tr>
        <w:trPr>
          <w:trHeight w:val="168"/>
        </w:trPr>
        <w:tc>
          <w:tcPr>
            <w:tcW w:w="56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discussed in Note 2, the deferred tax liability related to the deferred tax gain on disposal of discontinued operations relates solely to the note receivable issued in conjunction with the disposal of a business segment as does the related deferred tax expense.</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Income taxes on income from continuing operations for the years ending June 30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5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Federal.........................................</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$ 2,771,400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998,220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695,183</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444,080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166,603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132,717</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Foreign.........................................</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67,683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benefits allocated to contributed capital...</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117,084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239,000</w:t>
            </w:r>
          </w:p>
        </w:tc>
      </w:tr>
      <w:tr>
        <w:trPr>
          <w:trHeight w:val="168"/>
        </w:trPr>
        <w:tc>
          <w:tcPr>
            <w:tcW w:w="45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Total current......................................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3,400,247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2,451,823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1,066,900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Federal.........................................</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128,000</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14,000</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Foreign.........................................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(1,402)</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Total deferred.....................................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(81,402)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142,000</w:t>
            </w:r>
          </w:p>
        </w:tc>
      </w:tr>
      <w:tr>
        <w:trPr>
          <w:trHeight w:val="168"/>
        </w:trPr>
        <w:tc>
          <w:tcPr>
            <w:tcW w:w="45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$ 3,318,845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$ 2,418,823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$ 1,208,900</w:t>
            </w:r>
          </w:p>
        </w:tc>
      </w:tr>
      <w:tr>
        <w:trPr>
          <w:trHeight w:val="168"/>
        </w:trPr>
        <w:tc>
          <w:tcPr>
            <w:tcW w:w="45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reconciliation of the consolidated provision for income taxes to amounts determined by applying the prevailing U.S. federal statutory tax rates to pre-tax income from continuing operations is as follows for the year ended June 30:</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Tax at federal statutory rate......................</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68"/>
        </w:trPr>
        <w:tc>
          <w:tcPr>
            <w:tcW w:w="474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9"/>
              </w:rPr>
              <w:t>Increase (reduction) in computed tax rate</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40" w:type="dxa"/>
            <w:vAlign w:val="bottom"/>
          </w:tcPr>
          <w:p>
            <w:pPr>
              <w:jc w:val="right"/>
              <w:ind w:right="3167"/>
              <w:spacing w:after="0" w:line="168" w:lineRule="exact"/>
              <w:rPr>
                <w:sz w:val="20"/>
                <w:szCs w:val="20"/>
                <w:color w:val="auto"/>
              </w:rPr>
            </w:pPr>
            <w:r>
              <w:rPr>
                <w:rFonts w:ascii="Courier New" w:cs="Courier New" w:eastAsia="Courier New" w:hAnsi="Courier New"/>
                <w:sz w:val="15"/>
                <w:szCs w:val="15"/>
                <w:color w:val="auto"/>
              </w:rPr>
              <w:t>resulting from:</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 income taxes, net of federal effect.......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7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Nondeductible entertainment expenses and life</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insurance premiums...........................</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7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36</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785" w:right="1440" w:bottom="180" w:gutter="0" w:footer="0" w:header="0"/>
        </w:sectPr>
      </w:pPr>
    </w:p>
    <w:bookmarkStart w:id="36" w:name="page37"/>
    <w:bookmarkEnd w:id="36"/>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1990 Incentive Plan ("1990 Plan") has shares of common stock available for issuance to employees and directors. Provisions of the 1990 Plan include the granting of stock options. Generally, stock options vest over a five year period at 10%, 15%, 20%, 25% and 30% per year over years one through five. Certain other stock options vest in full after eight years (2004). Under the 1990 Plan, there are 200,000 shares available under options still outstanding. The Company also has a 1998 Stock Option Plan ("1998 Plan"). Provisions of the 1998 Plan include the granting of stock options. Certain options granted through December 1999 will vest based on earnings per share goals through 2003 but cliff vest after 9.75 years if earnings per share goals are not met. Options granted subsequent to December 1999 will vest based on earnings per share goals through 2005 but cliff vest after six years if earnings per share goals are not met. Under the 1998 Plan, there are 1,700,000 shares available. The 1998 Plan expires June 10, 2008, or when all the shares available under the plan have been issued. Information for the fiscal years 1999 through 2001 with respect to the Plans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4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Average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Exercise Price</w:t>
            </w:r>
          </w:p>
        </w:tc>
        <w:tc>
          <w:tcPr>
            <w:tcW w:w="7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Outstanding at June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1,853,000</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 granted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 expired</w:t>
            </w:r>
          </w:p>
        </w:tc>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canceled</w:t>
            </w: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(115,250)</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(429,702)</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0.75</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Outstanding at June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1,408,048</w:t>
            </w:r>
          </w:p>
        </w:tc>
        <w:tc>
          <w:tcPr>
            <w:tcW w:w="48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 granted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744,500</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13.57</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 expired</w:t>
            </w:r>
          </w:p>
        </w:tc>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canceled</w:t>
            </w: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(348,000)</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(296,000)</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Outstanding at June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1,508,548</w:t>
            </w:r>
          </w:p>
        </w:tc>
        <w:tc>
          <w:tcPr>
            <w:tcW w:w="48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12.89</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 granted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500,500</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12.73</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 expired</w:t>
            </w:r>
          </w:p>
        </w:tc>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canceled</w:t>
            </w: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(183,125)</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10.81</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(75,125)</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Outstanding at June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1,750,798</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The following table</w:t>
            </w:r>
          </w:p>
        </w:tc>
        <w:tc>
          <w:tcPr>
            <w:tcW w:w="3900" w:type="dxa"/>
            <w:vAlign w:val="bottom"/>
            <w:gridSpan w:val="4"/>
          </w:tcPr>
          <w:p>
            <w:pPr>
              <w:spacing w:after="0"/>
              <w:rPr>
                <w:sz w:val="20"/>
                <w:szCs w:val="20"/>
                <w:color w:val="auto"/>
              </w:rPr>
            </w:pPr>
            <w:r>
              <w:rPr>
                <w:rFonts w:ascii="Courier New" w:cs="Courier New" w:eastAsia="Courier New" w:hAnsi="Courier New"/>
                <w:sz w:val="15"/>
                <w:szCs w:val="15"/>
                <w:color w:val="auto"/>
                <w:w w:val="97"/>
              </w:rPr>
              <w:t>summarizes  information  about stock options</w:t>
            </w:r>
          </w:p>
        </w:tc>
        <w:tc>
          <w:tcPr>
            <w:tcW w:w="14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outstanding at</w:t>
            </w:r>
          </w:p>
        </w:tc>
        <w:tc>
          <w:tcPr>
            <w:tcW w:w="78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 under</w:t>
            </w:r>
          </w:p>
        </w:tc>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Plans: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Options Outstanding</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Exercisable</w:t>
            </w: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Weighted</w:t>
            </w:r>
          </w:p>
        </w:tc>
      </w:tr>
      <w:tr>
        <w:trPr>
          <w:trHeight w:val="168"/>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Weighted</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76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Outstanding at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Average</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at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Price Range</w:t>
            </w:r>
          </w:p>
        </w:tc>
        <w:tc>
          <w:tcPr>
            <w:tcW w:w="390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June 30, 2001 Remaining Life Exercise Price</w:t>
            </w:r>
          </w:p>
        </w:tc>
        <w:tc>
          <w:tcPr>
            <w:tcW w:w="1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June 30, 2001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w:t>
            </w:r>
          </w:p>
        </w:tc>
        <w:tc>
          <w:tcPr>
            <w:tcW w:w="390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 -------------- --------------</w:t>
            </w:r>
          </w:p>
        </w:tc>
        <w:tc>
          <w:tcPr>
            <w:tcW w:w="1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76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6"/>
              </w:rPr>
              <w:t>$0.72 to $1.96</w:t>
            </w:r>
          </w:p>
        </w:tc>
        <w:tc>
          <w:tcPr>
            <w:tcW w:w="30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331,548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2.8 years</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$0.78</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252,798</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$0.77</w:t>
            </w:r>
          </w:p>
        </w:tc>
      </w:tr>
      <w:tr>
        <w:trPr>
          <w:trHeight w:val="168"/>
        </w:trPr>
        <w:tc>
          <w:tcPr>
            <w:tcW w:w="176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$1.97 to $3.92</w:t>
            </w:r>
          </w:p>
        </w:tc>
        <w:tc>
          <w:tcPr>
            <w:tcW w:w="3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432,000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6.9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$2.66</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246,000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176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$3.93 to $5.88</w:t>
            </w:r>
          </w:p>
        </w:tc>
        <w:tc>
          <w:tcPr>
            <w:tcW w:w="3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7.8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$3.94</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176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$5.89 to $9.81</w:t>
            </w:r>
          </w:p>
        </w:tc>
        <w:tc>
          <w:tcPr>
            <w:tcW w:w="3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27,500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8.3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$9.69</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13,250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w:t>
            </w:r>
          </w:p>
        </w:tc>
      </w:tr>
      <w:tr>
        <w:trPr>
          <w:trHeight w:val="168"/>
        </w:trPr>
        <w:tc>
          <w:tcPr>
            <w:tcW w:w="206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$9.82 to $11.77</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94,000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9.6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$10.64</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10,800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206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$11.78 to $13.73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211,500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9.3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$12.52</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36,500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$12.40</w:t>
            </w:r>
          </w:p>
        </w:tc>
      </w:tr>
      <w:tr>
        <w:trPr>
          <w:trHeight w:val="168"/>
        </w:trPr>
        <w:tc>
          <w:tcPr>
            <w:tcW w:w="206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$13.74 to $15.70</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633,750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8.9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$14.58</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163,196</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$14.42</w:t>
            </w:r>
          </w:p>
        </w:tc>
      </w:tr>
      <w:tr>
        <w:trPr>
          <w:trHeight w:val="168"/>
        </w:trPr>
        <w:tc>
          <w:tcPr>
            <w:tcW w:w="206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$15.71 to $19.63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8.7 years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$19.63</w:t>
            </w:r>
          </w:p>
        </w:tc>
        <w:tc>
          <w:tcPr>
            <w:tcW w:w="4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$19.63</w:t>
            </w:r>
          </w:p>
        </w:tc>
      </w:tr>
      <w:tr>
        <w:trPr>
          <w:trHeight w:val="168"/>
        </w:trPr>
        <w:tc>
          <w:tcPr>
            <w:tcW w:w="176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1,750,798</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730,669</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There were 398,875 options available for future grant at June 30, 2001. However, 251,250 of the options available are from the 1990 plan which, under the terms of the 1998 plan are no longer issuable. The following are the options exercisable at the corresponding weighted average exercise price at June 30, 2001, 2000 and 1999, respectively: 730,669 at $5.38; 304,798 at $1.45 and 341,548 at $0.82.</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7" w:name="page38"/>
    <w:bookmarkEnd w:id="37"/>
    <w:p>
      <w:pPr>
        <w:jc w:val="both"/>
        <w:ind w:right="3239"/>
        <w:spacing w:after="0" w:line="235" w:lineRule="auto"/>
        <w:rPr>
          <w:sz w:val="20"/>
          <w:szCs w:val="20"/>
          <w:color w:val="auto"/>
        </w:rPr>
      </w:pPr>
      <w:r>
        <w:rPr>
          <w:rFonts w:ascii="Courier New" w:cs="Courier New" w:eastAsia="Courier New" w:hAnsi="Courier New"/>
          <w:sz w:val="15"/>
          <w:szCs w:val="15"/>
          <w:color w:val="auto"/>
        </w:rPr>
        <w:t>On May 12, 1999 the Company registered with the Securities and Exchange Commission all shares of common stock previously issued or issuable under the 1998 Plan.</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its option plans. No compensation expense has been recognized for options granted under the stock option plans because the exercise price of the options equals the market price of the underlying stock on the date of the grant. If compensation expense for the Company's stock-based compensation plan had been determined consistent with SFAS 123 "Accounting and Disclosure of Stock-based Compensation," the Company's net income and diluted earnings per share would have been the pro forma amount indicated below:</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Fiscal Year</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Fiscal Year</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w:t>
            </w:r>
          </w:p>
        </w:tc>
      </w:tr>
      <w:tr>
        <w:trPr>
          <w:trHeight w:val="168"/>
        </w:trPr>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As Reported</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7,482,489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4,728,333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2,544,471</w:t>
            </w:r>
          </w:p>
        </w:tc>
      </w:tr>
      <w:tr>
        <w:trPr>
          <w:trHeight w:val="168"/>
        </w:trPr>
        <w:tc>
          <w:tcPr>
            <w:tcW w:w="34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4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Pro Forma</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4,879,869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1,788,567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1,865,777</w:t>
            </w:r>
          </w:p>
        </w:tc>
      </w:tr>
      <w:tr>
        <w:trPr>
          <w:trHeight w:val="168"/>
        </w:trPr>
        <w:tc>
          <w:tcPr>
            <w:tcW w:w="34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0.22</w:t>
            </w:r>
          </w:p>
        </w:tc>
      </w:tr>
    </w:tbl>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pro forma results above are not likely to be representative of the effects of applying SFAS 123 on reported net income for future years as these amounts only reflect the expense from three years.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weighted average fair value as defined by SFAS 123 of each option granted in fiscal 2001, 2000 and 1999 is estimated as $12.73, $8.83 and $1.97, respectively, on the date of grant using the Black-Scholes model with the following weighted average assumptions: expected dividend yield, 0%; risk-free interest rate, 4.85%; expected price volatility, 82.75%; and expected life of options, 6.25 years.</w:t>
      </w:r>
    </w:p>
    <w:p>
      <w:pPr>
        <w:spacing w:after="0" w:line="168" w:lineRule="exact"/>
        <w:rPr>
          <w:sz w:val="20"/>
          <w:szCs w:val="20"/>
          <w:color w:val="auto"/>
        </w:rPr>
      </w:pPr>
    </w:p>
    <w:p>
      <w:pPr>
        <w:ind w:left="700" w:hanging="690"/>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Sales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provides products to the international professional communications market. These products are designed, manufactured, distributed from, and serviced at the Company's facilities in Salt Lake City, Utah. During October 2000, Gentner established Gentner Communications EuMEA GmbH, a wholly owned subsidiary that began operations during December 2000. Gentner EuMEA focuses on distribution, technical support and training to Europe, the Middle East and northern Africa. The Company also uses either master distributors or international dealers to facilitate its international sales. Currently, the Company's products are distributed to at least 70 different countries.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ships products to unaffiliated distributors in worldwide markets. In fiscal 2001, 2000 and 1999, such international sales were $5,100,100, $3,512,600 and $2,508,400, respectively, and accounted for 13%, 12% and 12% of total sales from continuing operations. During those years, the Company shipped the following amounts to the following areas: Canada - $1,221,500, $1,040,600 and $1,040,900; EuMEA - $2,063,200, $1,120,900 and $663,100; Asia - $884,100, $718,600 and $331,000; Latin America - $199,600, $118,800 and $145,700; Other Areas - $731,700, $513,800 and $327,600.</w:t>
      </w:r>
    </w:p>
    <w:p>
      <w:pPr>
        <w:spacing w:after="0" w:line="171" w:lineRule="exact"/>
        <w:rPr>
          <w:sz w:val="20"/>
          <w:szCs w:val="20"/>
          <w:color w:val="auto"/>
        </w:rPr>
      </w:pPr>
    </w:p>
    <w:p>
      <w:pPr>
        <w:ind w:left="700" w:hanging="690"/>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Savings and Profit Sharing Plan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a 401(k) retirement savings and profit sharing plan to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 expense for the 2001, 2000 and 1999 fiscal years totaled $66,000, $96,000 and $69,000, respectively.</w:t>
      </w:r>
    </w:p>
    <w:p>
      <w:pPr>
        <w:spacing w:after="0" w:line="171" w:lineRule="exact"/>
        <w:rPr>
          <w:sz w:val="20"/>
          <w:szCs w:val="20"/>
          <w:color w:val="auto"/>
        </w:rPr>
      </w:pPr>
    </w:p>
    <w:p>
      <w:pPr>
        <w:ind w:left="700" w:hanging="690"/>
        <w:spacing w:after="0"/>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a result of the sale of the remote control product line, the Company has changed how it evaluates its operations internally, resulting in a change in its reported segments from its Form 10-KSB for fiscal year 2000. Subsequent to the disposal, the Company operates in two different segments - Products and Services. The Products segment includes products for conferencing, sound reinforcement, broadcast telephone interface and assistive listening applications. The Services segment includes operator-assisted conferencing; on-demand, reservationless conference calling; Webconferencing, and audio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38" w:name="page39"/>
    <w:bookmarkEnd w:id="38"/>
    <w:p>
      <w:pPr>
        <w:jc w:val="both"/>
        <w:ind w:right="3239"/>
        <w:spacing w:after="0" w:line="235" w:lineRule="auto"/>
        <w:rPr>
          <w:sz w:val="20"/>
          <w:szCs w:val="20"/>
          <w:color w:val="auto"/>
        </w:rPr>
      </w:pPr>
      <w:r>
        <w:rPr>
          <w:rFonts w:ascii="Courier New" w:cs="Courier New" w:eastAsia="Courier New" w:hAnsi="Courier New"/>
          <w:sz w:val="15"/>
          <w:szCs w:val="15"/>
          <w:color w:val="auto"/>
        </w:rPr>
        <w:t>video streaming. Information for the prior years has been restated to conform to this new method of evaluating segments and to show continuing and discontinued operations.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reportable segments are strategic business units that offer products and services to satisfy different customer needs. They are managed separately because each segment requires focus and attention on its market and distribution channel.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the segment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Company</w:t>
            </w:r>
          </w:p>
        </w:tc>
      </w:tr>
      <w:tr>
        <w:trPr>
          <w:trHeight w:val="168"/>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Products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Services</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Totals</w:t>
            </w:r>
          </w:p>
        </w:tc>
      </w:tr>
      <w:tr>
        <w:trPr>
          <w:trHeight w:val="168"/>
        </w:trPr>
        <w:tc>
          <w:tcPr>
            <w:tcW w:w="3720" w:type="dxa"/>
            <w:vAlign w:val="bottom"/>
          </w:tcPr>
          <w:p>
            <w:pPr>
              <w:spacing w:after="0"/>
              <w:rPr>
                <w:sz w:val="14"/>
                <w:szCs w:val="14"/>
                <w:color w:val="auto"/>
              </w:rPr>
            </w:pP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June 30, 2001:</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$28,189,612</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$11,688,793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39,878,405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10,633,956</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5,869,106</w:t>
            </w: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16,503,062</w:t>
            </w:r>
          </w:p>
        </w:tc>
      </w:tr>
      <w:tr>
        <w:trPr>
          <w:trHeight w:val="168"/>
        </w:trPr>
        <w:tc>
          <w:tcPr>
            <w:tcW w:w="37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17,555,656</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5,819,687</w:t>
            </w: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23,375,343</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5,302,634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2,450,658</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7,753,292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4,648,999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2,502,169</w:t>
            </w: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2,502,169</w:t>
            </w:r>
          </w:p>
        </w:tc>
      </w:tr>
      <w:tr>
        <w:trPr>
          <w:trHeight w:val="168"/>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14,904,460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8,470,883</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373,147</w:t>
            </w:r>
          </w:p>
        </w:tc>
      </w:tr>
      <w:tr>
        <w:trPr>
          <w:trHeight w:val="168"/>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8,844,030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(3,318,845)</w:t>
            </w:r>
          </w:p>
        </w:tc>
      </w:tr>
      <w:tr>
        <w:trPr>
          <w:trHeight w:val="168"/>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5,525,185</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applicable taxes of $438,065</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737,280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disposal of business segment,</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applicable taxes of $725,788</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1,220,024</w:t>
            </w:r>
          </w:p>
        </w:tc>
      </w:tr>
      <w:tr>
        <w:trPr>
          <w:trHeight w:val="168"/>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7,482,489</w:t>
            </w:r>
          </w:p>
        </w:tc>
      </w:tr>
      <w:tr>
        <w:trPr>
          <w:trHeight w:val="168"/>
        </w:trPr>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June 30, 2000:</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$22,226,504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$ 5,891,909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8,033,867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2,974,456</w:t>
            </w:r>
          </w:p>
        </w:tc>
      </w:tr>
      <w:tr>
        <w:trPr>
          <w:trHeight w:val="168"/>
        </w:trPr>
        <w:tc>
          <w:tcPr>
            <w:tcW w:w="37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14,192,637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2,917,453</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4,432,756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1,733,161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1,270,819</w:t>
            </w:r>
          </w:p>
        </w:tc>
        <w:tc>
          <w:tcPr>
            <w:tcW w:w="128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applicable taxes of $253,778</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$17,056,780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$ 3,211,322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6,670,149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2,237,605</w:t>
            </w:r>
          </w:p>
        </w:tc>
      </w:tr>
      <w:tr>
        <w:trPr>
          <w:trHeight w:val="168"/>
        </w:trPr>
        <w:tc>
          <w:tcPr>
            <w:tcW w:w="37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10,386,631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973,717</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3,337,424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976,215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1,194,686</w:t>
            </w:r>
          </w:p>
        </w:tc>
        <w:tc>
          <w:tcPr>
            <w:tcW w:w="12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237" w:lineRule="auto"/>
        <w:rPr>
          <w:sz w:val="20"/>
          <w:szCs w:val="20"/>
          <w:color w:val="auto"/>
        </w:rPr>
      </w:pPr>
      <w:r>
        <w:rPr>
          <w:rFonts w:ascii="Courier New" w:cs="Courier New" w:eastAsia="Courier New" w:hAnsi="Courier New"/>
          <w:sz w:val="15"/>
          <w:szCs w:val="15"/>
          <w:color w:val="auto"/>
        </w:rPr>
        <w:t>Other income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w:t>
      </w:r>
    </w:p>
    <w:p>
      <w:pPr>
        <w:ind w:left="280"/>
        <w:spacing w:after="0" w:line="237" w:lineRule="auto"/>
        <w:rPr>
          <w:sz w:val="20"/>
          <w:szCs w:val="20"/>
          <w:color w:val="auto"/>
        </w:rPr>
      </w:pPr>
      <w:r>
        <w:rPr>
          <w:rFonts w:ascii="Courier New" w:cs="Courier New" w:eastAsia="Courier New" w:hAnsi="Courier New"/>
          <w:sz w:val="15"/>
          <w:szCs w:val="15"/>
          <w:color w:val="auto"/>
        </w:rPr>
        <w:t>before income taxes</w:t>
      </w:r>
    </w:p>
    <w:p>
      <w:pPr>
        <w:spacing w:after="0" w:line="238" w:lineRule="auto"/>
        <w:rPr>
          <w:sz w:val="20"/>
          <w:szCs w:val="20"/>
          <w:color w:val="auto"/>
        </w:rPr>
      </w:pPr>
      <w:r>
        <w:rPr>
          <w:rFonts w:ascii="Courier New" w:cs="Courier New" w:eastAsia="Courier New" w:hAnsi="Courier New"/>
          <w:sz w:val="15"/>
          <w:szCs w:val="15"/>
          <w:color w:val="auto"/>
        </w:rPr>
        <w:t>Provision for income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discontinued operations,</w:t>
      </w:r>
    </w:p>
    <w:p>
      <w:pPr>
        <w:ind w:left="280"/>
        <w:spacing w:after="0" w:line="237" w:lineRule="auto"/>
        <w:rPr>
          <w:sz w:val="20"/>
          <w:szCs w:val="20"/>
          <w:color w:val="auto"/>
        </w:rPr>
      </w:pPr>
      <w:r>
        <w:rPr>
          <w:rFonts w:ascii="Courier New" w:cs="Courier New" w:eastAsia="Courier New" w:hAnsi="Courier New"/>
          <w:sz w:val="15"/>
          <w:szCs w:val="15"/>
          <w:color w:val="auto"/>
        </w:rPr>
        <w:t>net of applicable taxes of $311,800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200" w:lineRule="exact"/>
        <w:rPr>
          <w:sz w:val="20"/>
          <w:szCs w:val="20"/>
          <w:color w:val="auto"/>
        </w:rPr>
      </w:pPr>
    </w:p>
    <w:p>
      <w:pPr>
        <w:spacing w:after="0" w:line="303" w:lineRule="exact"/>
        <w:rPr>
          <w:sz w:val="20"/>
          <w:szCs w:val="20"/>
          <w:color w:val="auto"/>
        </w:rPr>
      </w:pPr>
    </w:p>
    <w:p>
      <w:pPr>
        <w:ind w:left="700" w:hanging="690"/>
        <w:spacing w:after="0"/>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Business</w:t>
      </w:r>
    </w:p>
    <w:p>
      <w:pPr>
        <w:spacing w:after="0" w:line="17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In May 2000, the Company entered into an agreement to purchase substantially all of the assets of ClearOne, Inc. ("ClearOne") for $3.4 million plus approximately $300,000 in inventory, with a combination of cash and restricted stock. Under the terms of the agreement, the Company issued 129,871 shares of common stock valued at $15.40 and cash of $1,758,085. Goodwill resulting from the difference between the purchase price plus acquisition costs and the net assets acquired, including a non-compete agreement of $240,000, totaled approximately $2.8 million and is being amortized on a straight-line basis over fifteen years. ClearOne was a privately held developer and manufacturer of multimedia group communications products. On July 5, 2000, the acquisition was consummated and was accounted for under the purchase method of accounting. Operations since that date are included in the consolidated statement of income for the year ended June 30, 2001.</w:t>
      </w:r>
    </w:p>
    <w:p>
      <w:pPr>
        <w:spacing w:after="0" w:line="33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The following pro forma combined financial information reflects operations as if the acquisition of ClearOne had occurred as of July 1, 1999. The pro forma combined financial information is presented for illustrative purposes only, does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80" w:hanging="178"/>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28,118,413</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11,008,323</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17,110,090</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6,165,917</w:t>
      </w:r>
    </w:p>
    <w:p>
      <w:pPr>
        <w:ind w:left="260"/>
        <w:spacing w:after="0" w:line="237" w:lineRule="auto"/>
        <w:rPr>
          <w:sz w:val="20"/>
          <w:szCs w:val="20"/>
          <w:color w:val="auto"/>
        </w:rPr>
      </w:pPr>
      <w:r>
        <w:rPr>
          <w:rFonts w:ascii="Courier New" w:cs="Courier New" w:eastAsia="Courier New" w:hAnsi="Courier New"/>
          <w:sz w:val="15"/>
          <w:szCs w:val="15"/>
          <w:color w:val="auto"/>
        </w:rPr>
        <w:t>3,132,125</w:t>
      </w:r>
    </w:p>
    <w:p>
      <w:pPr>
        <w:ind w:left="260"/>
        <w:spacing w:after="0" w:line="238" w:lineRule="auto"/>
        <w:rPr>
          <w:sz w:val="20"/>
          <w:szCs w:val="20"/>
          <w:color w:val="auto"/>
        </w:rPr>
      </w:pPr>
      <w:r>
        <w:rPr>
          <w:rFonts w:ascii="Courier New" w:cs="Courier New" w:eastAsia="Courier New" w:hAnsi="Courier New"/>
          <w:sz w:val="15"/>
          <w:szCs w:val="15"/>
          <w:color w:val="auto"/>
        </w:rPr>
        <w:t>1,270,819</w:t>
      </w:r>
    </w:p>
    <w:p>
      <w:pPr>
        <w:ind w:left="80"/>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10,568,861</w:t>
      </w:r>
    </w:p>
    <w:p>
      <w:pPr>
        <w:spacing w:after="0" w:line="167"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5"/>
          <w:szCs w:val="15"/>
          <w:color w:val="auto"/>
        </w:rPr>
        <w:t>6,541,229</w:t>
      </w:r>
    </w:p>
    <w:p>
      <w:pPr>
        <w:jc w:val="right"/>
        <w:ind w:right="1999"/>
        <w:spacing w:after="0" w:line="237" w:lineRule="auto"/>
        <w:rPr>
          <w:sz w:val="20"/>
          <w:szCs w:val="20"/>
          <w:color w:val="auto"/>
        </w:rPr>
      </w:pPr>
      <w:r>
        <w:rPr>
          <w:rFonts w:ascii="Courier New" w:cs="Courier New" w:eastAsia="Courier New" w:hAnsi="Courier New"/>
          <w:sz w:val="15"/>
          <w:szCs w:val="15"/>
          <w:color w:val="auto"/>
        </w:rPr>
        <w:t>179,336</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5"/>
          <w:szCs w:val="15"/>
          <w:color w:val="auto"/>
        </w:rPr>
        <w:t>6,720,565</w:t>
      </w:r>
    </w:p>
    <w:p>
      <w:pPr>
        <w:spacing w:after="0" w:line="5"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4"/>
          <w:szCs w:val="14"/>
          <w:color w:val="auto"/>
        </w:rPr>
        <w:t>(2,418,823)</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4,301,742</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426,591</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0" w:hanging="258"/>
        <w:spacing w:after="0"/>
        <w:tabs>
          <w:tab w:leader="none" w:pos="2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4,728,333</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180" w:hanging="178"/>
        <w:spacing w:after="0"/>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20,268,102</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8,907,754</w:t>
      </w:r>
    </w:p>
    <w:p>
      <w:pPr>
        <w:ind w:left="8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11,360,348</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4,313,639</w:t>
      </w:r>
    </w:p>
    <w:p>
      <w:pPr>
        <w:ind w:left="260"/>
        <w:spacing w:after="0" w:line="237" w:lineRule="auto"/>
        <w:rPr>
          <w:sz w:val="20"/>
          <w:szCs w:val="20"/>
          <w:color w:val="auto"/>
        </w:rPr>
      </w:pPr>
      <w:r>
        <w:rPr>
          <w:rFonts w:ascii="Courier New" w:cs="Courier New" w:eastAsia="Courier New" w:hAnsi="Courier New"/>
          <w:sz w:val="15"/>
          <w:szCs w:val="15"/>
          <w:color w:val="auto"/>
        </w:rPr>
        <w:t>2,544,665</w:t>
      </w:r>
    </w:p>
    <w:p>
      <w:pPr>
        <w:ind w:left="260"/>
        <w:spacing w:after="0" w:line="238" w:lineRule="auto"/>
        <w:rPr>
          <w:sz w:val="20"/>
          <w:szCs w:val="20"/>
          <w:color w:val="auto"/>
        </w:rPr>
      </w:pPr>
      <w:r>
        <w:rPr>
          <w:rFonts w:ascii="Courier New" w:cs="Courier New" w:eastAsia="Courier New" w:hAnsi="Courier New"/>
          <w:sz w:val="15"/>
          <w:szCs w:val="15"/>
          <w:color w:val="auto"/>
        </w:rPr>
        <w:t>1,194,686</w:t>
      </w:r>
    </w:p>
    <w:p>
      <w:pPr>
        <w:ind w:left="8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8,052,990</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3,307,358</w:t>
      </w:r>
    </w:p>
    <w:p>
      <w:pPr>
        <w:jc w:val="right"/>
        <w:ind w:right="1919"/>
        <w:spacing w:after="0" w:line="237" w:lineRule="auto"/>
        <w:rPr>
          <w:sz w:val="20"/>
          <w:szCs w:val="20"/>
          <w:color w:val="auto"/>
        </w:rPr>
      </w:pPr>
      <w:r>
        <w:rPr>
          <w:rFonts w:ascii="Courier New" w:cs="Courier New" w:eastAsia="Courier New" w:hAnsi="Courier New"/>
          <w:sz w:val="15"/>
          <w:szCs w:val="15"/>
          <w:color w:val="auto"/>
        </w:rPr>
        <w:t>(78,112)</w:t>
      </w:r>
    </w:p>
    <w:p>
      <w:pPr>
        <w:ind w:left="3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5"/>
          <w:szCs w:val="15"/>
          <w:color w:val="auto"/>
        </w:rPr>
        <w:t>3,229,246</w:t>
      </w:r>
    </w:p>
    <w:p>
      <w:pPr>
        <w:spacing w:after="0" w:line="5"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4"/>
          <w:szCs w:val="14"/>
          <w:color w:val="auto"/>
        </w:rPr>
        <w:t>(1,208,900)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2,020,346</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524,125</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0" w:hanging="258"/>
        <w:spacing w:after="0"/>
        <w:tabs>
          <w:tab w:leader="none" w:pos="2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2,544,471</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44" w:lineRule="exact"/>
        <w:rPr>
          <w:sz w:val="20"/>
          <w:szCs w:val="20"/>
          <w:color w:val="auto"/>
        </w:rPr>
      </w:pPr>
    </w:p>
    <w:p>
      <w:pPr>
        <w:sectPr>
          <w:pgSz w:w="11900" w:h="16838" w:orient="portrait"/>
          <w:cols w:equalWidth="0" w:num="2">
            <w:col w:w="7000" w:space="180"/>
            <w:col w:w="3059"/>
          </w:cols>
          <w:pgMar w:left="220" w:top="617" w:right="1440" w:bottom="1440" w:gutter="0" w:footer="0" w:header="0"/>
        </w:sectPr>
      </w:pPr>
    </w:p>
    <w:p>
      <w:pPr>
        <w:spacing w:after="0" w:line="1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type w:val="continuous"/>
        </w:sectPr>
      </w:pPr>
    </w:p>
    <w:bookmarkStart w:id="40" w:name="page41"/>
    <w:bookmarkEnd w:id="40"/>
    <w:p>
      <w:pPr>
        <w:jc w:val="both"/>
        <w:ind w:right="3239"/>
        <w:spacing w:after="0" w:line="235" w:lineRule="auto"/>
        <w:rPr>
          <w:sz w:val="20"/>
          <w:szCs w:val="20"/>
          <w:color w:val="auto"/>
        </w:rPr>
      </w:pPr>
      <w:r>
        <w:rPr>
          <w:rFonts w:ascii="Courier New" w:cs="Courier New" w:eastAsia="Courier New" w:hAnsi="Courier New"/>
          <w:sz w:val="15"/>
          <w:szCs w:val="15"/>
          <w:color w:val="auto"/>
        </w:rPr>
        <w:t>not purport to be indicative of the Company's results of operations as of the date hereof and is not indicative necessarily of what the Company's actual results of operations would have been had the acquisition been consummated on such date.</w:t>
      </w:r>
    </w:p>
    <w:p>
      <w:pPr>
        <w:spacing w:after="0" w:line="200" w:lineRule="exact"/>
        <w:rPr>
          <w:sz w:val="20"/>
          <w:szCs w:val="20"/>
          <w:color w:val="auto"/>
        </w:rPr>
      </w:pPr>
    </w:p>
    <w:p>
      <w:pPr>
        <w:spacing w:after="0" w:line="312" w:lineRule="exact"/>
        <w:rPr>
          <w:sz w:val="20"/>
          <w:szCs w:val="20"/>
          <w:color w:val="auto"/>
        </w:rPr>
      </w:pPr>
    </w:p>
    <w:p>
      <w:pPr>
        <w:ind w:left="7180"/>
        <w:spacing w:after="0"/>
        <w:rPr>
          <w:sz w:val="20"/>
          <w:szCs w:val="20"/>
          <w:color w:val="auto"/>
        </w:rPr>
      </w:pPr>
      <w:r>
        <w:rPr>
          <w:rFonts w:ascii="Courier New" w:cs="Courier New" w:eastAsia="Courier New" w:hAnsi="Courier New"/>
          <w:sz w:val="14"/>
          <w:szCs w:val="14"/>
          <w:color w:val="auto"/>
        </w:rPr>
        <w:t>Fiscal year ended</w:t>
      </w:r>
    </w:p>
    <w:p>
      <w:pPr>
        <w:spacing w:after="0" w:line="3" w:lineRule="exact"/>
        <w:rPr>
          <w:sz w:val="20"/>
          <w:szCs w:val="20"/>
          <w:color w:val="auto"/>
        </w:rPr>
      </w:pPr>
    </w:p>
    <w:p>
      <w:pPr>
        <w:ind w:left="7540"/>
        <w:spacing w:after="0"/>
        <w:rPr>
          <w:sz w:val="20"/>
          <w:szCs w:val="20"/>
          <w:color w:val="auto"/>
        </w:rPr>
      </w:pPr>
      <w:r>
        <w:rPr>
          <w:rFonts w:ascii="Courier New" w:cs="Courier New" w:eastAsia="Courier New" w:hAnsi="Courier New"/>
          <w:sz w:val="15"/>
          <w:szCs w:val="15"/>
          <w:color w:val="auto"/>
        </w:rPr>
        <w:t>June 30,</w:t>
      </w:r>
    </w:p>
    <w:p>
      <w:pPr>
        <w:ind w:left="75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24" w:right="1440" w:bottom="1440" w:gutter="0" w:footer="0" w:header="0"/>
        </w:sectPr>
      </w:pPr>
    </w:p>
    <w:p>
      <w:pPr>
        <w:spacing w:after="0" w:line="5" w:lineRule="exact"/>
        <w:rPr>
          <w:sz w:val="20"/>
          <w:szCs w:val="20"/>
          <w:color w:val="auto"/>
        </w:rPr>
      </w:pPr>
    </w:p>
    <w:p>
      <w:pPr>
        <w:ind w:left="7100"/>
        <w:spacing w:after="0"/>
        <w:rPr>
          <w:sz w:val="20"/>
          <w:szCs w:val="20"/>
          <w:color w:val="auto"/>
        </w:rPr>
      </w:pPr>
      <w:r>
        <w:rPr>
          <w:rFonts w:ascii="Courier New" w:cs="Courier New" w:eastAsia="Courier New" w:hAnsi="Courier New"/>
          <w:sz w:val="14"/>
          <w:szCs w:val="14"/>
          <w:color w:val="auto"/>
        </w:rPr>
        <w:t>2001</w:t>
      </w:r>
    </w:p>
    <w:p>
      <w:pPr>
        <w:spacing w:after="0" w:line="10" w:lineRule="exact"/>
        <w:rPr>
          <w:sz w:val="20"/>
          <w:szCs w:val="20"/>
          <w:color w:val="auto"/>
        </w:rPr>
      </w:pPr>
    </w:p>
    <w:p>
      <w:pPr>
        <w:ind w:left="7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7600" w:space="720"/>
            <w:col w:w="1919"/>
          </w:cols>
          <w:pgMar w:left="220" w:top="624" w:right="1440" w:bottom="1440" w:gutter="0" w:footer="0" w:header="0"/>
          <w:type w:val="continuous"/>
        </w:sectPr>
      </w:pPr>
    </w:p>
    <w:p>
      <w:pPr>
        <w:spacing w:after="0" w:line="14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w w:val="97"/>
              </w:rPr>
              <w:t>Net revenue.............................................................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$39,878,405</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$28,617,198</w:t>
            </w:r>
          </w:p>
        </w:tc>
      </w:tr>
      <w:tr>
        <w:trPr>
          <w:trHeight w:val="168"/>
        </w:trPr>
        <w:tc>
          <w:tcPr>
            <w:tcW w:w="6340" w:type="dxa"/>
            <w:vAlign w:val="bottom"/>
          </w:tcPr>
          <w:p>
            <w:pPr>
              <w:spacing w:after="0"/>
              <w:rPr>
                <w:sz w:val="14"/>
                <w:szCs w:val="14"/>
                <w:color w:val="auto"/>
              </w:rPr>
            </w:pP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5,525,185</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3,706,539</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from discontinued operations.....................................</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737,280</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426,951</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Gain on disposal of business segment....................................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1,220,024</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40" w:type="dxa"/>
            <w:vAlign w:val="bottom"/>
          </w:tcPr>
          <w:p>
            <w:pPr>
              <w:spacing w:after="0"/>
              <w:rPr>
                <w:sz w:val="14"/>
                <w:szCs w:val="14"/>
                <w:color w:val="auto"/>
              </w:rPr>
            </w:pP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10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$7,482,489</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$ 4,133,490</w:t>
            </w:r>
          </w:p>
        </w:tc>
      </w:tr>
      <w:tr>
        <w:trPr>
          <w:trHeight w:val="168"/>
        </w:trPr>
        <w:tc>
          <w:tcPr>
            <w:tcW w:w="6340" w:type="dxa"/>
            <w:vAlign w:val="bottom"/>
          </w:tcPr>
          <w:p>
            <w:pPr>
              <w:spacing w:after="0"/>
              <w:rPr>
                <w:sz w:val="14"/>
                <w:szCs w:val="14"/>
                <w:color w:val="auto"/>
              </w:rPr>
            </w:pPr>
          </w:p>
        </w:tc>
        <w:tc>
          <w:tcPr>
            <w:tcW w:w="110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340" w:type="dxa"/>
            <w:vAlign w:val="bottom"/>
          </w:tcPr>
          <w:p>
            <w:pPr>
              <w:spacing w:after="0"/>
              <w:rPr>
                <w:sz w:val="20"/>
                <w:szCs w:val="20"/>
                <w:color w:val="auto"/>
              </w:rPr>
            </w:pPr>
            <w:r>
              <w:rPr>
                <w:rFonts w:ascii="Courier New" w:cs="Courier New" w:eastAsia="Courier New" w:hAnsi="Courier New"/>
                <w:sz w:val="15"/>
                <w:szCs w:val="15"/>
                <w:color w:val="auto"/>
                <w:w w:val="97"/>
              </w:rPr>
              <w:t>Net income per share from continuing operations - basic.................</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9"/>
              </w:rPr>
              <w:t>0.64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0.45</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per share from discontinued operations - basic...............</w:t>
            </w:r>
          </w:p>
        </w:tc>
        <w:tc>
          <w:tcPr>
            <w:tcW w:w="1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0.23</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per share - basic ...........................................</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0.87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0.50</w:t>
            </w: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40" w:type="dxa"/>
            <w:vAlign w:val="bottom"/>
          </w:tcPr>
          <w:p>
            <w:pPr>
              <w:spacing w:after="0"/>
              <w:rPr>
                <w:sz w:val="20"/>
                <w:szCs w:val="20"/>
                <w:color w:val="auto"/>
              </w:rPr>
            </w:pPr>
            <w:r>
              <w:rPr>
                <w:rFonts w:ascii="Courier New" w:cs="Courier New" w:eastAsia="Courier New" w:hAnsi="Courier New"/>
                <w:sz w:val="15"/>
                <w:szCs w:val="15"/>
                <w:color w:val="auto"/>
                <w:w w:val="97"/>
              </w:rPr>
              <w:t>Net income per share from continuing operations - diluted...............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9"/>
              </w:rPr>
              <w:t>0.61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0.42</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per share from discontinued operations - diluted.............</w:t>
            </w:r>
          </w:p>
        </w:tc>
        <w:tc>
          <w:tcPr>
            <w:tcW w:w="1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0.22</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per share - diluted..........................................</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0.83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hanging="690"/>
        <w:spacing w:after="0"/>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 summary of unaudited quarterly results of operations restated for discontinued operations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Fiscal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5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9"/>
              </w:rPr>
              <w:t>Quarters Ended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40" w:type="dxa"/>
            <w:vAlign w:val="bottom"/>
            <w:gridSpan w:val="5"/>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Sept. 30</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Dec.</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Mar. 31</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sales ...........................................</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$ 9,332,996</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$ 9,680,383</w:t>
            </w:r>
          </w:p>
        </w:tc>
        <w:tc>
          <w:tcPr>
            <w:tcW w:w="180" w:type="dxa"/>
            <w:vAlign w:val="bottom"/>
          </w:tcPr>
          <w:p>
            <w:pPr>
              <w:spacing w:after="0"/>
              <w:rPr>
                <w:sz w:val="24"/>
                <w:szCs w:val="2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$10,212,333</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$10,652,693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Cost of goods sold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(3,765,553)</w:t>
            </w:r>
          </w:p>
        </w:tc>
        <w:tc>
          <w:tcPr>
            <w:tcW w:w="13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(3,971,158)</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(4,327,987)</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(4,438,364)</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Operating expenses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(3,488,055)</w:t>
            </w:r>
          </w:p>
        </w:tc>
        <w:tc>
          <w:tcPr>
            <w:tcW w:w="13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(3,873,064)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(3,786,278)</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(3,757,063)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income and expenses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64,079</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118,727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69,277</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121,064</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 before income taxes</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2,143,467</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1,954,888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2,167,345</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2,578,330</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income taxes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(799,513)</w:t>
            </w:r>
          </w:p>
        </w:tc>
        <w:tc>
          <w:tcPr>
            <w:tcW w:w="13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(752,477)</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(808,313)</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(958,542)</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1,343,954</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1,202,411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1,359,032</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1,619,788</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(loss) from 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185,724</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337,451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241,981</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(27,876)</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Gain on disposal of business segment ................</w:t>
            </w:r>
          </w:p>
        </w:tc>
        <w:tc>
          <w:tcPr>
            <w:tcW w:w="2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1,220,024</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$ 1,529,678</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$ 1,539,862</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$ 1,601,013</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$ 2,811,936</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0.16</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0.14</w:t>
            </w:r>
          </w:p>
        </w:tc>
        <w:tc>
          <w:tcPr>
            <w:tcW w:w="1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7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0.14</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Basic earnings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w:t>
            </w:r>
          </w:p>
        </w:tc>
        <w:tc>
          <w:tcPr>
            <w:tcW w:w="1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0.33</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0.15</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c>
          <w:tcPr>
            <w:tcW w:w="1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7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Diluted earnings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0.17</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47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6"/>
              </w:rPr>
              <w:t>Fiscal 2000 Quarters Ended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Sept. 30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Dec. 31</w:t>
            </w:r>
          </w:p>
        </w:tc>
        <w:tc>
          <w:tcPr>
            <w:tcW w:w="2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Mar. 31</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sales .....................................</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$ 6,196,827</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$ 6,868,553</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$ 7,097,675</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$ 7,955,358</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Cost of goods sold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(2,414,831)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(2,753,666)</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(2,668,379)</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(3,171,447)</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Operating expenses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(2,362,839)</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(2,463,147)</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(2,763,369)</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(2,979,506)</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income and expenses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31,933</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31,776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41,090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74,537</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 before income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1,451,090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1,683,516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1,707,017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1,878,942</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income taxes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(540,175)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(628,145)</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(637,286)</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(613,217)</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910,915</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1,055,371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1,069,731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1,265,725</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(loss) from 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169,481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170,524</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90,191</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$ 1,080,396</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$ 1,051,766</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$ 1,240,255</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$ 1,355,916</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Basic earnings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0.14</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operations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Diluted earnings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2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20" w:hanging="610"/>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Repurchase Program</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April 2001, the Company announced that its board of directors had approved a stock repurchase program to purchase up to 500,000 shares of the Company's common stock over the next six months on the open market or in private transactions. During the fourth quarter of fiscal year 2001, the Company repurchased 15,300 shares on the open market and subsequently retired those shares.</w:t>
      </w:r>
    </w:p>
    <w:p>
      <w:pPr>
        <w:spacing w:after="0" w:line="337" w:lineRule="exact"/>
        <w:rPr>
          <w:sz w:val="20"/>
          <w:szCs w:val="20"/>
          <w:color w:val="auto"/>
        </w:rPr>
      </w:pPr>
    </w:p>
    <w:p>
      <w:pPr>
        <w:spacing w:after="0"/>
        <w:tabs>
          <w:tab w:leader="none" w:pos="780" w:val="left"/>
          <w:tab w:leader="none" w:pos="1560" w:val="left"/>
          <w:tab w:leader="none" w:pos="1920" w:val="left"/>
          <w:tab w:leader="none" w:pos="2360" w:val="left"/>
          <w:tab w:leader="none" w:pos="3660" w:val="left"/>
          <w:tab w:leader="none" w:pos="4180" w:val="left"/>
          <w:tab w:leader="none" w:pos="5320" w:val="left"/>
          <w:tab w:leader="none" w:pos="5680" w:val="left"/>
          <w:tab w:leader="none" w:pos="6720" w:val="left"/>
        </w:tabs>
        <w:rPr>
          <w:sz w:val="20"/>
          <w:szCs w:val="20"/>
          <w:color w:val="auto"/>
        </w:rPr>
      </w:pPr>
      <w:r>
        <w:rPr>
          <w:rFonts w:ascii="Courier New" w:cs="Courier New" w:eastAsia="Courier New" w:hAnsi="Courier New"/>
          <w:sz w:val="15"/>
          <w:szCs w:val="15"/>
          <w:color w:val="auto"/>
        </w:rPr>
        <w:t>ITEM 9.</w:t>
        <w:tab/>
        <w:t>CHANGES</w:t>
        <w:tab/>
        <w:t>IN</w:t>
        <w:tab/>
        <w:t>AND</w:t>
        <w:tab/>
        <w:t>DISAGREEMENTS</w:t>
        <w:tab/>
        <w:t>WITH</w:t>
        <w:tab/>
        <w:t>ACCOUNTANTS</w:t>
        <w:tab/>
        <w:t>ON</w:t>
        <w:tab/>
        <w:t>ACCOUNTING</w:t>
      </w:r>
      <w:r>
        <w:rPr>
          <w:sz w:val="20"/>
          <w:szCs w:val="20"/>
          <w:color w:val="auto"/>
        </w:rPr>
        <w:tab/>
      </w:r>
      <w:r>
        <w:rPr>
          <w:rFonts w:ascii="Courier New" w:cs="Courier New" w:eastAsia="Courier New" w:hAnsi="Courier New"/>
          <w:sz w:val="14"/>
          <w:szCs w:val="14"/>
          <w:color w:val="auto"/>
        </w:rPr>
        <w:t>AND</w:t>
      </w:r>
    </w:p>
    <w:p>
      <w:pPr>
        <w:ind w:left="800"/>
        <w:spacing w:after="0" w:line="237" w:lineRule="auto"/>
        <w:rPr>
          <w:sz w:val="20"/>
          <w:szCs w:val="20"/>
          <w:color w:val="auto"/>
        </w:rPr>
      </w:pPr>
      <w:r>
        <w:rPr>
          <w:rFonts w:ascii="Courier New" w:cs="Courier New" w:eastAsia="Courier New" w:hAnsi="Courier New"/>
          <w:sz w:val="15"/>
          <w:szCs w:val="15"/>
          <w:color w:val="auto"/>
        </w:rPr>
        <w:t>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 exist.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954" w:right="1440" w:bottom="1440" w:gutter="0" w:footer="0" w:header="0"/>
        </w:sectPr>
      </w:pPr>
    </w:p>
    <w:bookmarkStart w:id="42" w:name="page43"/>
    <w:bookmarkEnd w:id="42"/>
    <w:p>
      <w:pPr>
        <w:ind w:left="316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individuals are currently directors of the Company:</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20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Name</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Age</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20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40" w:type="dxa"/>
            <w:vAlign w:val="bottom"/>
          </w:tcPr>
          <w:p>
            <w:pPr>
              <w:spacing w:after="0"/>
              <w:rPr>
                <w:sz w:val="20"/>
                <w:szCs w:val="20"/>
                <w:color w:val="auto"/>
              </w:rPr>
            </w:pPr>
            <w:r>
              <w:rPr>
                <w:rFonts w:ascii="Courier New" w:cs="Courier New" w:eastAsia="Courier New" w:hAnsi="Courier New"/>
                <w:sz w:val="15"/>
                <w:szCs w:val="15"/>
                <w:color w:val="auto"/>
              </w:rPr>
              <w:t>Edward Dallin Bagley</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Attorney</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336"/>
        </w:trPr>
        <w:tc>
          <w:tcPr>
            <w:tcW w:w="2040" w:type="dxa"/>
            <w:vAlign w:val="bottom"/>
          </w:tcPr>
          <w:p>
            <w:pPr>
              <w:spacing w:after="0"/>
              <w:rPr>
                <w:sz w:val="20"/>
                <w:szCs w:val="20"/>
                <w:color w:val="auto"/>
              </w:rPr>
            </w:pPr>
            <w:r>
              <w:rPr>
                <w:rFonts w:ascii="Courier New" w:cs="Courier New" w:eastAsia="Courier New" w:hAnsi="Courier New"/>
                <w:sz w:val="15"/>
                <w:szCs w:val="15"/>
                <w:color w:val="auto"/>
              </w:rPr>
              <w:t>Brad R. Baldwin</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Attorney and Commercial</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1988</w:t>
            </w: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Real Estate Agent</w:t>
            </w:r>
          </w:p>
        </w:tc>
        <w:tc>
          <w:tcPr>
            <w:tcW w:w="700" w:type="dxa"/>
            <w:vAlign w:val="bottom"/>
          </w:tcPr>
          <w:p>
            <w:pPr>
              <w:spacing w:after="0"/>
              <w:rPr>
                <w:sz w:val="14"/>
                <w:szCs w:val="14"/>
                <w:color w:val="auto"/>
              </w:rPr>
            </w:pPr>
          </w:p>
        </w:tc>
      </w:tr>
      <w:tr>
        <w:trPr>
          <w:trHeight w:val="336"/>
        </w:trPr>
        <w:tc>
          <w:tcPr>
            <w:tcW w:w="204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Chairman of the Board of</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Directors, Chief</w:t>
            </w:r>
          </w:p>
        </w:tc>
        <w:tc>
          <w:tcPr>
            <w:tcW w:w="70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Officer and</w:t>
            </w:r>
          </w:p>
        </w:tc>
        <w:tc>
          <w:tcPr>
            <w:tcW w:w="70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President of the Company</w:t>
            </w:r>
          </w:p>
        </w:tc>
        <w:tc>
          <w:tcPr>
            <w:tcW w:w="700" w:type="dxa"/>
            <w:vAlign w:val="bottom"/>
          </w:tcPr>
          <w:p>
            <w:pPr>
              <w:spacing w:after="0"/>
              <w:rPr>
                <w:sz w:val="14"/>
                <w:szCs w:val="14"/>
                <w:color w:val="auto"/>
              </w:rPr>
            </w:pPr>
          </w:p>
        </w:tc>
      </w:tr>
      <w:tr>
        <w:trPr>
          <w:trHeight w:val="336"/>
        </w:trPr>
        <w:tc>
          <w:tcPr>
            <w:tcW w:w="2040" w:type="dxa"/>
            <w:vAlign w:val="bottom"/>
          </w:tcPr>
          <w:p>
            <w:pPr>
              <w:spacing w:after="0"/>
              <w:rPr>
                <w:sz w:val="20"/>
                <w:szCs w:val="20"/>
                <w:color w:val="auto"/>
              </w:rPr>
            </w:pPr>
            <w:r>
              <w:rPr>
                <w:rFonts w:ascii="Courier New" w:cs="Courier New" w:eastAsia="Courier New" w:hAnsi="Courier New"/>
                <w:sz w:val="15"/>
                <w:szCs w:val="15"/>
                <w:color w:val="auto"/>
              </w:rPr>
              <w:t>Harry Spielberg</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Director of Cosentini</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Information Technologies'</w:t>
            </w:r>
          </w:p>
        </w:tc>
        <w:tc>
          <w:tcPr>
            <w:tcW w:w="70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Audiovisual Group</w:t>
            </w:r>
          </w:p>
        </w:tc>
        <w:tc>
          <w:tcPr>
            <w:tcW w:w="700" w:type="dxa"/>
            <w:vAlign w:val="bottom"/>
          </w:tcPr>
          <w:p>
            <w:pPr>
              <w:spacing w:after="0"/>
              <w:rPr>
                <w:sz w:val="14"/>
                <w:szCs w:val="14"/>
                <w:color w:val="auto"/>
              </w:rPr>
            </w:pPr>
          </w:p>
        </w:tc>
      </w:tr>
      <w:tr>
        <w:trPr>
          <w:trHeight w:val="336"/>
        </w:trPr>
        <w:tc>
          <w:tcPr>
            <w:tcW w:w="204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Senior Tax Officer of</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Ohio National Financial</w:t>
            </w:r>
          </w:p>
        </w:tc>
        <w:tc>
          <w:tcPr>
            <w:tcW w:w="70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Services</w:t>
            </w:r>
          </w:p>
        </w:tc>
        <w:tc>
          <w:tcPr>
            <w:tcW w:w="700" w:type="dxa"/>
            <w:vAlign w:val="bottom"/>
          </w:tcPr>
          <w:p>
            <w:pPr>
              <w:spacing w:after="0"/>
              <w:rPr>
                <w:sz w:val="14"/>
                <w:szCs w:val="14"/>
                <w:color w:val="auto"/>
              </w:rPr>
            </w:pPr>
          </w:p>
        </w:tc>
      </w:tr>
      <w:tr>
        <w:trPr>
          <w:trHeight w:val="336"/>
        </w:trPr>
        <w:tc>
          <w:tcPr>
            <w:tcW w:w="2040" w:type="dxa"/>
            <w:vAlign w:val="bottom"/>
          </w:tcPr>
          <w:p>
            <w:pPr>
              <w:spacing w:after="0"/>
              <w:rPr>
                <w:sz w:val="20"/>
                <w:szCs w:val="20"/>
                <w:color w:val="auto"/>
              </w:rPr>
            </w:pPr>
            <w:r>
              <w:rPr>
                <w:rFonts w:ascii="Courier New" w:cs="Courier New" w:eastAsia="Courier New" w:hAnsi="Courier New"/>
                <w:sz w:val="15"/>
                <w:szCs w:val="15"/>
                <w:color w:val="auto"/>
              </w:rPr>
              <w:t>David Wiener</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President and CEO of</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SoundTube Entertainment,</w:t>
            </w:r>
          </w:p>
        </w:tc>
        <w:tc>
          <w:tcPr>
            <w:tcW w:w="70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w:t>
            </w:r>
          </w:p>
        </w:tc>
        <w:tc>
          <w:tcPr>
            <w:tcW w:w="70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Edward Dallin Bagley has been a Director of the Company since April 1994. Previously, Mr. Bagley served as a Director of the Company from April 1987 to July 1991. Mr. Bagley began practicing law in 1965. Mr. Bagley is currently a director of Tunex International, NESCO, Inc., and Buyers Online.com. Mr. Bagley received a Juris Doctorate in 1965 from the University of Utah College of Law.</w:t>
      </w:r>
    </w:p>
    <w:p>
      <w:pPr>
        <w:spacing w:after="0" w:line="16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Brad R. Baldwin has been a Director of the Company since 1988. He currently is an attorney licensed in Utah and is engaged in the commercial real estate business with Colliers Commerce CRG in Salt Lake City. From October 1, 1994 to January 30, 2000, Mr. Baldwin served as President and Chief Executive Officer of Bank One, Utah, a commercial bank headquartered in Salt Lake City, Utah. Mr. Baldwin received a Juris Doctorate in 1980 from the University of Washington.</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Frances M. Flood has been a Director of the Company since June of 1998. Ms. Flood joined the Company in October 1996 as Vice-President of Sales and Marketing. She was named President in December 1997, Chief Executive Officer in June 1998 and Chairman of the Board in November 2000. Prior to joining the Company, Ms. Flood was Area Director of Sales and Marketing for Ernst &amp; Young, LLP, an international accounting and consulting firm. Ms. Flood has over twenty-five years experience in sales, marketing, change management, international business and finance. Ms. Flood is currently a director of Mining Services International and SoundTube Entertainment, Inc. Ms. Flood graduated from Thomas Edison State College with a B.S./B.A. degree in Banking and Finance.</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Harry Spielberg has been a Director of the Company since January 2001. Since January 1996, Mr. Spielberg has been the Director of Cosentini Information Technologies' Audiovisual Group, a division of the consulting engineering firm, Cosentini Associates. Previously, Mr. Spielberg served as Vice President, Engineering for Media Facilities Corp. and Barsky &amp; Associates. Mr. Spielberg received a Bachelor of Art degree in Psychology from the State University of New York.</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85" w:right="1440" w:bottom="1440" w:gutter="0" w:footer="0" w:header="0"/>
        </w:sectPr>
      </w:pPr>
    </w:p>
    <w:bookmarkStart w:id="43" w:name="page44"/>
    <w:bookmarkEnd w:id="43"/>
    <w:p>
      <w:pPr>
        <w:jc w:val="both"/>
        <w:ind w:right="3239"/>
        <w:spacing w:after="0" w:line="236" w:lineRule="auto"/>
        <w:rPr>
          <w:sz w:val="20"/>
          <w:szCs w:val="20"/>
          <w:color w:val="auto"/>
        </w:rPr>
      </w:pPr>
      <w:r>
        <w:rPr>
          <w:rFonts w:ascii="Courier New" w:cs="Courier New" w:eastAsia="Courier New" w:hAnsi="Courier New"/>
          <w:sz w:val="15"/>
          <w:szCs w:val="15"/>
          <w:color w:val="auto"/>
        </w:rPr>
        <w:t>Randall J. Wichinski has been a Director of the Company since June 1999. He is currently Senior Tax Officer of Ohio National Financial Services. From April 1983 to March 1999, Mr. Wichinski was employed at Ernst &amp; Young LLP, an international accounting and consulting firm, serving as a Tax Partner for ten years. He received a bachelor's degree in 1977 and a Masters of Business Administration degree in 1982 from the University of Wisconsin-Madison.</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David Wiener has been a Director of the Company since January 2000. Mr. Wiener has served as President and CEO of SoundTube Entertainment, Inc., a manufacturer of innovative commercial and consumer audio speakers, since January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 and Committees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All directors serve until their successors are elected and have qualified. The Company paid each director $650 per month for services provided as a director. Employee directors receive no additional compensation for serving on the Board.</w:t>
      </w:r>
    </w:p>
    <w:p>
      <w:pPr>
        <w:spacing w:after="0" w:line="16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Board of Directors has two committees: the Audit and Compensation Committees. The Audit Committee is currently composed of Mr. Edward Dallin Bagley, Mr. Brad R. Baldwin, Mr. Harry Spielberg, Mr. Randall J. Wichinski and Mr. David Wiener. The Compensation Committee is currently composed of Mr. Edward Dallin Bagley, Mr. Brad R. Baldwin, Mr. Harry Spielberg, Mr. Randall J. Wichinski and Mr. David Wiener. The Audit Committee is authorized to review proposals of the Company's auditors regarding annual audits and quarterly reviews, recommend the engagement or discharge of the Company's auditors, review recommendations of such auditors concerning accounting principles and the adequacy of internal controls and accounting procedures and practices, to review the scope of the annual audit and quarterly reviews,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Board of Directors held six meetings during the last fiscal year. The Audit Committee held four formal meetings during the last fiscal year. The Compensation Committee held four formal meetings during the last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executive officers of the Company as of June 30, 2001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Age</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1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Tracy Bathurst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Technology - Research</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Curtis Hewitson</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Human Resources</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Eugene W. Kuntz, Jr.</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Technology - Development</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Susie S. Strohm</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Finance and Chief Financial</w:t>
            </w:r>
          </w:p>
        </w:tc>
      </w:tr>
      <w:tr>
        <w:trPr>
          <w:trHeight w:val="168"/>
        </w:trPr>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Valeo</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Vice President of Strategic Operations and General</w:t>
            </w:r>
          </w:p>
        </w:tc>
      </w:tr>
      <w:tr>
        <w:trPr>
          <w:trHeight w:val="168"/>
        </w:trPr>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biography of Ms. Flood, see "Directors."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Tracy Bathurst was named Vice President of Technology - Research in April 2000. He has been with Gentner since September 1988, serving in various roles in engineering and engineering management. He is responsible for technology development for the organization. Prior to joining the Company, Mr. Bathurst worked in the cable television and telecommunications industries for over five years. Mr. Bathurst holds a Bachelor of Science degree from Southern Utah University.</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Curtis Hewitson was named Vice President of Human Resources for Gentner Communications in November 1998. He has been with Gentner since December 1994 serving in Human Resources. He is responsible for all aspects of Human Resources and office administration. Prior to joining the Company, Mr. Hewitson worked in the telecommunications industry for nine years. In 1989, Mr. Hewitson received a Bachelor of Science degree from the University of Utah.</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4" w:name="page45"/>
    <w:bookmarkEnd w:id="44"/>
    <w:p>
      <w:pPr>
        <w:jc w:val="both"/>
        <w:ind w:right="3239"/>
        <w:spacing w:after="0" w:line="236" w:lineRule="auto"/>
        <w:rPr>
          <w:sz w:val="20"/>
          <w:szCs w:val="20"/>
          <w:color w:val="auto"/>
        </w:rPr>
      </w:pPr>
      <w:r>
        <w:rPr>
          <w:rFonts w:ascii="Courier New" w:cs="Courier New" w:eastAsia="Courier New" w:hAnsi="Courier New"/>
          <w:sz w:val="15"/>
          <w:szCs w:val="15"/>
          <w:color w:val="auto"/>
        </w:rPr>
        <w:t>Eugene W. Kuntz, Jr. has been with Gentner Communications since November 1999. Mr. Kuntz was named Vice President of Technology - Development in January 2001. He is responsible for all engineering development projects and manufacturing activities for the organization. From 1987 to November 1999, Mr. Kuntz was a manager of research and development at Computer Sciences Corporation in Clearfield, Utah. Mr. Kuntz holds a Bachelor of Science degree in Electrical Engineering from Montana State University and a Masters of Business Administration degree from Utah State University.</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Susie S. Strohm became Vice President of Finance in 1997 and was named CFO during 1998. In February 1996, Ms. Strohm joined the Company as its Controller. She is responsible for all the Company's accounting, financial and tax planning, financial and management reporting, and Securities and Exchange Commission filings. Prior to joining the Company, Ms. Strohm was the Controller for Newspaper Agency Corporation in Salt Lake City, Utah. She graduated from the University of Utah with a Bachelor of Science degree in Accounting, and received her Masters of Business Administration degree from Westminster College.</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James A. Valeo joined Gentner Communications as its Vice President of Strategic Operations and General Counsel in October 2000. Prior to joining the Company, from 1996 to 2000 he practiced law with the law firm of Jones Waldo Holbrook &amp; McDonough in Salt Lake City, Utah, focusing on mergers and acquisitions, corporate finance, and general corporate law. Earlier, Mr. Valeo worked for two law firms in Washington, D.C. Mr. Valeo received a Bachelor of Arts degree from New York University in 1982, and a Juris Doctorate degree from Boston University in 1986.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the Securities Exchange Act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Based solely on a review of the copies of such reports furnished to the Company and written representations that no other reports were required, the persons described above have filed all applicable Section 16(a) requirements during the preceding fiscal year, except that the following Forms were filed late: Mr. Valeo's Form 4 relating to a grant of stock options in November 2000 and Mr. Bagley's Form 4 relating to an open market purchase of stock in October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August 23, 2001, Randy Wichinski joined the Company as its Chief Financial Officer. Mr. Wichinski will continue to serve on the Board of Directors. Effective on August 23, 2001, Susie Strohm will continue as the Company's Vice President of Finance and, in addition, will assume the responsibilities of Controller.</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following table sets forth, for each of the Company's last three fiscal years, the compensation of the Chief Executive Officer of the Company and the other previously named executive officers of the Company whose total salary and bonus for the year ended June 30, 2001 exceeded $100,000, for services rendered in all capacities to the Company during such fiscal years.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3540" w:type="dxa"/>
            <w:vAlign w:val="bottom"/>
            <w:gridSpan w:val="4"/>
          </w:tcPr>
          <w:p>
            <w:pPr>
              <w:jc w:val="right"/>
              <w:ind w:right="667"/>
              <w:spacing w:after="0"/>
              <w:rPr>
                <w:sz w:val="20"/>
                <w:szCs w:val="20"/>
                <w:color w:val="auto"/>
              </w:rPr>
            </w:pPr>
            <w:r>
              <w:rPr>
                <w:rFonts w:ascii="Courier New" w:cs="Courier New" w:eastAsia="Courier New" w:hAnsi="Courier New"/>
                <w:sz w:val="15"/>
                <w:szCs w:val="15"/>
                <w:color w:val="auto"/>
              </w:rPr>
              <w:t>SUMMARY COMPENSATION TABLE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Annual Compensation</w:t>
            </w:r>
          </w:p>
        </w:tc>
        <w:tc>
          <w:tcPr>
            <w:tcW w:w="246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Long-Term Compensation</w:t>
            </w: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Awards</w:t>
            </w: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Payouts</w:t>
            </w: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Restric-</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w:t>
            </w:r>
          </w:p>
        </w:tc>
        <w:tc>
          <w:tcPr>
            <w:tcW w:w="6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w:t>
            </w: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Annual</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ted</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lying</w:t>
            </w:r>
          </w:p>
        </w:tc>
        <w:tc>
          <w:tcPr>
            <w:tcW w:w="6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r>
      <w:tr>
        <w:trPr>
          <w:trHeight w:val="168"/>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Compen-</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Stock</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Options</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LTIP</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Compen-</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Year</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Salary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Bonus</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sation</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Awards</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/SARS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Payouts sation(1)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505"/>
        </w:trPr>
        <w:tc>
          <w:tcPr>
            <w:tcW w:w="184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CEO &amp; President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$160,000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$58,400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$2,056</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$160,333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$73,700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$1,802</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$104,912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$66,064</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$2,022</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Tracy Bathurst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President(2)</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$100,000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$1,850</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$93,073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$1,765</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Curtis Hewitson</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$80,002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$2,179</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$73,574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$1,841</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$10,278</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$1,800</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Eugene W. Kuntz, Jr.  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President(3)</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$92,502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None</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CFO &amp; Vice President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$110,000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$37,000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$2,316</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$100,167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$55,538</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$1,976</w:t>
            </w:r>
          </w:p>
        </w:tc>
      </w:tr>
      <w:tr>
        <w:trPr>
          <w:trHeight w:val="336"/>
        </w:trPr>
        <w:tc>
          <w:tcPr>
            <w:tcW w:w="18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$72,716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$44,414</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None</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None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$1,721</w:t>
            </w:r>
          </w:p>
        </w:tc>
      </w:tr>
    </w:tbl>
    <w:p>
      <w:pPr>
        <w:spacing w:after="0" w:line="341" w:lineRule="exact"/>
        <w:rPr>
          <w:sz w:val="20"/>
          <w:szCs w:val="20"/>
          <w:color w:val="auto"/>
        </w:rPr>
      </w:pPr>
    </w:p>
    <w:p>
      <w:pPr>
        <w:ind w:left="280" w:right="3239" w:hanging="279"/>
        <w:spacing w:after="0" w:line="234" w:lineRule="auto"/>
        <w:tabs>
          <w:tab w:leader="none" w:pos="260" w:val="left"/>
        </w:tabs>
        <w:rPr>
          <w:sz w:val="20"/>
          <w:szCs w:val="20"/>
          <w:color w:val="auto"/>
        </w:rPr>
      </w:pPr>
      <w:r>
        <w:rPr>
          <w:rFonts w:ascii="Courier New" w:cs="Courier New" w:eastAsia="Courier New" w:hAnsi="Courier New"/>
          <w:sz w:val="15"/>
          <w:szCs w:val="15"/>
          <w:color w:val="auto"/>
        </w:rPr>
        <w:t>1</w:t>
        <w:tab/>
        <w:t>These amounts reflect the Company's contributions to the deferred compensation plan (401(k) plan).</w:t>
      </w:r>
    </w:p>
    <w:p>
      <w:pPr>
        <w:ind w:left="280" w:hanging="270"/>
        <w:spacing w:after="0" w:line="237" w:lineRule="auto"/>
        <w:tabs>
          <w:tab w:leader="none" w:pos="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Bathurst was not an executive officer until fiscal year 2000.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  Mr. Kuntz was not an executive officer until fiscal year 2001.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Options/SARS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table sets forth the stock option and SAR grants to the named executive officers for the last fiscal year: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954" w:right="1440" w:bottom="1440" w:gutter="0" w:footer="0" w:header="0"/>
        </w:sectPr>
      </w:pPr>
    </w:p>
    <w:bookmarkStart w:id="46" w:name="page47"/>
    <w:bookmarkEnd w:id="46"/>
    <w:p>
      <w:pPr>
        <w:ind w:left="1240"/>
        <w:spacing w:after="0"/>
        <w:rPr>
          <w:sz w:val="20"/>
          <w:szCs w:val="20"/>
          <w:color w:val="auto"/>
        </w:rPr>
      </w:pPr>
      <w:r>
        <w:rPr>
          <w:rFonts w:ascii="Courier New" w:cs="Courier New" w:eastAsia="Courier New" w:hAnsi="Courier New"/>
          <w:sz w:val="15"/>
          <w:szCs w:val="15"/>
          <w:color w:val="auto"/>
        </w:rPr>
        <w:t>OPTION/SAR GRANTS IN FISCAL YEAR ENDED JUNE 30, 2001</w:t>
      </w: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2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(INDIVIDUAL GRANTS)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940" w:type="dxa"/>
            <w:vAlign w:val="bottom"/>
          </w:tcPr>
          <w:p>
            <w:pPr>
              <w:spacing w:after="0"/>
              <w:rPr>
                <w:sz w:val="24"/>
                <w:szCs w:val="24"/>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 of</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Options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Underlying</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/SARs Granted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Options/SARs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 Employees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or Base</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Expiration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Granted (#)</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Fiscal Year</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 ($/Sh)</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Date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Eugene W. Kuntz, Jr.</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30,000</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12/01/2010</w:t>
            </w:r>
          </w:p>
        </w:tc>
      </w:tr>
    </w:tbl>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options will vest over five years based on earnings per share goals but cliff vest after six years if earnings per share goals are not met.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Aggregated Stock Option/SAR Exercises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table sets forth the aggregated stock options and SARs exercised by the named executive officers in fiscal 2001 and the year-end value in-the-money of unexercised options and SARs:</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AGGREGATED OPTION/SAR EXERCISES IN FISCAL YEAR ENDED JUNE 30, 2001</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Securities</w:t>
            </w:r>
          </w:p>
        </w:tc>
        <w:tc>
          <w:tcPr>
            <w:tcW w:w="188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Value of</w:t>
            </w:r>
          </w:p>
        </w:tc>
      </w:tr>
      <w:tr>
        <w:trPr>
          <w:trHeight w:val="168"/>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Underlying</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Unexercised</w:t>
            </w:r>
          </w:p>
        </w:tc>
      </w:tr>
      <w:tr>
        <w:trPr>
          <w:trHeight w:val="168"/>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Unexercised</w:t>
            </w:r>
          </w:p>
        </w:tc>
        <w:tc>
          <w:tcPr>
            <w:tcW w:w="1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In-The-Money</w:t>
            </w:r>
          </w:p>
        </w:tc>
      </w:tr>
      <w:tr>
        <w:trPr>
          <w:trHeight w:val="168"/>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Options/SARs</w:t>
            </w:r>
          </w:p>
        </w:tc>
        <w:tc>
          <w:tcPr>
            <w:tcW w:w="1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Options/SARs</w:t>
            </w:r>
          </w:p>
        </w:tc>
      </w:tr>
      <w:tr>
        <w:trPr>
          <w:trHeight w:val="168"/>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at FY-End (#)</w:t>
            </w:r>
          </w:p>
        </w:tc>
        <w:tc>
          <w:tcPr>
            <w:tcW w:w="1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at FY-End ($)</w:t>
            </w:r>
          </w:p>
        </w:tc>
      </w:tr>
      <w:tr>
        <w:trPr>
          <w:trHeight w:val="168"/>
        </w:trPr>
        <w:tc>
          <w:tcPr>
            <w:tcW w:w="180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Acquired</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Value</w:t>
            </w:r>
          </w:p>
        </w:tc>
        <w:tc>
          <w:tcPr>
            <w:tcW w:w="1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Exercisable/</w:t>
            </w:r>
          </w:p>
        </w:tc>
        <w:tc>
          <w:tcPr>
            <w:tcW w:w="1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Exercisable/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26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on Exercise (#) Realized ($)</w:t>
            </w:r>
          </w:p>
        </w:tc>
        <w:tc>
          <w:tcPr>
            <w:tcW w:w="1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Unexercisable</w:t>
            </w:r>
          </w:p>
        </w:tc>
        <w:tc>
          <w:tcPr>
            <w:tcW w:w="1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w:t>
            </w: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180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176,334/146,000</w:t>
            </w:r>
          </w:p>
        </w:tc>
        <w:tc>
          <w:tcPr>
            <w:tcW w:w="1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$1,655,344/$828,750</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Tracy Bathurst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19,750/80,250</w:t>
            </w:r>
          </w:p>
        </w:tc>
        <w:tc>
          <w:tcPr>
            <w:tcW w:w="18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$174,140/$182,085</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Curtis Hewitson</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35,750/99,250</w:t>
            </w:r>
          </w:p>
        </w:tc>
        <w:tc>
          <w:tcPr>
            <w:tcW w:w="18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$294,619/$399,069</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Eugene W. Kuntz, Jr.</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2,500/57,500</w:t>
            </w:r>
          </w:p>
        </w:tc>
        <w:tc>
          <w:tcPr>
            <w:tcW w:w="1880" w:type="dxa"/>
            <w:vAlign w:val="bottom"/>
          </w:tcPr>
          <w:p>
            <w:pPr>
              <w:ind w:left="920"/>
              <w:spacing w:after="0"/>
              <w:rPr>
                <w:sz w:val="20"/>
                <w:szCs w:val="20"/>
                <w:color w:val="auto"/>
              </w:rPr>
            </w:pPr>
            <w:r>
              <w:rPr>
                <w:rFonts w:ascii="Courier New" w:cs="Courier New" w:eastAsia="Courier New" w:hAnsi="Courier New"/>
                <w:sz w:val="15"/>
                <w:szCs w:val="15"/>
                <w:color w:val="auto"/>
              </w:rPr>
              <w:t>$0/$0</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99,464/119,000</w:t>
            </w:r>
          </w:p>
        </w:tc>
        <w:tc>
          <w:tcPr>
            <w:tcW w:w="18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$902,607/$564,724</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regarding ownership of the Common Stock of the Company as of September 1, 2001 by (i) each person known to the Company to be the beneficial owner of more than 5% of the outstanding Common Stock of the Company, (ii) each director of the Company, (iii) the Chief Executive Officer and each other executive officer of the Company whose salary and bonus for the year ended June 30, 2001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85" w:right="1440" w:bottom="1440" w:gutter="0" w:footer="0" w:header="0"/>
        </w:sectPr>
      </w:pPr>
    </w:p>
    <w:bookmarkStart w:id="47" w:name="page48"/>
    <w:bookmarkEnd w:id="47"/>
    <w:tbl>
      <w:tblPr>
        <w:tblLayout w:type="fixed"/>
        <w:tblInd w:w="70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2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Amount of</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Names of Beneficial Owners</w:t>
            </w:r>
          </w:p>
        </w:tc>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Beneficial Ownership(1)</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of Class(2)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Edward Dallin Bagley</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1,738,668(3)</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20.2%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Frances M. Flood</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296,913(4)</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Susie Strohm</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169,729(5)</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Brad R. Baldwin</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102,666(6)</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Curtis Hewitson</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70,224(7)</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Tracy Bathurst</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39,730(8)</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J. Wiener</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18,500(9)</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Randall J. Wichinski</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18,200(10)</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Eugene W. Kuntz, Jr.</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15,813(11)</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Harry Spielberg</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5,000(12)</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0.1%</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Directors and Executive Officers</w:t>
            </w:r>
          </w:p>
        </w:tc>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as a Group (11 people)</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2,500,5133(13)</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29.0%</w:t>
            </w:r>
          </w:p>
        </w:tc>
      </w:tr>
    </w:tbl>
    <w:p>
      <w:pPr>
        <w:spacing w:after="0" w:line="173" w:lineRule="exact"/>
        <w:rPr>
          <w:sz w:val="20"/>
          <w:szCs w:val="20"/>
          <w:color w:val="auto"/>
        </w:rPr>
      </w:pPr>
    </w:p>
    <w:p>
      <w:pPr>
        <w:jc w:val="both"/>
        <w:ind w:left="440" w:right="3239" w:hanging="430"/>
        <w:spacing w:after="0" w:line="236"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shareholder, the calculation of percentage of beneficial ownership is based on 8,612,978 shares of Common Stock outstanding as of September 1, 2001 and shares of Common Stock subject to options held by the shareholder that are currently exercisable or exercisable within 60 days of September 1, 2001.</w:t>
      </w:r>
    </w:p>
    <w:p>
      <w:pPr>
        <w:spacing w:after="0" w:line="174" w:lineRule="exact"/>
        <w:rPr>
          <w:sz w:val="20"/>
          <w:szCs w:val="20"/>
          <w:color w:val="auto"/>
        </w:rPr>
      </w:pPr>
    </w:p>
    <w:p>
      <w:pPr>
        <w:jc w:val="both"/>
        <w:ind w:left="440" w:right="3239" w:hanging="430"/>
        <w:spacing w:after="0" w:line="235"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175" w:lineRule="exact"/>
        <w:rPr>
          <w:sz w:val="20"/>
          <w:szCs w:val="20"/>
          <w:color w:val="auto"/>
        </w:rPr>
      </w:pPr>
    </w:p>
    <w:p>
      <w:pPr>
        <w:jc w:val="both"/>
        <w:ind w:left="440" w:right="3239" w:hanging="430"/>
        <w:spacing w:after="0" w:line="236"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1,321,285 shares owned directly; options to purchase 5,000 shares that are exercisable within 60 days; 100,000 shares owned by a corporation controlled by Mr. Bagley; 50 shares owned by Mr. Bagley's wife as custodian for one of Mr. Bagley's daughters; and 312,333 shares held in the Bagley Family Revocable Trust, of which Mr. Bagley is co-trustee. Excludes: 50 shares owned by another of Mr. Bagley's daughters who is not a member of his household. Mr. Bagley disclaims beneficial ownership of such 50 shares and fifty percent of the shares owned by the Bagley Family Revocable Trust.</w:t>
      </w:r>
    </w:p>
    <w:p>
      <w:pPr>
        <w:spacing w:after="0" w:line="178" w:lineRule="exact"/>
        <w:rPr>
          <w:sz w:val="20"/>
          <w:szCs w:val="20"/>
          <w:color w:val="auto"/>
        </w:rPr>
      </w:pPr>
    </w:p>
    <w:p>
      <w:pPr>
        <w:ind w:left="440" w:right="3239" w:hanging="430"/>
        <w:spacing w:after="0" w:line="234"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CEO and Director. Includes: 54,579 shares owned directly; options to purchase 242,334 shares that are exercisable within 60 days.</w:t>
      </w:r>
    </w:p>
    <w:p>
      <w:pPr>
        <w:spacing w:after="0" w:line="173" w:lineRule="exact"/>
        <w:rPr>
          <w:sz w:val="20"/>
          <w:szCs w:val="20"/>
          <w:color w:val="auto"/>
        </w:rPr>
      </w:pPr>
    </w:p>
    <w:p>
      <w:pPr>
        <w:ind w:left="440" w:right="323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and CFO. Includes: 31,265 shares owned directly; options to purchase 138,464 shares that are exercisable within 60 days.</w:t>
      </w:r>
    </w:p>
    <w:p>
      <w:pPr>
        <w:spacing w:after="0" w:line="173" w:lineRule="exact"/>
        <w:rPr>
          <w:sz w:val="20"/>
          <w:szCs w:val="20"/>
          <w:color w:val="auto"/>
        </w:rPr>
      </w:pPr>
    </w:p>
    <w:p>
      <w:pPr>
        <w:jc w:val="both"/>
        <w:ind w:left="440" w:right="32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67,666 shares owned directly; options to purchase 30,000 shares that are exercisable within 60 days; and 5,000 shares owned by Mr. Baldwin's wife.</w:t>
      </w:r>
    </w:p>
    <w:p>
      <w:pPr>
        <w:spacing w:after="0" w:line="174" w:lineRule="exact"/>
        <w:rPr>
          <w:sz w:val="20"/>
          <w:szCs w:val="20"/>
          <w:color w:val="auto"/>
        </w:rPr>
      </w:pPr>
    </w:p>
    <w:p>
      <w:pPr>
        <w:ind w:left="440" w:right="3239" w:hanging="430"/>
        <w:spacing w:after="0" w:line="234"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Includes: 6,724 shares owned directly; options to purchase 63,500 shares that are exercisable within 60 days.</w:t>
      </w:r>
    </w:p>
    <w:p>
      <w:pPr>
        <w:spacing w:after="0" w:line="173" w:lineRule="exact"/>
        <w:rPr>
          <w:sz w:val="20"/>
          <w:szCs w:val="20"/>
          <w:color w:val="auto"/>
        </w:rPr>
      </w:pPr>
    </w:p>
    <w:p>
      <w:pPr>
        <w:ind w:left="440" w:right="3239" w:hanging="430"/>
        <w:spacing w:after="0" w:line="234"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Includes: 730 shares owned directly; options to purchase 39,000 shares that are exercisable within 60 days.</w:t>
      </w:r>
    </w:p>
    <w:p>
      <w:pPr>
        <w:spacing w:after="0" w:line="173" w:lineRule="exact"/>
        <w:rPr>
          <w:sz w:val="20"/>
          <w:szCs w:val="20"/>
          <w:color w:val="auto"/>
        </w:rPr>
      </w:pPr>
    </w:p>
    <w:p>
      <w:pPr>
        <w:ind w:left="440" w:right="3239" w:hanging="430"/>
        <w:spacing w:after="0" w:line="234"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6,000 shares owned directly; options to purchase 12,500 shares that are exercisable within 60 days.</w:t>
      </w:r>
    </w:p>
    <w:p>
      <w:pPr>
        <w:spacing w:after="0" w:line="173" w:lineRule="exact"/>
        <w:rPr>
          <w:sz w:val="20"/>
          <w:szCs w:val="20"/>
          <w:color w:val="auto"/>
        </w:rPr>
      </w:pPr>
    </w:p>
    <w:p>
      <w:pPr>
        <w:ind w:left="440" w:right="3239" w:hanging="430"/>
        <w:spacing w:after="0" w:line="23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5,700 shares owned directly; options to purchase 12,500 shares that are exercisable within 60 days.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Includes: 813 shares owned directly; options to purchase 15,000 shares that are exercisable within 60 days.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0 shares owned directly; options to purchase 5,000 shares that are exercisable within 60 days.</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additional 70 shares owned directly by one additional officer; and options to purchase 25,000 shares that are exercisable within 60 days by this officer.</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Gentner Research Ltd. ("GRL"), is a related limited partnership, formed on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2001, 2000 and 1999 was $3,600, $16,000 and $39,900, respectively. GRL was dissolved on February 20, 2001 after consent to dissolution and liquidation was received by a majority of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48" w:name="page49"/>
    <w:bookmarkEnd w:id="48"/>
    <w:p>
      <w:pPr>
        <w:jc w:val="both"/>
        <w:ind w:right="3239"/>
        <w:spacing w:after="0" w:line="256" w:lineRule="auto"/>
        <w:rPr>
          <w:sz w:val="20"/>
          <w:szCs w:val="20"/>
          <w:color w:val="auto"/>
        </w:rPr>
      </w:pPr>
      <w:r>
        <w:rPr>
          <w:rFonts w:ascii="Courier New" w:cs="Courier New" w:eastAsia="Courier New" w:hAnsi="Courier New"/>
          <w:sz w:val="14"/>
          <w:szCs w:val="14"/>
          <w:color w:val="auto"/>
        </w:rPr>
        <w:t>partners of GRL. The product line, which incorporated the proprietary interest, was deemed no longer integral to the product segment of the Company's business. The following directors and/or executive officers and members of their immediate families have purchased the following interests in GRL:</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Edward Dallin Bagley (Director)...................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Bagley Family</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Revocable Trust.................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O. Baldwin</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(father of Brad Baldwin)........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w:t>
            </w:r>
          </w:p>
        </w:tc>
      </w:tr>
    </w:tbl>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related to product sales with GR2L for the years ending June 30, 2001, 2000 and 1999 was $90,793, $106,084 and $82,989. GR2L was dissolved on May 21, 2001 after the completion of the sale of the remote control portion of the RFM/Broadcast division to Burk Technology. The Company paid $178,516 to GR2L in 2001, representing its royalty on the gain on the sale of the remote control product line. This amount is included in the determination of gain on sale in the statement of income. The following directors and/or executive officers and members of their immediate families have purchased the following interests in GR2L:</w:t>
      </w:r>
    </w:p>
    <w:p>
      <w:pPr>
        <w:spacing w:after="0" w:line="326"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Brad R. Baldwin (Director)........................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O. Baldwin (father of Brad Baldwin)........</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9.58%</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Edward D. Bagley (Director).......................</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Bagley Family Revocable Trust.................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SCHEUDLES, AND REPORTS ON FORM 8-K</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Schedules not listed have been omitted because the information required to be set forth therein is not applicable or is shown in the financial statements or notes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Required by Item 601 of Regulation 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15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1060" w:right="323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3.1 1,2</w:t>
      </w:r>
      <w:r>
        <w:rPr>
          <w:sz w:val="20"/>
          <w:szCs w:val="20"/>
          <w:color w:val="auto"/>
        </w:rPr>
        <w:tab/>
      </w:r>
      <w:r>
        <w:rPr>
          <w:rFonts w:ascii="Courier New" w:cs="Courier New" w:eastAsia="Courier New" w:hAnsi="Courier New"/>
          <w:sz w:val="14"/>
          <w:szCs w:val="14"/>
          <w:color w:val="auto"/>
        </w:rPr>
        <w:t>Articles of Incorporation and all amendments thereto through March 1, 1988. (Page 10) (incorporated by reference from the Company's Annual Report on Form 10-K for the fiscal year ended June 30, 1989)</w:t>
      </w:r>
    </w:p>
    <w:p>
      <w:pPr>
        <w:spacing w:after="0"/>
        <w:tabs>
          <w:tab w:leader="none" w:pos="1040" w:val="left"/>
          <w:tab w:leader="none" w:pos="3320" w:val="left"/>
          <w:tab w:leader="none" w:pos="4720" w:val="left"/>
          <w:tab w:leader="none" w:pos="6540" w:val="left"/>
        </w:tabs>
        <w:rPr>
          <w:sz w:val="20"/>
          <w:szCs w:val="20"/>
          <w:color w:val="auto"/>
        </w:rPr>
      </w:pPr>
      <w:r>
        <w:rPr>
          <w:rFonts w:ascii="Courier New" w:cs="Courier New" w:eastAsia="Courier New" w:hAnsi="Courier New"/>
          <w:sz w:val="15"/>
          <w:szCs w:val="15"/>
          <w:color w:val="auto"/>
        </w:rPr>
        <w:t>3.2 1,2</w:t>
      </w:r>
      <w:r>
        <w:rPr>
          <w:sz w:val="20"/>
          <w:szCs w:val="20"/>
          <w:color w:val="auto"/>
        </w:rPr>
        <w:tab/>
      </w:r>
      <w:r>
        <w:rPr>
          <w:rFonts w:ascii="Courier New" w:cs="Courier New" w:eastAsia="Courier New" w:hAnsi="Courier New"/>
          <w:sz w:val="15"/>
          <w:szCs w:val="15"/>
          <w:color w:val="auto"/>
        </w:rPr>
        <w:t>Amendment to Articles of</w:t>
        <w:tab/>
        <w:t>Incorporation,</w:t>
        <w:tab/>
        <w:t>dated July 1, 1991.</w:t>
      </w:r>
      <w:r>
        <w:rPr>
          <w:sz w:val="20"/>
          <w:szCs w:val="20"/>
          <w:color w:val="auto"/>
        </w:rPr>
        <w:tab/>
      </w:r>
      <w:r>
        <w:rPr>
          <w:rFonts w:ascii="Courier New" w:cs="Courier New" w:eastAsia="Courier New" w:hAnsi="Courier New"/>
          <w:sz w:val="14"/>
          <w:szCs w:val="14"/>
          <w:color w:val="auto"/>
        </w:rPr>
        <w:t>(Page</w:t>
      </w:r>
    </w:p>
    <w:p>
      <w:pPr>
        <w:spacing w:after="0" w:line="5" w:lineRule="exact"/>
        <w:rPr>
          <w:sz w:val="20"/>
          <w:szCs w:val="20"/>
          <w:color w:val="auto"/>
        </w:rPr>
      </w:pPr>
    </w:p>
    <w:p>
      <w:pPr>
        <w:ind w:left="1060" w:right="3239" w:hanging="1"/>
        <w:spacing w:after="0" w:line="234" w:lineRule="auto"/>
        <w:tabs>
          <w:tab w:leader="none" w:pos="149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Annual Report on Form 10-K for the fiscal year ended June 30, 1991)</w:t>
      </w:r>
    </w:p>
    <w:tbl>
      <w:tblPr>
        <w:tblLayout w:type="fixed"/>
        <w:tblInd w:w="0" w:type="dxa"/>
        <w:tblCellMar>
          <w:top w:w="0" w:type="dxa"/>
          <w:left w:w="0" w:type="dxa"/>
          <w:bottom w:w="0" w:type="dxa"/>
          <w:right w:w="0" w:type="dxa"/>
        </w:tblCellMar>
      </w:tblPr>
      <w:tr>
        <w:trPr>
          <w:trHeight w:val="168"/>
        </w:trPr>
        <w:tc>
          <w:tcPr>
            <w:tcW w:w="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3.3 1,2</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Bylaws,</w:t>
            </w:r>
          </w:p>
        </w:tc>
        <w:tc>
          <w:tcPr>
            <w:tcW w:w="2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as amended on August 24, 1993.</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(Page 16)</w:t>
            </w: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(incorporated by</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reference</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from the</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Company's</w:t>
            </w:r>
          </w:p>
        </w:tc>
        <w:tc>
          <w:tcPr>
            <w:tcW w:w="31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Annual Report on Form 10-KSB for the</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fiscal year ended June 30, 1993)</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VRC-1000</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Purchase</w:t>
            </w:r>
          </w:p>
        </w:tc>
        <w:tc>
          <w:tcPr>
            <w:tcW w:w="24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Agreement between Gentner</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Engineering</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Inc. (a former</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subsidiary</w:t>
            </w:r>
          </w:p>
        </w:tc>
        <w:tc>
          <w:tcPr>
            <w:tcW w:w="35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of the Company which was merged into the</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20" w:type="dxa"/>
            <w:vAlign w:val="bottom"/>
            <w:gridSpan w:val="11"/>
          </w:tcPr>
          <w:p>
            <w:pPr>
              <w:ind w:left="80"/>
              <w:spacing w:after="0" w:line="168" w:lineRule="exact"/>
              <w:rPr>
                <w:sz w:val="20"/>
                <w:szCs w:val="20"/>
                <w:color w:val="auto"/>
              </w:rPr>
            </w:pPr>
            <w:r>
              <w:rPr>
                <w:rFonts w:ascii="Courier New" w:cs="Courier New" w:eastAsia="Courier New" w:hAnsi="Courier New"/>
                <w:sz w:val="15"/>
                <w:szCs w:val="15"/>
                <w:color w:val="auto"/>
                <w:w w:val="96"/>
              </w:rPr>
              <w:t>Company) and Gentner Research Ltd., dated January 1, 1987. (Page 71)</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5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by reference from</w:t>
            </w:r>
          </w:p>
        </w:tc>
        <w:tc>
          <w:tcPr>
            <w:tcW w:w="31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the Company's Annual Report on Form</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rPr>
              <w:t>10-K for the fiscal year ended June 30, 1989)</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564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w w:val="99"/>
              </w:rPr>
              <w:t>Digital Hybrid Purchase Agreement between Gentner Engineering,</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6"/>
              </w:rPr>
              <w:t>and Gentner  Research,  Ltd.,  dated  September</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8, 1988.</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(Page 74)</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5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by reference from</w:t>
            </w:r>
          </w:p>
        </w:tc>
        <w:tc>
          <w:tcPr>
            <w:tcW w:w="31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the Company's Annual Report on Form</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7"/>
              </w:rPr>
              <w:t>10-K for the fiscal year ended June 30,</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w:t>
            </w:r>
          </w:p>
        </w:tc>
        <w:tc>
          <w:tcPr>
            <w:tcW w:w="17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1990   Incentive</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Plan,  as</w:t>
            </w:r>
          </w:p>
        </w:tc>
        <w:tc>
          <w:tcPr>
            <w:tcW w:w="1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amended</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August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(Page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5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by reference from</w:t>
            </w:r>
          </w:p>
        </w:tc>
        <w:tc>
          <w:tcPr>
            <w:tcW w:w="31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the Company's Annual Report on Form</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10-KSB for the fiscal year ended</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 1996)</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w:t>
            </w:r>
          </w:p>
        </w:tc>
        <w:tc>
          <w:tcPr>
            <w:tcW w:w="6020" w:type="dxa"/>
            <w:vAlign w:val="bottom"/>
            <w:gridSpan w:val="11"/>
          </w:tcPr>
          <w:p>
            <w:pPr>
              <w:ind w:left="80"/>
              <w:spacing w:after="0" w:line="168" w:lineRule="exact"/>
              <w:rPr>
                <w:sz w:val="20"/>
                <w:szCs w:val="20"/>
                <w:color w:val="auto"/>
              </w:rPr>
            </w:pPr>
            <w:r>
              <w:rPr>
                <w:rFonts w:ascii="Courier New" w:cs="Courier New" w:eastAsia="Courier New" w:hAnsi="Courier New"/>
                <w:sz w:val="15"/>
                <w:szCs w:val="15"/>
                <w:color w:val="auto"/>
                <w:w w:val="96"/>
              </w:rPr>
              <w:t>1997  Employee  Stock  Purchase  Plan  (Page  37)  (incorporated  by</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reference</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from the</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Company's</w:t>
            </w:r>
          </w:p>
        </w:tc>
        <w:tc>
          <w:tcPr>
            <w:tcW w:w="31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Annual Report on Form 10-KSB for the</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fiscal year ended June 30, 1997)</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10.5</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28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Lease between Company and Valley</w:t>
            </w:r>
          </w:p>
        </w:tc>
        <w:tc>
          <w:tcPr>
            <w:tcW w:w="31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American  Investment  Company (Page</w:t>
            </w:r>
          </w:p>
        </w:tc>
      </w:tr>
    </w:tbl>
    <w:p>
      <w:pPr>
        <w:spacing w:after="0" w:line="5" w:lineRule="exact"/>
        <w:rPr>
          <w:sz w:val="20"/>
          <w:szCs w:val="20"/>
          <w:color w:val="auto"/>
        </w:rPr>
      </w:pPr>
    </w:p>
    <w:p>
      <w:pPr>
        <w:ind w:left="1060" w:right="3239" w:hanging="1"/>
        <w:spacing w:after="0" w:line="234" w:lineRule="auto"/>
        <w:tabs>
          <w:tab w:leader="none" w:pos="149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Annual Report on Form 10-KSB for the fiscal year ended June 30, 1997)</w:t>
      </w:r>
    </w:p>
    <w:p>
      <w:pPr>
        <w:spacing w:after="0" w:line="5" w:lineRule="exact"/>
        <w:rPr>
          <w:sz w:val="20"/>
          <w:szCs w:val="20"/>
          <w:color w:val="auto"/>
        </w:rPr>
      </w:pPr>
    </w:p>
    <w:p>
      <w:pPr>
        <w:jc w:val="both"/>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10.6 3</w:t>
      </w:r>
      <w:r>
        <w:rPr>
          <w:sz w:val="20"/>
          <w:szCs w:val="20"/>
          <w:color w:val="auto"/>
        </w:rPr>
        <w:tab/>
      </w:r>
      <w:r>
        <w:rPr>
          <w:rFonts w:ascii="Courier New" w:cs="Courier New" w:eastAsia="Courier New" w:hAnsi="Courier New"/>
          <w:sz w:val="15"/>
          <w:szCs w:val="15"/>
          <w:color w:val="auto"/>
        </w:rPr>
        <w:t>1998 Stock Option Plan and Form of Grant (incorporated by reference from the Company's Annual Report on Form 10-KSB for the fiscal year ended June 30, 1998)</w:t>
      </w:r>
    </w:p>
    <w:p>
      <w:pPr>
        <w:spacing w:after="0" w:line="5" w:lineRule="exact"/>
        <w:rPr>
          <w:sz w:val="20"/>
          <w:szCs w:val="20"/>
          <w:color w:val="auto"/>
        </w:rPr>
      </w:pPr>
    </w:p>
    <w:p>
      <w:pPr>
        <w:jc w:val="both"/>
        <w:ind w:left="1060" w:right="3239" w:hanging="1048"/>
        <w:spacing w:after="0" w:line="236" w:lineRule="auto"/>
        <w:tabs>
          <w:tab w:leader="none" w:pos="104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Promissory Note, Loan Agreement, and Commercial Security Agreement between Company and Bank One, Utah, N.A. dated as of January 5, 1999 (original aggregate amount of $5,000,000) (Page 15) (incorporated by reference from the Company's Form 10-QSB for the quarter ended December 31, 1998)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49" w:name="page50"/>
    <w:bookmarkEnd w:id="49"/>
    <w:p>
      <w:pPr>
        <w:jc w:val="both"/>
        <w:ind w:left="1060" w:right="323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Asset Purchase Agreement and related documents between the Company and ClearOne, Inc. dated as of July 5, 2000 (incorporated by reference from the Company's Form 8-K/A filed on September 12, 2000)</w:t>
      </w:r>
    </w:p>
    <w:p>
      <w:pPr>
        <w:spacing w:after="0" w:line="1" w:lineRule="exact"/>
        <w:rPr>
          <w:sz w:val="20"/>
          <w:szCs w:val="20"/>
          <w:color w:val="auto"/>
        </w:rPr>
      </w:pPr>
    </w:p>
    <w:p>
      <w:pPr>
        <w:jc w:val="both"/>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Third Addendum to Lease between Company and Valley American Investment Company dated as of September 18, 2000 (incorporated by reference from the Company's Form 10-Q for the quarter ended December 31, 2000)</w:t>
      </w:r>
    </w:p>
    <w:p>
      <w:pPr>
        <w:spacing w:after="0" w:line="7" w:lineRule="exact"/>
        <w:rPr>
          <w:sz w:val="20"/>
          <w:szCs w:val="20"/>
          <w:color w:val="auto"/>
        </w:rPr>
      </w:pPr>
    </w:p>
    <w:p>
      <w:pPr>
        <w:jc w:val="both"/>
        <w:ind w:left="1060" w:right="3239" w:hanging="1048"/>
        <w:spacing w:after="0" w:line="236" w:lineRule="auto"/>
        <w:tabs>
          <w:tab w:leader="none" w:pos="10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Modification Agreement to Promissory Note, Loan Agreement, and Commercial Security Agreement between Company and Bank One, Utah, N.A. dated as of December 22, 2000 (original aggregate amount of $5,000,000) (incorporated by reference from the Company's Form 10-Q for the quarter ended December 31, 2000)</w:t>
      </w:r>
    </w:p>
    <w:p>
      <w:pPr>
        <w:spacing w:after="0" w:line="6" w:lineRule="exact"/>
        <w:rPr>
          <w:sz w:val="20"/>
          <w:szCs w:val="20"/>
          <w:color w:val="auto"/>
        </w:rPr>
      </w:pPr>
    </w:p>
    <w:p>
      <w:pPr>
        <w:jc w:val="both"/>
        <w:ind w:left="1060" w:right="3239" w:hanging="1048"/>
        <w:spacing w:after="0" w:line="258" w:lineRule="auto"/>
        <w:tabs>
          <w:tab w:leader="none" w:pos="104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Asset Purchase Agreement and related documents between the Company and Burk Technology, dated as of April 12, 2001 (incorporated by reference from the Company's Form 8-K filed on April 26, 2001)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documents are filed as exhibits to this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44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DESCRIPTION</w:t>
            </w:r>
          </w:p>
        </w:tc>
        <w:tc>
          <w:tcPr>
            <w:tcW w:w="34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w:t>
            </w:r>
          </w:p>
        </w:tc>
        <w:tc>
          <w:tcPr>
            <w:tcW w:w="3420" w:type="dxa"/>
            <w:vAlign w:val="bottom"/>
          </w:tcPr>
          <w:p>
            <w:pPr>
              <w:spacing w:after="0"/>
              <w:rPr>
                <w:sz w:val="14"/>
                <w:szCs w:val="14"/>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Subsidiary</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of the Company</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Consent of</w:t>
            </w:r>
          </w:p>
        </w:tc>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Ernst &amp; Young LLP, Independent Auditors</w:t>
            </w:r>
          </w:p>
        </w:tc>
      </w:tr>
    </w:tbl>
    <w:p>
      <w:pPr>
        <w:spacing w:after="0" w:line="341" w:lineRule="exact"/>
        <w:rPr>
          <w:sz w:val="20"/>
          <w:szCs w:val="20"/>
          <w:color w:val="auto"/>
        </w:rPr>
      </w:pPr>
    </w:p>
    <w:p>
      <w:pPr>
        <w:jc w:val="both"/>
        <w:ind w:left="440" w:right="3239" w:hanging="430"/>
        <w:spacing w:after="0" w:line="235"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exhibits specifically incorporated into this Form 10-K by reference to other filings pursuant to the provisions of Rule 12B-32 under the Securities Exchange Act of 1934.</w:t>
      </w:r>
    </w:p>
    <w:p>
      <w:pPr>
        <w:spacing w:after="0" w:line="5" w:lineRule="exact"/>
        <w:rPr>
          <w:sz w:val="20"/>
          <w:szCs w:val="20"/>
          <w:color w:val="auto"/>
        </w:rPr>
      </w:pPr>
    </w:p>
    <w:p>
      <w:pPr>
        <w:jc w:val="both"/>
        <w:ind w:left="440" w:right="3239" w:hanging="430"/>
        <w:spacing w:after="0" w:line="235"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exhibits specifically incorporated into this Form 10-K by reference, pursuant to Regulation S-K, Item 10(f)(2). These documents are located under File No. 0-17219 and are located at the Securities and Exchange Commission, Public Reference Branch, 450 South 5th St., N.W.,</w:t>
      </w:r>
    </w:p>
    <w:p>
      <w:pPr>
        <w:spacing w:after="0" w:line="169" w:lineRule="exact"/>
        <w:rPr>
          <w:sz w:val="20"/>
          <w:szCs w:val="20"/>
          <w:color w:val="auto"/>
        </w:rPr>
      </w:pPr>
    </w:p>
    <w:p>
      <w:pPr>
        <w:ind w:left="440" w:hanging="430"/>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Identifies management or compensatory plans, contracts or arrangements.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report on Form 8-K was filed on April 26, 2001, to announce the sale of substantially all of the assets of the remote control portion of the RFM/Broadcast segment to Burk Technology.</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0" w:name="page51"/>
    <w:bookmarkEnd w:id="50"/>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GENTNER COMMUNICATIONS CORPORATION</w:t>
      </w:r>
    </w:p>
    <w:p>
      <w:pPr>
        <w:sectPr>
          <w:pgSz w:w="11900" w:h="16838" w:orient="portrait"/>
          <w:cols w:equalWidth="0" w:num="1">
            <w:col w:w="10239"/>
          </w:cols>
          <w:pgMar w:left="220" w:top="78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14, 2001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Frances M. Flood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Frances M. Flood</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ectPr>
          <w:pgSz w:w="11900" w:h="16838" w:orient="portrait"/>
          <w:cols w:equalWidth="0" w:num="2">
            <w:col w:w="2700" w:space="720"/>
            <w:col w:w="6819"/>
          </w:cols>
          <w:pgMar w:left="220" w:top="785"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each of Frances M. Flood and Susie Strohm, jointly and severally, his true and lawful attorney in fact and agent, with full power of substitution for him and in his name, placed and stead, in any and all capacities, to sign any or all amendments to this report on Form 10-K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Signature</w:t>
            </w:r>
          </w:p>
        </w:tc>
        <w:tc>
          <w:tcPr>
            <w:tcW w:w="27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Title</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/s/ Frances M. Flood</w:t>
            </w:r>
          </w:p>
        </w:tc>
        <w:tc>
          <w:tcPr>
            <w:tcW w:w="27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Director, President and</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September 14,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Chief Executive Officer</w:t>
            </w: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Frances M. Flood</w:t>
            </w:r>
          </w:p>
        </w:tc>
        <w:tc>
          <w:tcPr>
            <w:tcW w:w="27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(Principal Executive Officer)</w:t>
            </w:r>
          </w:p>
        </w:tc>
        <w:tc>
          <w:tcPr>
            <w:tcW w:w="1800" w:type="dxa"/>
            <w:vAlign w:val="bottom"/>
          </w:tcPr>
          <w:p>
            <w:pPr>
              <w:spacing w:after="0"/>
              <w:rPr>
                <w:sz w:val="14"/>
                <w:szCs w:val="14"/>
                <w:color w:val="auto"/>
              </w:rPr>
            </w:pPr>
          </w:p>
        </w:tc>
      </w:tr>
      <w:tr>
        <w:trPr>
          <w:trHeight w:val="336"/>
        </w:trPr>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/s/ Susie Strohm</w:t>
            </w:r>
          </w:p>
        </w:tc>
        <w:tc>
          <w:tcPr>
            <w:tcW w:w="2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Vice President - Finance</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September 14,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(Principal Financial and</w:t>
            </w: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Susie Strohm</w:t>
            </w:r>
          </w:p>
        </w:tc>
        <w:tc>
          <w:tcPr>
            <w:tcW w:w="27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Accounting Officer)</w:t>
            </w:r>
          </w:p>
        </w:tc>
        <w:tc>
          <w:tcPr>
            <w:tcW w:w="18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/s/ Edward Dallin Bagley</w:t>
            </w:r>
          </w:p>
        </w:tc>
        <w:tc>
          <w:tcPr>
            <w:tcW w:w="2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September 14,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Dallin Bagley</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 Brad R. Baldwin</w:t>
            </w:r>
          </w:p>
        </w:tc>
        <w:tc>
          <w:tcPr>
            <w:tcW w:w="2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w w:val="95"/>
              </w:rPr>
              <w:t>September 7,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Brad R. Baldwin</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 Harry Spielberg</w:t>
            </w:r>
          </w:p>
        </w:tc>
        <w:tc>
          <w:tcPr>
            <w:tcW w:w="2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September 14,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Harry Spielberg</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 David Wiener</w:t>
            </w:r>
          </w:p>
        </w:tc>
        <w:tc>
          <w:tcPr>
            <w:tcW w:w="2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September 14,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Wiener</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/s/ Randall J. Wichinski</w:t>
            </w:r>
          </w:p>
        </w:tc>
        <w:tc>
          <w:tcPr>
            <w:tcW w:w="2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September 10, 2001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Randall J. Wichinski</w:t>
            </w: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673"/>
        </w:trPr>
        <w:tc>
          <w:tcPr>
            <w:tcW w:w="2100" w:type="dxa"/>
            <w:vAlign w:val="bottom"/>
          </w:tcPr>
          <w:p>
            <w:pPr>
              <w:spacing w:after="0"/>
              <w:rPr>
                <w:sz w:val="24"/>
                <w:szCs w:val="24"/>
                <w:color w:val="auto"/>
              </w:rPr>
            </w:pPr>
          </w:p>
        </w:tc>
        <w:tc>
          <w:tcPr>
            <w:tcW w:w="276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51</w:t>
            </w:r>
          </w:p>
        </w:tc>
        <w:tc>
          <w:tcPr>
            <w:tcW w:w="18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type w:val="continuous"/>
        </w:sectPr>
      </w:pPr>
    </w:p>
    <w:bookmarkStart w:id="51" w:name="page52"/>
    <w:bookmarkEnd w:id="51"/>
    <w:p>
      <w:pPr>
        <w:ind w:left="3080"/>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SUBSIDIARY OF THE COMPANY</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October 2000, the Company established Gentner Communications EuMEA GmbH, a wholly owned subsidiary headquartered in Nuremberg, Germany. The subsidiary began operations during December 2000.</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During March 2001, the Company established Gentner Ventures, Inc., a wholly owned subsidiary headquartered in Salt Lake City, Utah. The subsidiary was established to facilitate future acquisitions.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During June 2001, the Company and Gentner Ventures, Inc. formed Gentner Holdings LLC, a Utah limited liability corporation, in order to create a better business structure for potential future acquisitions.</w:t>
      </w:r>
    </w:p>
    <w:p>
      <w:pPr>
        <w:sectPr>
          <w:pgSz w:w="11900" w:h="16838" w:orient="portrait"/>
          <w:cols w:equalWidth="0" w:num="1">
            <w:col w:w="10239"/>
          </w:cols>
          <w:pgMar w:left="220" w:top="135" w:right="1440" w:bottom="1440" w:gutter="0" w:footer="0" w:header="0"/>
        </w:sectPr>
      </w:pPr>
    </w:p>
    <w:bookmarkStart w:id="52" w:name="page53"/>
    <w:bookmarkEnd w:id="52"/>
    <w:p>
      <w:pPr>
        <w:jc w:val="center"/>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pertaining to the 1998 Stock Option Plan, 1997 Employee Stock Purchase Plan, and the 1990 Incentive Plan of Gentner Communications Corporation of our report dated July 27, 2001, with respect to the financial statements of Gentner Communications Corporation included in the Annual Report (Form 10-K) for the year ended June 30, 2001.</w:t>
      </w:r>
    </w:p>
    <w:p>
      <w:pPr>
        <w:spacing w:after="0" w:line="16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237" w:lineRule="auto"/>
        <w:rPr>
          <w:sz w:val="20"/>
          <w:szCs w:val="20"/>
          <w:color w:val="auto"/>
        </w:rPr>
      </w:pPr>
      <w:r>
        <w:rPr>
          <w:rFonts w:ascii="Courier New" w:cs="Courier New" w:eastAsia="Courier New" w:hAnsi="Courier New"/>
          <w:sz w:val="15"/>
          <w:szCs w:val="15"/>
          <w:color w:val="auto"/>
        </w:rPr>
        <w:t>September 25, 2001</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1."/>
      <w:numFmt w:val="decimal"/>
      <w:start w:val="4"/>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7"/>
    </w:lvl>
  </w:abstractNum>
  <w:abstractNum w:abstractNumId="6">
    <w:nsid w:val="333AB105"/>
    <w:multiLevelType w:val="hybridMultilevel"/>
    <w:lvl w:ilvl="0">
      <w:lvlJc w:val="left"/>
      <w:lvlText w:val="%1."/>
      <w:numFmt w:val="decimal"/>
      <w:start w:val="9"/>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1"/>
    </w:lvl>
  </w:abstractNum>
  <w:abstractNum w:abstractNumId="9">
    <w:nsid w:val="2D1D5AE9"/>
    <w:multiLevelType w:val="hybridMultilevel"/>
    <w:lvl w:ilvl="0">
      <w:lvlJc w:val="left"/>
      <w:lvlText w:val="%1."/>
      <w:numFmt w:val="decimal"/>
      <w:start w:val="12"/>
    </w:lvl>
  </w:abstractNum>
  <w:abstractNum w:abstractNumId="10">
    <w:nsid w:val="6763845E"/>
    <w:multiLevelType w:val="hybridMultilevel"/>
    <w:lvl w:ilvl="0">
      <w:lvlJc w:val="left"/>
      <w:lvlText w:val="%1."/>
      <w:numFmt w:val="decimal"/>
      <w:start w:val="13"/>
    </w:lvl>
  </w:abstractNum>
  <w:abstractNum w:abstractNumId="11">
    <w:nsid w:val="75A2A8D4"/>
    <w:multiLevelType w:val="hybridMultilevel"/>
    <w:lvl w:ilvl="0">
      <w:lvlJc w:val="left"/>
      <w:lvlText w:val="%1."/>
      <w:numFmt w:val="decimal"/>
      <w:start w:val="14"/>
    </w:lvl>
  </w:abstractNum>
  <w:abstractNum w:abstractNumId="12">
    <w:nsid w:val="8EDBDAB"/>
    <w:multiLevelType w:val="hybridMultilevel"/>
    <w:lvl w:ilvl="0">
      <w:lvlJc w:val="left"/>
      <w:lvlText w:val="%1."/>
      <w:numFmt w:val="decimal"/>
      <w:start w:val="15"/>
    </w:lvl>
  </w:abstractNum>
  <w:abstractNum w:abstractNumId="13">
    <w:nsid w:val="79838CB2"/>
    <w:multiLevelType w:val="hybridMultilevel"/>
    <w:lvl w:ilvl="0">
      <w:lvlJc w:val="left"/>
      <w:lvlText w:val="%1."/>
      <w:numFmt w:val="decimal"/>
      <w:start w:val="16"/>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7"/>
    </w:lvl>
  </w:abstractNum>
  <w:abstractNum w:abstractNumId="19">
    <w:nsid w:val="2CA88611"/>
    <w:multiLevelType w:val="hybridMultilevel"/>
    <w:lvl w:ilvl="0">
      <w:lvlJc w:val="left"/>
      <w:lvlText w:val="%1."/>
      <w:numFmt w:val="decimal"/>
      <w:start w:val="18"/>
    </w:lvl>
  </w:abstractNum>
  <w:abstractNum w:abstractNumId="20">
    <w:nsid w:val="836C40E"/>
    <w:multiLevelType w:val="hybridMultilevel"/>
    <w:lvl w:ilvl="0">
      <w:lvlJc w:val="left"/>
      <w:lvlText w:val="2"/>
      <w:numFmt w:val="bullet"/>
      <w:start w:val="1"/>
    </w:lvl>
  </w:abstractNum>
  <w:abstractNum w:abstractNumId="21">
    <w:nsid w:val="2901D82"/>
    <w:multiLevelType w:val="hybridMultilevel"/>
    <w:lvl w:ilvl="0">
      <w:lvlJc w:val="left"/>
      <w:lvlText w:val="1"/>
      <w:numFmt w:val="bullet"/>
      <w:start w:val="1"/>
    </w:lvl>
  </w:abstractNum>
  <w:abstractNum w:abstractNumId="22">
    <w:nsid w:val="3A95F874"/>
    <w:multiLevelType w:val="hybridMultilevel"/>
    <w:lvl w:ilvl="0">
      <w:lvlJc w:val="left"/>
      <w:lvlText w:val="2"/>
      <w:numFmt w:val="bullet"/>
      <w:start w:val="1"/>
    </w:lvl>
  </w:abstractNum>
  <w:abstractNum w:abstractNumId="23">
    <w:nsid w:val="8138641"/>
    <w:multiLevelType w:val="hybridMultilevel"/>
    <w:lvl w:ilvl="0">
      <w:lvlJc w:val="left"/>
      <w:lvlText w:val="3"/>
      <w:numFmt w:val="bullet"/>
      <w:start w:val="1"/>
    </w:lvl>
  </w:abstractNum>
  <w:abstractNum w:abstractNumId="24">
    <w:nsid w:val="1E7FF521"/>
    <w:multiLevelType w:val="hybridMultilevel"/>
    <w:lvl w:ilvl="0">
      <w:lvlJc w:val="left"/>
      <w:lvlText w:val="4"/>
      <w:numFmt w:val="bullet"/>
      <w:start w:val="1"/>
    </w:lvl>
  </w:abstractNum>
  <w:abstractNum w:abstractNumId="25">
    <w:nsid w:val="7C3DBD3D"/>
    <w:multiLevelType w:val="hybridMultilevel"/>
    <w:lvl w:ilvl="0">
      <w:lvlJc w:val="left"/>
      <w:lvlText w:val="5"/>
      <w:numFmt w:val="bullet"/>
      <w:start w:val="1"/>
    </w:lvl>
  </w:abstractNum>
  <w:abstractNum w:abstractNumId="26">
    <w:nsid w:val="737B8DDC"/>
    <w:multiLevelType w:val="hybridMultilevel"/>
    <w:lvl w:ilvl="0">
      <w:lvlJc w:val="left"/>
      <w:lvlText w:val="6"/>
      <w:numFmt w:val="bullet"/>
      <w:start w:val="1"/>
    </w:lvl>
  </w:abstractNum>
  <w:abstractNum w:abstractNumId="27">
    <w:nsid w:val="6CEAF087"/>
    <w:multiLevelType w:val="hybridMultilevel"/>
    <w:lvl w:ilvl="0">
      <w:lvlJc w:val="left"/>
      <w:lvlText w:val="7"/>
      <w:numFmt w:val="bullet"/>
      <w:start w:val="1"/>
    </w:lvl>
  </w:abstractNum>
  <w:abstractNum w:abstractNumId="28">
    <w:nsid w:val="22221A70"/>
    <w:multiLevelType w:val="hybridMultilevel"/>
    <w:lvl w:ilvl="0">
      <w:lvlJc w:val="left"/>
      <w:lvlText w:val="8"/>
      <w:numFmt w:val="bullet"/>
      <w:start w:val="1"/>
    </w:lvl>
  </w:abstractNum>
  <w:abstractNum w:abstractNumId="29">
    <w:nsid w:val="4516DDE9"/>
    <w:multiLevelType w:val="hybridMultilevel"/>
    <w:lvl w:ilvl="0">
      <w:lvlJc w:val="left"/>
      <w:lvlText w:val="9"/>
      <w:numFmt w:val="bullet"/>
      <w:start w:val="1"/>
    </w:lvl>
  </w:abstractNum>
  <w:abstractNum w:abstractNumId="30">
    <w:nsid w:val="3006C83E"/>
    <w:multiLevelType w:val="hybridMultilevel"/>
    <w:lvl w:ilvl="0">
      <w:lvlJc w:val="left"/>
      <w:lvlText w:val="%1"/>
      <w:numFmt w:val="decimal"/>
      <w:start w:val="10"/>
    </w:lvl>
  </w:abstractNum>
  <w:abstractNum w:abstractNumId="31">
    <w:nsid w:val="614FD4A1"/>
    <w:multiLevelType w:val="hybridMultilevel"/>
    <w:lvl w:ilvl="0">
      <w:lvlJc w:val="left"/>
      <w:lvlText w:val="%1)"/>
      <w:numFmt w:val="decimal"/>
      <w:start w:val="65"/>
    </w:lvl>
  </w:abstractNum>
  <w:abstractNum w:abstractNumId="32">
    <w:nsid w:val="419AC241"/>
    <w:multiLevelType w:val="hybridMultilevel"/>
    <w:lvl w:ilvl="0">
      <w:lvlJc w:val="left"/>
      <w:lvlText w:val="%1)"/>
      <w:numFmt w:val="decimal"/>
      <w:start w:val="71"/>
    </w:lvl>
  </w:abstractNum>
  <w:abstractNum w:abstractNumId="33">
    <w:nsid w:val="5577F8E1"/>
    <w:multiLevelType w:val="hybridMultilevel"/>
    <w:lvl w:ilvl="0">
      <w:lvlJc w:val="left"/>
      <w:lvlText w:val="1"/>
      <w:numFmt w:val="bullet"/>
      <w:start w:val="1"/>
    </w:lvl>
  </w:abstractNum>
  <w:abstractNum w:abstractNumId="34">
    <w:nsid w:val="440BADFC"/>
    <w:multiLevelType w:val="hybridMultilevel"/>
    <w:lvl w:ilvl="0">
      <w:lvlJc w:val="left"/>
      <w:lvlText w:val="2"/>
      <w:numFmt w:val="bullet"/>
      <w:start w:val="1"/>
    </w:lvl>
  </w:abstractNum>
  <w:abstractNum w:abstractNumId="35">
    <w:nsid w:val="507236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2019-12-13T18:05:28Z</dcterms:created>
  <dcterms:modified xsi:type="dcterms:W3CDTF">2019-12-13T18:05:28Z</dcterms:modified>
</cp:coreProperties>
</file>